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2.xml" ContentType="application/vnd.openxmlformats-officedocument.drawingml.chartshapes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drawings/drawing3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D8C" w:rsidRDefault="00692181" w:rsidP="00554412">
      <w:pPr>
        <w:jc w:val="center"/>
        <w:rPr>
          <w:rFonts w:ascii="仿宋_GB2312" w:eastAsia="仿宋_GB2312" w:hAnsi="宋体"/>
          <w:b/>
          <w:sz w:val="36"/>
          <w:szCs w:val="36"/>
        </w:rPr>
      </w:pPr>
      <w:bookmarkStart w:id="0" w:name="_GoBack"/>
      <w:bookmarkEnd w:id="0"/>
      <w:r>
        <w:rPr>
          <w:rFonts w:ascii="仿宋_GB2312" w:eastAsia="仿宋_GB2312" w:hAnsi="宋体" w:hint="eastAsia"/>
          <w:b/>
          <w:sz w:val="36"/>
          <w:szCs w:val="36"/>
        </w:rPr>
        <w:t>米东区</w:t>
      </w:r>
      <w:r w:rsidR="00673EBE">
        <w:rPr>
          <w:rFonts w:ascii="仿宋_GB2312" w:eastAsia="仿宋_GB2312" w:hAnsi="宋体" w:hint="eastAsia"/>
          <w:b/>
          <w:sz w:val="36"/>
          <w:szCs w:val="36"/>
        </w:rPr>
        <w:t>二</w:t>
      </w:r>
      <w:r w:rsidR="00345BCB">
        <w:rPr>
          <w:rFonts w:ascii="仿宋_GB2312" w:eastAsia="仿宋_GB2312" w:hAnsi="宋体" w:hint="eastAsia"/>
          <w:b/>
          <w:sz w:val="36"/>
          <w:szCs w:val="36"/>
        </w:rPr>
        <w:t>〇</w:t>
      </w:r>
      <w:r w:rsidR="00673EBE">
        <w:rPr>
          <w:rFonts w:ascii="仿宋_GB2312" w:eastAsia="仿宋_GB2312" w:hAnsi="宋体" w:hint="eastAsia"/>
          <w:b/>
          <w:sz w:val="36"/>
          <w:szCs w:val="36"/>
        </w:rPr>
        <w:t>一</w:t>
      </w:r>
      <w:r w:rsidR="00E47950">
        <w:rPr>
          <w:rFonts w:ascii="仿宋_GB2312" w:eastAsia="仿宋_GB2312" w:hAnsi="宋体" w:hint="eastAsia"/>
          <w:b/>
          <w:sz w:val="36"/>
          <w:szCs w:val="36"/>
        </w:rPr>
        <w:t>九</w:t>
      </w:r>
      <w:r w:rsidR="00C55355" w:rsidRPr="00BE7EA1">
        <w:rPr>
          <w:rFonts w:ascii="仿宋_GB2312" w:eastAsia="仿宋_GB2312" w:hAnsi="宋体" w:hint="eastAsia"/>
          <w:b/>
          <w:sz w:val="36"/>
          <w:szCs w:val="36"/>
        </w:rPr>
        <w:t>年财政收支总决算说明</w:t>
      </w:r>
    </w:p>
    <w:p w:rsidR="00442AC4" w:rsidRPr="00554412" w:rsidRDefault="00442AC4" w:rsidP="00554412">
      <w:pPr>
        <w:jc w:val="center"/>
        <w:rPr>
          <w:rFonts w:ascii="仿宋_GB2312" w:eastAsia="仿宋_GB2312" w:hAnsi="宋体"/>
          <w:b/>
          <w:sz w:val="36"/>
          <w:szCs w:val="36"/>
        </w:rPr>
      </w:pPr>
    </w:p>
    <w:p w:rsidR="00E47950" w:rsidRDefault="00E47950" w:rsidP="00E47950">
      <w:pPr>
        <w:topLinePunct/>
        <w:spacing w:line="560" w:lineRule="exact"/>
        <w:ind w:firstLineChars="200" w:firstLine="640"/>
        <w:rPr>
          <w:rFonts w:ascii="方正仿宋_GBK" w:eastAsia="方正仿宋_GBK" w:hAnsi="_65b9_6b63_4eff_5b8b_GBK" w:cs="宋体"/>
          <w:kern w:val="0"/>
          <w:sz w:val="32"/>
          <w:szCs w:val="32"/>
        </w:rPr>
      </w:pPr>
      <w:r w:rsidRPr="00744E8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2019年，米东区</w:t>
      </w:r>
      <w:hyperlink r:id="rId8" w:history="1">
        <w:r w:rsidRPr="00744E83">
          <w:rPr>
            <w:rFonts w:ascii="方正仿宋_GBK" w:eastAsia="方正仿宋_GBK" w:hint="eastAsia"/>
            <w:bCs/>
            <w:sz w:val="32"/>
            <w:szCs w:val="32"/>
          </w:rPr>
          <w:t>财政</w:t>
        </w:r>
      </w:hyperlink>
      <w:r w:rsidRPr="00744E83">
        <w:rPr>
          <w:rFonts w:ascii="方正仿宋_GBK" w:eastAsia="方正仿宋_GBK" w:hint="eastAsia"/>
          <w:sz w:val="32"/>
          <w:szCs w:val="32"/>
        </w:rPr>
        <w:t>局紧紧围绕社会稳定和长治久安总目</w:t>
      </w:r>
      <w:r w:rsidRPr="00744E8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标，全面贯彻落实党的十九大及米东区委</w:t>
      </w:r>
      <w:r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二</w:t>
      </w:r>
      <w:r w:rsidRPr="00744E8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届</w:t>
      </w:r>
      <w:r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九</w:t>
      </w:r>
      <w:r w:rsidRPr="00744E8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次全会会议精神，</w:t>
      </w:r>
      <w:r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围绕自治区党委“1+3+3+改革开放”总体部署，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抓好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“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三件大事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”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、建设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“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六个首府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”</w:t>
      </w:r>
      <w:r w:rsidRPr="00CB523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工作部署</w:t>
      </w:r>
      <w:r w:rsidRPr="00CB5233">
        <w:rPr>
          <w:rFonts w:ascii="方正仿宋_GBK" w:eastAsia="方正仿宋_GBK" w:hAnsi="Arial" w:cs="Arial"/>
          <w:bCs/>
          <w:kern w:val="0"/>
          <w:sz w:val="32"/>
          <w:szCs w:val="32"/>
        </w:rPr>
        <w:t>，</w:t>
      </w:r>
      <w:r w:rsidRPr="00744E8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扎实有效的开展全面提升经济发</w:t>
      </w:r>
      <w:r w:rsidRPr="00CB5233">
        <w:rPr>
          <w:rFonts w:ascii="方正仿宋_GBK" w:eastAsia="方正仿宋_GBK" w:hAnsi="Arial" w:cs="Arial" w:hint="eastAsia"/>
          <w:bCs/>
          <w:kern w:val="0"/>
          <w:sz w:val="32"/>
          <w:szCs w:val="32"/>
        </w:rPr>
        <w:t>展质量和效益，全力服务保障十项民生实事，打好防范化解重</w:t>
      </w:r>
      <w:r w:rsidRPr="00744E83">
        <w:rPr>
          <w:rFonts w:ascii="方正仿宋_GBK" w:eastAsia="方正仿宋_GBK" w:hAnsi="仿宋" w:hint="eastAsia"/>
          <w:kern w:val="0"/>
          <w:sz w:val="32"/>
          <w:szCs w:val="32"/>
        </w:rPr>
        <w:t>大金融风险、精准脱贫、污染防治“三大攻坚战”。</w:t>
      </w:r>
      <w:r w:rsidRPr="00C575C8">
        <w:rPr>
          <w:rFonts w:eastAsia="方正仿宋_GBK"/>
          <w:bCs/>
          <w:sz w:val="32"/>
          <w:szCs w:val="32"/>
        </w:rPr>
        <w:t>做好</w:t>
      </w:r>
      <w:r w:rsidRPr="00C575C8">
        <w:rPr>
          <w:rFonts w:eastAsia="方正仿宋_GBK" w:hint="eastAsia"/>
          <w:bCs/>
          <w:sz w:val="32"/>
          <w:szCs w:val="32"/>
        </w:rPr>
        <w:t>“</w:t>
      </w:r>
      <w:r w:rsidRPr="00C575C8">
        <w:rPr>
          <w:rFonts w:eastAsia="方正仿宋_GBK"/>
          <w:bCs/>
          <w:sz w:val="32"/>
          <w:szCs w:val="32"/>
        </w:rPr>
        <w:t>稳增长、促改革、调结构、惠民生、防风险</w:t>
      </w:r>
      <w:r w:rsidRPr="00C575C8">
        <w:rPr>
          <w:rFonts w:eastAsia="方正仿宋_GBK" w:hint="eastAsia"/>
          <w:bCs/>
          <w:sz w:val="32"/>
          <w:szCs w:val="32"/>
        </w:rPr>
        <w:t>、</w:t>
      </w:r>
      <w:r w:rsidRPr="00C575C8">
        <w:rPr>
          <w:rFonts w:eastAsia="方正仿宋_GBK"/>
          <w:bCs/>
          <w:sz w:val="32"/>
          <w:szCs w:val="32"/>
        </w:rPr>
        <w:t>保稳定</w:t>
      </w:r>
      <w:r w:rsidRPr="00C575C8">
        <w:rPr>
          <w:rFonts w:eastAsia="方正仿宋_GBK" w:hint="eastAsia"/>
          <w:bCs/>
          <w:sz w:val="32"/>
          <w:szCs w:val="32"/>
        </w:rPr>
        <w:t>”</w:t>
      </w:r>
      <w:r w:rsidRPr="00C575C8">
        <w:rPr>
          <w:rFonts w:eastAsia="方正仿宋_GBK"/>
          <w:bCs/>
          <w:sz w:val="32"/>
          <w:szCs w:val="32"/>
        </w:rPr>
        <w:t>各项工作，有力促进了我区经济社会持续健康发展</w:t>
      </w:r>
      <w:r w:rsidRPr="00C575C8">
        <w:rPr>
          <w:rFonts w:ascii="方正仿宋_GBK" w:eastAsia="方正仿宋_GBK" w:hAnsi="_65b9_6b63_4eff_5b8b_GBK" w:cs="宋体" w:hint="eastAsia"/>
          <w:kern w:val="0"/>
          <w:sz w:val="32"/>
          <w:szCs w:val="32"/>
        </w:rPr>
        <w:t>。</w:t>
      </w:r>
    </w:p>
    <w:p w:rsidR="00C55355" w:rsidRDefault="00204D8C" w:rsidP="00825F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A2F41">
        <w:rPr>
          <w:rFonts w:ascii="仿宋_GB2312" w:eastAsia="仿宋_GB2312" w:hAnsi="宋体" w:hint="eastAsia"/>
          <w:sz w:val="32"/>
          <w:szCs w:val="32"/>
        </w:rPr>
        <w:t>现将</w:t>
      </w:r>
      <w:r w:rsidR="00374B1C">
        <w:rPr>
          <w:rFonts w:ascii="仿宋_GB2312" w:eastAsia="仿宋_GB2312" w:hAnsi="宋体" w:hint="eastAsia"/>
          <w:sz w:val="32"/>
          <w:szCs w:val="32"/>
        </w:rPr>
        <w:t>201</w:t>
      </w:r>
      <w:r w:rsidR="00E47950">
        <w:rPr>
          <w:rFonts w:ascii="仿宋_GB2312" w:eastAsia="仿宋_GB2312" w:hAnsi="宋体" w:hint="eastAsia"/>
          <w:sz w:val="32"/>
          <w:szCs w:val="32"/>
        </w:rPr>
        <w:t>9</w:t>
      </w:r>
      <w:r w:rsidR="00374B1C">
        <w:rPr>
          <w:rFonts w:ascii="仿宋_GB2312" w:eastAsia="仿宋_GB2312" w:hAnsi="宋体" w:hint="eastAsia"/>
          <w:sz w:val="32"/>
          <w:szCs w:val="32"/>
        </w:rPr>
        <w:t>年</w:t>
      </w:r>
      <w:r w:rsidRPr="002A2F41">
        <w:rPr>
          <w:rFonts w:ascii="仿宋_GB2312" w:eastAsia="仿宋_GB2312" w:hAnsi="宋体" w:hint="eastAsia"/>
          <w:sz w:val="32"/>
          <w:szCs w:val="32"/>
        </w:rPr>
        <w:t>财政收支决算编制说明如下：</w:t>
      </w:r>
    </w:p>
    <w:p w:rsidR="002A2F41" w:rsidRPr="00EE1FBC" w:rsidRDefault="00CF33CD" w:rsidP="002A2F41">
      <w:pPr>
        <w:spacing w:line="520" w:lineRule="exact"/>
        <w:ind w:firstLine="63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</w:t>
      </w:r>
      <w:r w:rsidR="0092441A">
        <w:rPr>
          <w:rFonts w:ascii="仿宋_GB2312" w:eastAsia="仿宋_GB2312" w:hAnsi="宋体" w:hint="eastAsia"/>
          <w:b/>
          <w:sz w:val="32"/>
          <w:szCs w:val="32"/>
        </w:rPr>
        <w:t>、</w:t>
      </w:r>
      <w:r w:rsidR="002A2F41" w:rsidRPr="00EE1FBC">
        <w:rPr>
          <w:rFonts w:ascii="仿宋_GB2312" w:eastAsia="仿宋_GB2312" w:hAnsi="宋体" w:hint="eastAsia"/>
          <w:b/>
          <w:sz w:val="32"/>
          <w:szCs w:val="32"/>
        </w:rPr>
        <w:t>财政决算编制基本情况</w:t>
      </w:r>
    </w:p>
    <w:p w:rsidR="002A2F41" w:rsidRPr="002A2F41" w:rsidRDefault="002A2F4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2A2F41">
        <w:rPr>
          <w:rFonts w:ascii="仿宋_GB2312" w:eastAsia="仿宋_GB2312" w:hAnsi="宋体" w:hint="eastAsia"/>
          <w:sz w:val="32"/>
          <w:szCs w:val="32"/>
        </w:rPr>
        <w:t>（一）机构人员情况</w:t>
      </w:r>
    </w:p>
    <w:p w:rsidR="002A2F41" w:rsidRPr="002A2F41" w:rsidRDefault="00E47950" w:rsidP="00825F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末机构共计</w:t>
      </w:r>
      <w:r w:rsidR="00154EB0">
        <w:rPr>
          <w:rFonts w:ascii="仿宋_GB2312" w:eastAsia="仿宋_GB2312" w:hAnsi="宋体" w:hint="eastAsia"/>
          <w:sz w:val="32"/>
          <w:szCs w:val="32"/>
        </w:rPr>
        <w:t>165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个，</w:t>
      </w:r>
      <w:r w:rsidR="00BE7EA1">
        <w:rPr>
          <w:rFonts w:ascii="仿宋_GB2312" w:eastAsia="仿宋_GB2312" w:hAnsi="宋体" w:hint="eastAsia"/>
          <w:sz w:val="32"/>
          <w:szCs w:val="32"/>
        </w:rPr>
        <w:t>年末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人数</w:t>
      </w:r>
      <w:r w:rsidR="0054746F">
        <w:rPr>
          <w:rFonts w:ascii="仿宋_GB2312" w:eastAsia="仿宋_GB2312" w:hAnsi="宋体" w:hint="eastAsia"/>
          <w:sz w:val="32"/>
          <w:szCs w:val="32"/>
        </w:rPr>
        <w:t>7,130</w:t>
      </w:r>
      <w:r w:rsidR="0054746F" w:rsidRPr="002A2F41">
        <w:rPr>
          <w:rFonts w:ascii="仿宋_GB2312" w:eastAsia="仿宋_GB2312" w:hAnsi="宋体" w:hint="eastAsia"/>
          <w:sz w:val="32"/>
          <w:szCs w:val="32"/>
        </w:rPr>
        <w:t>人</w:t>
      </w:r>
      <w:r w:rsidR="00154EB0">
        <w:rPr>
          <w:rFonts w:ascii="仿宋_GB2312" w:eastAsia="仿宋_GB2312" w:hAnsi="宋体" w:hint="eastAsia"/>
          <w:sz w:val="32"/>
          <w:szCs w:val="32"/>
        </w:rPr>
        <w:t>。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其中：在职人员</w:t>
      </w:r>
      <w:r w:rsidR="0054746F">
        <w:rPr>
          <w:rFonts w:ascii="仿宋_GB2312" w:eastAsia="仿宋_GB2312" w:hAnsi="宋体" w:hint="eastAsia"/>
          <w:sz w:val="32"/>
          <w:szCs w:val="32"/>
        </w:rPr>
        <w:t>7,120</w:t>
      </w:r>
      <w:r w:rsidR="0054746F" w:rsidRPr="002A2F41">
        <w:rPr>
          <w:rFonts w:ascii="仿宋_GB2312" w:eastAsia="仿宋_GB2312" w:hAnsi="宋体" w:hint="eastAsia"/>
          <w:sz w:val="32"/>
          <w:szCs w:val="32"/>
        </w:rPr>
        <w:t>人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，离休人员</w:t>
      </w:r>
      <w:r w:rsidR="00D93417">
        <w:rPr>
          <w:rFonts w:ascii="仿宋_GB2312" w:eastAsia="仿宋_GB2312" w:hAnsi="宋体" w:hint="eastAsia"/>
          <w:sz w:val="32"/>
          <w:szCs w:val="32"/>
        </w:rPr>
        <w:t>1</w:t>
      </w:r>
      <w:r w:rsidR="000B364A">
        <w:rPr>
          <w:rFonts w:ascii="仿宋_GB2312" w:eastAsia="仿宋_GB2312" w:hAnsi="宋体" w:hint="eastAsia"/>
          <w:sz w:val="32"/>
          <w:szCs w:val="32"/>
        </w:rPr>
        <w:t>0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人。</w:t>
      </w:r>
    </w:p>
    <w:p w:rsidR="002A2F41" w:rsidRPr="002A2F41" w:rsidRDefault="002A2F4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2A2F41">
        <w:rPr>
          <w:rFonts w:ascii="仿宋_GB2312" w:eastAsia="仿宋_GB2312" w:hAnsi="宋体" w:hint="eastAsia"/>
          <w:sz w:val="32"/>
          <w:szCs w:val="32"/>
        </w:rPr>
        <w:t>（二）主要经济指标情况</w:t>
      </w:r>
    </w:p>
    <w:p w:rsidR="002A2F41" w:rsidRPr="002A2F41" w:rsidRDefault="002A2F41" w:rsidP="00E34145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2A2F41">
        <w:rPr>
          <w:rFonts w:ascii="仿宋_GB2312" w:eastAsia="仿宋_GB2312" w:hAnsi="宋体" w:hint="eastAsia"/>
          <w:sz w:val="32"/>
          <w:szCs w:val="32"/>
        </w:rPr>
        <w:t>1、</w:t>
      </w:r>
      <w:r w:rsidR="00BE7EA1">
        <w:rPr>
          <w:rFonts w:ascii="仿宋_GB2312" w:eastAsia="仿宋_GB2312" w:hAnsi="宋体" w:hint="eastAsia"/>
          <w:sz w:val="32"/>
          <w:szCs w:val="32"/>
        </w:rPr>
        <w:t>地区</w:t>
      </w:r>
      <w:r w:rsidRPr="002A2F41">
        <w:rPr>
          <w:rFonts w:ascii="仿宋_GB2312" w:eastAsia="仿宋_GB2312" w:hAnsi="宋体" w:hint="eastAsia"/>
          <w:sz w:val="32"/>
          <w:szCs w:val="32"/>
        </w:rPr>
        <w:t>生产总值</w:t>
      </w:r>
      <w:r w:rsidR="00C060C9">
        <w:rPr>
          <w:rFonts w:ascii="仿宋_GB2312" w:eastAsia="仿宋_GB2312" w:hAnsi="宋体" w:hint="eastAsia"/>
          <w:sz w:val="32"/>
          <w:szCs w:val="32"/>
        </w:rPr>
        <w:t>3,511,</w:t>
      </w:r>
      <w:r w:rsidR="0054746F">
        <w:rPr>
          <w:rFonts w:ascii="仿宋_GB2312" w:eastAsia="仿宋_GB2312" w:hAnsi="宋体" w:hint="eastAsia"/>
          <w:sz w:val="32"/>
          <w:szCs w:val="32"/>
        </w:rPr>
        <w:t>343</w:t>
      </w:r>
      <w:r w:rsidR="0054746F" w:rsidRPr="002A2F41">
        <w:rPr>
          <w:rFonts w:ascii="仿宋_GB2312" w:eastAsia="仿宋_GB2312" w:hAnsi="宋体" w:hint="eastAsia"/>
          <w:sz w:val="32"/>
          <w:szCs w:val="32"/>
        </w:rPr>
        <w:t>万</w:t>
      </w:r>
      <w:r w:rsidRPr="002A2F41">
        <w:rPr>
          <w:rFonts w:ascii="仿宋_GB2312" w:eastAsia="仿宋_GB2312" w:hAnsi="宋体" w:hint="eastAsia"/>
          <w:sz w:val="32"/>
          <w:szCs w:val="32"/>
        </w:rPr>
        <w:t>元；</w:t>
      </w:r>
    </w:p>
    <w:p w:rsidR="002A2F41" w:rsidRPr="002A2F41" w:rsidRDefault="002A2F4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2A2F41">
        <w:rPr>
          <w:rFonts w:ascii="仿宋_GB2312" w:eastAsia="仿宋_GB2312" w:hAnsi="宋体" w:hint="eastAsia"/>
          <w:sz w:val="32"/>
          <w:szCs w:val="32"/>
        </w:rPr>
        <w:t>2、</w:t>
      </w:r>
      <w:r w:rsidR="00BE7EA1">
        <w:rPr>
          <w:rFonts w:ascii="仿宋_GB2312" w:eastAsia="仿宋_GB2312" w:hAnsi="宋体" w:hint="eastAsia"/>
          <w:sz w:val="32"/>
          <w:szCs w:val="32"/>
        </w:rPr>
        <w:t>第一产业</w:t>
      </w:r>
      <w:r w:rsidR="00A757B7">
        <w:rPr>
          <w:rFonts w:ascii="仿宋_GB2312" w:eastAsia="仿宋_GB2312" w:hAnsi="宋体" w:hint="eastAsia"/>
          <w:sz w:val="32"/>
          <w:szCs w:val="32"/>
        </w:rPr>
        <w:t>增加</w:t>
      </w:r>
      <w:r w:rsidRPr="002A2F41">
        <w:rPr>
          <w:rFonts w:ascii="仿宋_GB2312" w:eastAsia="仿宋_GB2312" w:hAnsi="宋体" w:hint="eastAsia"/>
          <w:sz w:val="32"/>
          <w:szCs w:val="32"/>
        </w:rPr>
        <w:t>值</w:t>
      </w:r>
      <w:r w:rsidR="00154EB0">
        <w:rPr>
          <w:rFonts w:ascii="仿宋_GB2312" w:eastAsia="仿宋_GB2312" w:hAnsi="宋体" w:hint="eastAsia"/>
          <w:sz w:val="32"/>
          <w:szCs w:val="32"/>
        </w:rPr>
        <w:t>9</w:t>
      </w:r>
      <w:r w:rsidR="0054746F">
        <w:rPr>
          <w:rFonts w:ascii="仿宋_GB2312" w:eastAsia="仿宋_GB2312" w:hAnsi="宋体" w:hint="eastAsia"/>
          <w:sz w:val="32"/>
          <w:szCs w:val="32"/>
        </w:rPr>
        <w:t>6,869</w:t>
      </w:r>
      <w:r w:rsidR="0054746F" w:rsidRPr="002A2F41">
        <w:rPr>
          <w:rFonts w:ascii="仿宋_GB2312" w:eastAsia="仿宋_GB2312" w:hAnsi="宋体" w:hint="eastAsia"/>
          <w:sz w:val="32"/>
          <w:szCs w:val="32"/>
        </w:rPr>
        <w:t>万</w:t>
      </w:r>
      <w:r w:rsidRPr="002A2F41">
        <w:rPr>
          <w:rFonts w:ascii="仿宋_GB2312" w:eastAsia="仿宋_GB2312" w:hAnsi="宋体" w:hint="eastAsia"/>
          <w:sz w:val="32"/>
          <w:szCs w:val="32"/>
        </w:rPr>
        <w:t>元；</w:t>
      </w:r>
    </w:p>
    <w:p w:rsidR="002A2F41" w:rsidRDefault="002A2F4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2A2F41">
        <w:rPr>
          <w:rFonts w:ascii="仿宋_GB2312" w:eastAsia="仿宋_GB2312" w:hAnsi="宋体" w:hint="eastAsia"/>
          <w:sz w:val="32"/>
          <w:szCs w:val="32"/>
        </w:rPr>
        <w:t>3、</w:t>
      </w:r>
      <w:r w:rsidR="00BE7EA1">
        <w:rPr>
          <w:rFonts w:ascii="仿宋_GB2312" w:eastAsia="仿宋_GB2312" w:hAnsi="宋体" w:hint="eastAsia"/>
          <w:sz w:val="32"/>
          <w:szCs w:val="32"/>
        </w:rPr>
        <w:t>第二产业</w:t>
      </w:r>
      <w:r w:rsidR="00A757B7">
        <w:rPr>
          <w:rFonts w:ascii="仿宋_GB2312" w:eastAsia="仿宋_GB2312" w:hAnsi="宋体" w:hint="eastAsia"/>
          <w:sz w:val="32"/>
          <w:szCs w:val="32"/>
        </w:rPr>
        <w:t>增加</w:t>
      </w:r>
      <w:r w:rsidRPr="002A2F41">
        <w:rPr>
          <w:rFonts w:ascii="仿宋_GB2312" w:eastAsia="仿宋_GB2312" w:hAnsi="宋体" w:hint="eastAsia"/>
          <w:sz w:val="32"/>
          <w:szCs w:val="32"/>
        </w:rPr>
        <w:t>值</w:t>
      </w:r>
      <w:r w:rsidR="00C060C9">
        <w:rPr>
          <w:rFonts w:ascii="仿宋_GB2312" w:eastAsia="仿宋_GB2312" w:hAnsi="宋体" w:hint="eastAsia"/>
          <w:sz w:val="32"/>
          <w:szCs w:val="32"/>
        </w:rPr>
        <w:t>2,284,</w:t>
      </w:r>
      <w:r w:rsidR="0054746F">
        <w:rPr>
          <w:rFonts w:ascii="仿宋_GB2312" w:eastAsia="仿宋_GB2312" w:hAnsi="宋体" w:hint="eastAsia"/>
          <w:sz w:val="32"/>
          <w:szCs w:val="32"/>
        </w:rPr>
        <w:t>557</w:t>
      </w:r>
      <w:r w:rsidR="0054746F" w:rsidRPr="002A2F41">
        <w:rPr>
          <w:rFonts w:ascii="仿宋_GB2312" w:eastAsia="仿宋_GB2312" w:hAnsi="宋体" w:hint="eastAsia"/>
          <w:sz w:val="32"/>
          <w:szCs w:val="32"/>
        </w:rPr>
        <w:t>万</w:t>
      </w:r>
      <w:r w:rsidRPr="002A2F41">
        <w:rPr>
          <w:rFonts w:ascii="仿宋_GB2312" w:eastAsia="仿宋_GB2312" w:hAnsi="宋体" w:hint="eastAsia"/>
          <w:sz w:val="32"/>
          <w:szCs w:val="32"/>
        </w:rPr>
        <w:t>元；</w:t>
      </w:r>
    </w:p>
    <w:p w:rsidR="00BE7EA1" w:rsidRPr="002A2F41" w:rsidRDefault="00BE7EA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4、第三产业</w:t>
      </w:r>
      <w:r w:rsidR="00A757B7">
        <w:rPr>
          <w:rFonts w:ascii="仿宋_GB2312" w:eastAsia="仿宋_GB2312" w:hAnsi="宋体" w:hint="eastAsia"/>
          <w:sz w:val="32"/>
          <w:szCs w:val="32"/>
        </w:rPr>
        <w:t>增加</w:t>
      </w:r>
      <w:r>
        <w:rPr>
          <w:rFonts w:ascii="仿宋_GB2312" w:eastAsia="仿宋_GB2312" w:hAnsi="宋体" w:hint="eastAsia"/>
          <w:sz w:val="32"/>
          <w:szCs w:val="32"/>
        </w:rPr>
        <w:t>值</w:t>
      </w:r>
      <w:r w:rsidR="00C060C9">
        <w:rPr>
          <w:rFonts w:ascii="仿宋_GB2312" w:eastAsia="仿宋_GB2312" w:hAnsi="宋体" w:hint="eastAsia"/>
          <w:sz w:val="32"/>
          <w:szCs w:val="32"/>
        </w:rPr>
        <w:t>1,129,</w:t>
      </w:r>
      <w:r w:rsidR="0054746F">
        <w:rPr>
          <w:rFonts w:ascii="仿宋_GB2312" w:eastAsia="仿宋_GB2312" w:hAnsi="宋体" w:hint="eastAsia"/>
          <w:sz w:val="32"/>
          <w:szCs w:val="32"/>
        </w:rPr>
        <w:t>917万</w:t>
      </w:r>
      <w:r>
        <w:rPr>
          <w:rFonts w:ascii="仿宋_GB2312" w:eastAsia="仿宋_GB2312" w:hAnsi="宋体" w:hint="eastAsia"/>
          <w:sz w:val="32"/>
          <w:szCs w:val="32"/>
        </w:rPr>
        <w:t>元；</w:t>
      </w:r>
    </w:p>
    <w:p w:rsidR="002A2F41" w:rsidRDefault="00BE7EA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、辖区总人口</w:t>
      </w:r>
      <w:r w:rsidR="00B33D50">
        <w:rPr>
          <w:rFonts w:ascii="仿宋_GB2312" w:eastAsia="仿宋_GB2312" w:hAnsi="宋体" w:hint="eastAsia"/>
          <w:sz w:val="32"/>
          <w:szCs w:val="32"/>
        </w:rPr>
        <w:t>2</w:t>
      </w:r>
      <w:r w:rsidR="00DB478F">
        <w:rPr>
          <w:rFonts w:ascii="仿宋_GB2312" w:eastAsia="仿宋_GB2312" w:hAnsi="宋体" w:hint="eastAsia"/>
          <w:sz w:val="32"/>
          <w:szCs w:val="32"/>
        </w:rPr>
        <w:t>8</w:t>
      </w:r>
      <w:r w:rsidR="002A2F41" w:rsidRPr="002A2F41">
        <w:rPr>
          <w:rFonts w:ascii="仿宋_GB2312" w:eastAsia="仿宋_GB2312" w:hAnsi="宋体" w:hint="eastAsia"/>
          <w:sz w:val="32"/>
          <w:szCs w:val="32"/>
        </w:rPr>
        <w:t>万人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BE7EA1" w:rsidRDefault="00BE7EA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6、居民人均可支配收入</w:t>
      </w:r>
      <w:r w:rsidR="00154EB0">
        <w:rPr>
          <w:rFonts w:ascii="仿宋_GB2312" w:eastAsia="仿宋_GB2312" w:hAnsi="宋体" w:hint="eastAsia"/>
          <w:sz w:val="32"/>
          <w:szCs w:val="32"/>
        </w:rPr>
        <w:t>4</w:t>
      </w:r>
      <w:r w:rsidR="0054746F">
        <w:rPr>
          <w:rFonts w:ascii="仿宋_GB2312" w:eastAsia="仿宋_GB2312" w:hAnsi="宋体" w:hint="eastAsia"/>
          <w:sz w:val="32"/>
          <w:szCs w:val="32"/>
        </w:rPr>
        <w:t>2,748元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BE7EA1" w:rsidRDefault="00BE7EA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7、</w:t>
      </w:r>
      <w:r w:rsidR="000A793C">
        <w:rPr>
          <w:rFonts w:ascii="仿宋_GB2312" w:eastAsia="仿宋_GB2312" w:hAnsi="宋体" w:hint="eastAsia"/>
          <w:sz w:val="32"/>
          <w:szCs w:val="32"/>
        </w:rPr>
        <w:t>农民人均纯收入</w:t>
      </w:r>
      <w:r w:rsidR="00154EB0">
        <w:rPr>
          <w:rFonts w:ascii="仿宋_GB2312" w:eastAsia="仿宋_GB2312" w:hAnsi="宋体" w:hint="eastAsia"/>
          <w:sz w:val="32"/>
          <w:szCs w:val="32"/>
        </w:rPr>
        <w:t>2</w:t>
      </w:r>
      <w:r w:rsidR="0054746F">
        <w:rPr>
          <w:rFonts w:ascii="仿宋_GB2312" w:eastAsia="仿宋_GB2312" w:hAnsi="宋体" w:hint="eastAsia"/>
          <w:sz w:val="32"/>
          <w:szCs w:val="32"/>
        </w:rPr>
        <w:t>1,448元</w:t>
      </w:r>
      <w:r w:rsidR="000A793C">
        <w:rPr>
          <w:rFonts w:ascii="仿宋_GB2312" w:eastAsia="仿宋_GB2312" w:hAnsi="宋体" w:hint="eastAsia"/>
          <w:sz w:val="32"/>
          <w:szCs w:val="32"/>
        </w:rPr>
        <w:t>。</w:t>
      </w:r>
    </w:p>
    <w:p w:rsidR="00CF33CD" w:rsidRDefault="00057767" w:rsidP="002A2F41">
      <w:pPr>
        <w:spacing w:line="520" w:lineRule="exact"/>
        <w:ind w:firstLine="63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</w:t>
      </w:r>
      <w:r w:rsidR="0092441A">
        <w:rPr>
          <w:rFonts w:ascii="仿宋_GB2312" w:eastAsia="仿宋_GB2312" w:hAnsi="宋体" w:hint="eastAsia"/>
          <w:b/>
          <w:sz w:val="32"/>
          <w:szCs w:val="32"/>
        </w:rPr>
        <w:t>、</w:t>
      </w:r>
      <w:r>
        <w:rPr>
          <w:rFonts w:ascii="仿宋_GB2312" w:eastAsia="仿宋_GB2312" w:hAnsi="宋体" w:hint="eastAsia"/>
          <w:b/>
          <w:sz w:val="32"/>
          <w:szCs w:val="32"/>
        </w:rPr>
        <w:t>米东区</w:t>
      </w:r>
      <w:r w:rsidR="00CF33CD" w:rsidRPr="00466495">
        <w:rPr>
          <w:rFonts w:ascii="仿宋_GB2312" w:eastAsia="仿宋_GB2312" w:hAnsi="宋体" w:hint="eastAsia"/>
          <w:b/>
          <w:sz w:val="32"/>
          <w:szCs w:val="32"/>
        </w:rPr>
        <w:t>收入</w:t>
      </w:r>
      <w:r w:rsidR="00466495" w:rsidRPr="00466495">
        <w:rPr>
          <w:rFonts w:ascii="仿宋_GB2312" w:eastAsia="仿宋_GB2312" w:hAnsi="宋体" w:hint="eastAsia"/>
          <w:b/>
          <w:sz w:val="32"/>
          <w:szCs w:val="32"/>
        </w:rPr>
        <w:t>支出情况</w:t>
      </w:r>
      <w:r w:rsidR="00466495">
        <w:rPr>
          <w:rFonts w:ascii="仿宋_GB2312" w:eastAsia="仿宋_GB2312" w:hAnsi="宋体" w:hint="eastAsia"/>
          <w:b/>
          <w:sz w:val="32"/>
          <w:szCs w:val="32"/>
        </w:rPr>
        <w:t>分析</w:t>
      </w:r>
    </w:p>
    <w:p w:rsidR="00A763D1" w:rsidRDefault="00A763D1" w:rsidP="002A2F41">
      <w:pPr>
        <w:spacing w:line="520" w:lineRule="exact"/>
        <w:ind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(一)</w:t>
      </w:r>
      <w:r w:rsidR="00CC1307">
        <w:rPr>
          <w:rFonts w:ascii="仿宋_GB2312" w:eastAsia="仿宋_GB2312" w:hAnsi="宋体" w:hint="eastAsia"/>
          <w:sz w:val="32"/>
          <w:szCs w:val="32"/>
        </w:rPr>
        <w:t>财政</w:t>
      </w:r>
      <w:r>
        <w:rPr>
          <w:rFonts w:ascii="仿宋_GB2312" w:eastAsia="仿宋_GB2312" w:hAnsi="宋体" w:hint="eastAsia"/>
          <w:sz w:val="32"/>
          <w:szCs w:val="32"/>
        </w:rPr>
        <w:t>收入情况</w:t>
      </w:r>
    </w:p>
    <w:p w:rsidR="00057767" w:rsidRPr="00C356A2" w:rsidRDefault="00E47950" w:rsidP="00C356A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="00BB6661">
        <w:rPr>
          <w:rFonts w:ascii="仿宋_GB2312" w:eastAsia="仿宋_GB2312" w:hAnsi="宋体" w:hint="eastAsia"/>
          <w:sz w:val="32"/>
          <w:szCs w:val="32"/>
        </w:rPr>
        <w:t>米东区总决算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收入</w:t>
      </w:r>
      <w:r w:rsidR="00C060C9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1,092,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096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元（其中：一般公共预算收入</w:t>
      </w:r>
      <w:r w:rsidR="00154E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47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2,632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元，政府性基金预算收入</w:t>
      </w:r>
      <w:r w:rsidR="00154E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23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4,162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元，上级补助收入</w:t>
      </w:r>
      <w:r w:rsidR="00154E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9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6,984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元，调入资金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3,215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CF6C32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，动用</w:t>
      </w:r>
      <w:r w:rsidR="00CF6C32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预算稳定调节基金</w:t>
      </w:r>
      <w:r w:rsidR="0054746F">
        <w:rPr>
          <w:rFonts w:ascii="仿宋_GB2312" w:eastAsia="仿宋_GB2312" w:hint="eastAsia"/>
          <w:color w:val="000000"/>
          <w:kern w:val="0"/>
          <w:sz w:val="32"/>
          <w:szCs w:val="32"/>
        </w:rPr>
        <w:t>1,103</w:t>
      </w:r>
      <w:r w:rsidR="0054746F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="00CF6C32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元</w:t>
      </w:r>
      <w:r w:rsidR="00CF6C32">
        <w:rPr>
          <w:rFonts w:ascii="仿宋_GB2312" w:eastAsia="仿宋_GB2312" w:hint="eastAsia"/>
          <w:color w:val="000000"/>
          <w:kern w:val="0"/>
          <w:sz w:val="32"/>
          <w:szCs w:val="32"/>
        </w:rPr>
        <w:t>，上年结余0万元，债务转贷收入</w:t>
      </w:r>
      <w:r w:rsidR="00154EB0">
        <w:rPr>
          <w:rFonts w:ascii="仿宋_GB2312" w:eastAsia="仿宋_GB2312" w:hint="eastAsia"/>
          <w:color w:val="000000"/>
          <w:kern w:val="0"/>
          <w:sz w:val="32"/>
          <w:szCs w:val="32"/>
        </w:rPr>
        <w:t>28</w:t>
      </w:r>
      <w:r w:rsidR="0054746F">
        <w:rPr>
          <w:rFonts w:ascii="仿宋_GB2312" w:eastAsia="仿宋_GB2312" w:hint="eastAsia"/>
          <w:color w:val="000000"/>
          <w:kern w:val="0"/>
          <w:sz w:val="32"/>
          <w:szCs w:val="32"/>
        </w:rPr>
        <w:t>4,000万</w:t>
      </w:r>
      <w:r w:rsidR="00CF6C32">
        <w:rPr>
          <w:rFonts w:ascii="仿宋_GB2312" w:eastAsia="仿宋_GB2312" w:hint="eastAsia"/>
          <w:color w:val="000000"/>
          <w:kern w:val="0"/>
          <w:sz w:val="32"/>
          <w:szCs w:val="32"/>
        </w:rPr>
        <w:t>元</w:t>
      </w:r>
      <w:r w:rsidR="00D84318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）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；当年地方财政预算支出</w:t>
      </w:r>
      <w:r w:rsidR="00C060C9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1,092,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096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元（其中：一般公共预算支出</w:t>
      </w:r>
      <w:r w:rsidR="00794699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48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3,178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元、政府性基金预算支出</w:t>
      </w:r>
      <w:r w:rsidR="00794699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36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7,298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元，上解支出</w:t>
      </w:r>
      <w:r w:rsidR="00794699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17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4,378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元,</w:t>
      </w:r>
      <w:r w:rsidR="00D71D74" w:rsidRPr="001937B0">
        <w:rPr>
          <w:rFonts w:eastAsia="仿宋_GB2312" w:hint="eastAsia"/>
          <w:color w:val="000000"/>
          <w:kern w:val="0"/>
          <w:sz w:val="32"/>
          <w:szCs w:val="32"/>
        </w:rPr>
        <w:t> </w:t>
      </w:r>
      <w:r w:rsidR="00D71D74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安排预算稳定调节基金</w:t>
      </w:r>
      <w:r w:rsidR="0054746F">
        <w:rPr>
          <w:rFonts w:ascii="仿宋_GB2312" w:eastAsia="仿宋_GB2312" w:hint="eastAsia"/>
          <w:color w:val="000000"/>
          <w:kern w:val="0"/>
          <w:sz w:val="32"/>
          <w:szCs w:val="32"/>
        </w:rPr>
        <w:t>2,242</w:t>
      </w:r>
      <w:r w:rsidR="0054746F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="00D71D74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元</w:t>
      </w:r>
      <w:r w:rsidR="00CF6C32">
        <w:rPr>
          <w:rFonts w:ascii="仿宋_GB2312" w:eastAsia="仿宋_GB2312" w:hint="eastAsia"/>
          <w:color w:val="000000"/>
          <w:kern w:val="0"/>
          <w:sz w:val="32"/>
          <w:szCs w:val="32"/>
        </w:rPr>
        <w:t>，债务还本支出</w:t>
      </w:r>
      <w:r w:rsidR="00794699">
        <w:rPr>
          <w:rFonts w:ascii="仿宋_GB2312" w:eastAsia="仿宋_GB2312" w:hint="eastAsia"/>
          <w:color w:val="000000"/>
          <w:kern w:val="0"/>
          <w:sz w:val="32"/>
          <w:szCs w:val="32"/>
        </w:rPr>
        <w:t>6</w:t>
      </w:r>
      <w:r w:rsidR="0054746F">
        <w:rPr>
          <w:rFonts w:ascii="仿宋_GB2312" w:eastAsia="仿宋_GB2312" w:hint="eastAsia"/>
          <w:color w:val="000000"/>
          <w:kern w:val="0"/>
          <w:sz w:val="32"/>
          <w:szCs w:val="32"/>
        </w:rPr>
        <w:t>5,000万</w:t>
      </w:r>
      <w:r w:rsidR="00CF6C32">
        <w:rPr>
          <w:rFonts w:ascii="仿宋_GB2312" w:eastAsia="仿宋_GB2312" w:hint="eastAsia"/>
          <w:color w:val="000000"/>
          <w:kern w:val="0"/>
          <w:sz w:val="32"/>
          <w:szCs w:val="32"/>
        </w:rPr>
        <w:t>元</w:t>
      </w:r>
      <w:r w:rsidR="00D84318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）</w:t>
      </w:r>
      <w:r w:rsidR="00BB6661">
        <w:rPr>
          <w:rFonts w:ascii="仿宋_GB2312" w:eastAsia="仿宋_GB2312" w:hAnsi="宋体" w:hint="eastAsia"/>
          <w:sz w:val="32"/>
          <w:szCs w:val="32"/>
        </w:rPr>
        <w:t>，</w:t>
      </w:r>
      <w:r w:rsidR="00057767">
        <w:rPr>
          <w:rFonts w:ascii="仿宋_GB2312" w:eastAsia="仿宋_GB2312" w:hAnsi="宋体" w:hint="eastAsia"/>
          <w:sz w:val="32"/>
          <w:szCs w:val="32"/>
        </w:rPr>
        <w:t>各项收入占总收入比重</w:t>
      </w:r>
      <w:r w:rsidR="00CC1307">
        <w:rPr>
          <w:rFonts w:ascii="仿宋_GB2312" w:eastAsia="仿宋_GB2312" w:hAnsi="宋体" w:hint="eastAsia"/>
          <w:sz w:val="32"/>
          <w:szCs w:val="32"/>
        </w:rPr>
        <w:t>如下</w:t>
      </w:r>
      <w:r w:rsidR="00057767">
        <w:rPr>
          <w:rFonts w:ascii="仿宋_GB2312" w:eastAsia="仿宋_GB2312" w:hAnsi="宋体" w:hint="eastAsia"/>
          <w:sz w:val="32"/>
          <w:szCs w:val="32"/>
        </w:rPr>
        <w:t>：</w:t>
      </w:r>
    </w:p>
    <w:p w:rsidR="00C356A2" w:rsidRDefault="001A4F1E" w:rsidP="007C008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 wp14:anchorId="33FD8915" wp14:editId="2080BE1A">
            <wp:extent cx="4791075" cy="2284095"/>
            <wp:effectExtent l="0" t="0" r="0" b="1905"/>
            <wp:docPr id="45" name="对象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72EDB" w:rsidRDefault="00057767" w:rsidP="00872EDB">
      <w:pPr>
        <w:widowControl/>
        <w:topLinePunct/>
        <w:spacing w:line="560" w:lineRule="exact"/>
        <w:ind w:firstLineChars="200" w:firstLine="64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057767">
        <w:rPr>
          <w:rFonts w:ascii="仿宋_GB2312" w:eastAsia="仿宋_GB2312" w:hAnsi="宋体" w:hint="eastAsia"/>
          <w:sz w:val="32"/>
          <w:szCs w:val="32"/>
        </w:rPr>
        <w:lastRenderedPageBreak/>
        <w:t>1、</w:t>
      </w:r>
      <w:r w:rsidR="00E47950">
        <w:rPr>
          <w:rFonts w:ascii="仿宋_GB2312" w:eastAsia="仿宋_GB2312" w:hAnsi="宋体" w:hint="eastAsia"/>
          <w:sz w:val="32"/>
          <w:szCs w:val="32"/>
        </w:rPr>
        <w:t>2019年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地方财政预算收入完成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70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6,794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元，比上年增加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5,456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元，增长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8.51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，完成调整预算的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100%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。其中：一般公共预算收入完成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47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2,632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元，比上年增加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8,799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元，增长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6.49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，完成调整预算的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100%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；政府性基金预算收入完成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23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4,162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元，比上年增加</w:t>
      </w:r>
      <w:r w:rsidR="00592F1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6,657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元，增长</w:t>
      </w:r>
      <w:r w:rsidR="00E70E11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12.85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，完成调整预算的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100 %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。地方政府债券收入</w:t>
      </w:r>
      <w:r w:rsidR="00E70E11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28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4,000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元。</w:t>
      </w:r>
    </w:p>
    <w:p w:rsidR="00EE1FBC" w:rsidRDefault="00BA6D99" w:rsidP="00825F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各项</w:t>
      </w:r>
      <w:r w:rsidR="00466495">
        <w:rPr>
          <w:rFonts w:ascii="仿宋_GB2312" w:eastAsia="仿宋_GB2312" w:hAnsi="宋体" w:hint="eastAsia"/>
          <w:sz w:val="32"/>
          <w:szCs w:val="32"/>
        </w:rPr>
        <w:t>预算</w:t>
      </w:r>
      <w:r w:rsidR="00057767">
        <w:rPr>
          <w:rFonts w:ascii="仿宋_GB2312" w:eastAsia="仿宋_GB2312" w:hAnsi="宋体" w:hint="eastAsia"/>
          <w:sz w:val="32"/>
          <w:szCs w:val="32"/>
        </w:rPr>
        <w:t>收入占预算</w:t>
      </w:r>
      <w:r>
        <w:rPr>
          <w:rFonts w:ascii="仿宋_GB2312" w:eastAsia="仿宋_GB2312" w:hAnsi="宋体" w:hint="eastAsia"/>
          <w:sz w:val="32"/>
          <w:szCs w:val="32"/>
        </w:rPr>
        <w:t>收入</w:t>
      </w:r>
      <w:r w:rsidR="001C6596">
        <w:rPr>
          <w:rFonts w:ascii="仿宋_GB2312" w:eastAsia="仿宋_GB2312" w:hAnsi="宋体" w:hint="eastAsia"/>
          <w:sz w:val="32"/>
          <w:szCs w:val="32"/>
        </w:rPr>
        <w:t>比重如下：</w:t>
      </w:r>
    </w:p>
    <w:p w:rsidR="001C6596" w:rsidRDefault="00614B0F" w:rsidP="00EC5EDD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noProof/>
          <w:sz w:val="32"/>
          <w:szCs w:val="32"/>
        </w:rPr>
        <w:drawing>
          <wp:inline distT="0" distB="0" distL="0" distR="0" wp14:anchorId="0609AC43" wp14:editId="3C223E63">
            <wp:extent cx="5304790" cy="3094355"/>
            <wp:effectExtent l="0" t="0" r="0" b="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A6D99" w:rsidRDefault="00992929" w:rsidP="00825F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</w:t>
      </w:r>
      <w:r w:rsidR="0095202A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一般公共预算收入完成</w:t>
      </w:r>
      <w:r w:rsidR="00A5131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47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2,632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95202A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元，比上年增加</w:t>
      </w:r>
      <w:r w:rsidR="00A5131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8,799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95202A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元，增长</w:t>
      </w:r>
      <w:r w:rsidR="00A5131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6.49</w:t>
      </w:r>
      <w:r w:rsidR="0095202A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057767" w:rsidRPr="00E67ABE">
        <w:rPr>
          <w:rFonts w:ascii="仿宋_GB2312" w:eastAsia="仿宋_GB2312" w:hAnsi="宋体" w:hint="eastAsia"/>
          <w:sz w:val="32"/>
          <w:szCs w:val="32"/>
        </w:rPr>
        <w:t>。其中</w:t>
      </w:r>
      <w:r w:rsidR="00E67ABE">
        <w:rPr>
          <w:rFonts w:ascii="仿宋_GB2312" w:eastAsia="仿宋_GB2312" w:hAnsi="宋体" w:hint="eastAsia"/>
          <w:sz w:val="32"/>
          <w:szCs w:val="32"/>
        </w:rPr>
        <w:t>:增值税完成</w:t>
      </w:r>
      <w:r w:rsidR="00A5131A">
        <w:rPr>
          <w:rFonts w:ascii="仿宋_GB2312" w:eastAsia="仿宋_GB2312" w:hAnsi="宋体" w:hint="eastAsia"/>
          <w:sz w:val="32"/>
          <w:szCs w:val="32"/>
        </w:rPr>
        <w:t>13</w:t>
      </w:r>
      <w:r w:rsidR="0054746F">
        <w:rPr>
          <w:rFonts w:ascii="仿宋_GB2312" w:eastAsia="仿宋_GB2312" w:hAnsi="宋体" w:hint="eastAsia"/>
          <w:sz w:val="32"/>
          <w:szCs w:val="32"/>
        </w:rPr>
        <w:t>4,580万</w:t>
      </w:r>
      <w:r w:rsidR="00E67ABE">
        <w:rPr>
          <w:rFonts w:ascii="仿宋_GB2312" w:eastAsia="仿宋_GB2312" w:hAnsi="宋体" w:hint="eastAsia"/>
          <w:sz w:val="32"/>
          <w:szCs w:val="32"/>
        </w:rPr>
        <w:t>元，企业所得税完成</w:t>
      </w:r>
      <w:r w:rsidR="00A5131A">
        <w:rPr>
          <w:rFonts w:ascii="仿宋_GB2312" w:eastAsia="仿宋_GB2312" w:hAnsi="宋体" w:hint="eastAsia"/>
          <w:sz w:val="32"/>
          <w:szCs w:val="32"/>
        </w:rPr>
        <w:t>2</w:t>
      </w:r>
      <w:r w:rsidR="0054746F">
        <w:rPr>
          <w:rFonts w:ascii="仿宋_GB2312" w:eastAsia="仿宋_GB2312" w:hAnsi="宋体" w:hint="eastAsia"/>
          <w:sz w:val="32"/>
          <w:szCs w:val="32"/>
        </w:rPr>
        <w:t>0,232万</w:t>
      </w:r>
      <w:r w:rsidR="00E67ABE">
        <w:rPr>
          <w:rFonts w:ascii="仿宋_GB2312" w:eastAsia="仿宋_GB2312" w:hAnsi="宋体" w:hint="eastAsia"/>
          <w:sz w:val="32"/>
          <w:szCs w:val="32"/>
        </w:rPr>
        <w:t>元，个人所得税完成</w:t>
      </w:r>
      <w:r w:rsidR="00A5131A">
        <w:rPr>
          <w:rFonts w:ascii="仿宋_GB2312" w:eastAsia="仿宋_GB2312" w:hAnsi="宋体" w:hint="eastAsia"/>
          <w:sz w:val="32"/>
          <w:szCs w:val="32"/>
        </w:rPr>
        <w:t>1</w:t>
      </w:r>
      <w:r w:rsidR="0054746F">
        <w:rPr>
          <w:rFonts w:ascii="仿宋_GB2312" w:eastAsia="仿宋_GB2312" w:hAnsi="宋体" w:hint="eastAsia"/>
          <w:sz w:val="32"/>
          <w:szCs w:val="32"/>
        </w:rPr>
        <w:t>2,234万</w:t>
      </w:r>
      <w:r w:rsidR="00E67ABE">
        <w:rPr>
          <w:rFonts w:ascii="仿宋_GB2312" w:eastAsia="仿宋_GB2312" w:hAnsi="宋体" w:hint="eastAsia"/>
          <w:sz w:val="32"/>
          <w:szCs w:val="32"/>
        </w:rPr>
        <w:t>元，</w:t>
      </w:r>
      <w:r w:rsidR="00E67ABE">
        <w:rPr>
          <w:rFonts w:ascii="仿宋_GB2312" w:eastAsia="仿宋_GB2312" w:hAnsi="宋体" w:hint="eastAsia"/>
          <w:sz w:val="32"/>
          <w:szCs w:val="32"/>
        </w:rPr>
        <w:lastRenderedPageBreak/>
        <w:t>资源税完成</w:t>
      </w:r>
      <w:r w:rsidR="0054746F">
        <w:rPr>
          <w:rFonts w:ascii="仿宋_GB2312" w:eastAsia="仿宋_GB2312" w:hAnsi="宋体" w:hint="eastAsia"/>
          <w:sz w:val="32"/>
          <w:szCs w:val="32"/>
        </w:rPr>
        <w:t>3,602万</w:t>
      </w:r>
      <w:r w:rsidR="00E67ABE">
        <w:rPr>
          <w:rFonts w:ascii="仿宋_GB2312" w:eastAsia="仿宋_GB2312" w:hAnsi="宋体" w:hint="eastAsia"/>
          <w:sz w:val="32"/>
          <w:szCs w:val="32"/>
        </w:rPr>
        <w:t>元，城建税完成</w:t>
      </w:r>
      <w:r w:rsidR="00A5131A">
        <w:rPr>
          <w:rFonts w:ascii="仿宋_GB2312" w:eastAsia="仿宋_GB2312" w:hAnsi="宋体" w:hint="eastAsia"/>
          <w:sz w:val="32"/>
          <w:szCs w:val="32"/>
        </w:rPr>
        <w:t>3</w:t>
      </w:r>
      <w:r w:rsidR="0054746F">
        <w:rPr>
          <w:rFonts w:ascii="仿宋_GB2312" w:eastAsia="仿宋_GB2312" w:hAnsi="宋体" w:hint="eastAsia"/>
          <w:sz w:val="32"/>
          <w:szCs w:val="32"/>
        </w:rPr>
        <w:t>2,371万</w:t>
      </w:r>
      <w:r w:rsidR="00E67ABE">
        <w:rPr>
          <w:rFonts w:ascii="仿宋_GB2312" w:eastAsia="仿宋_GB2312" w:hAnsi="宋体" w:hint="eastAsia"/>
          <w:sz w:val="32"/>
          <w:szCs w:val="32"/>
        </w:rPr>
        <w:t>元，房产税完成</w:t>
      </w:r>
      <w:r w:rsidR="002A1BB1">
        <w:rPr>
          <w:rFonts w:ascii="仿宋_GB2312" w:eastAsia="仿宋_GB2312" w:hAnsi="宋体" w:hint="eastAsia"/>
          <w:sz w:val="32"/>
          <w:szCs w:val="32"/>
        </w:rPr>
        <w:t>1</w:t>
      </w:r>
      <w:r w:rsidR="0054746F">
        <w:rPr>
          <w:rFonts w:ascii="仿宋_GB2312" w:eastAsia="仿宋_GB2312" w:hAnsi="宋体" w:hint="eastAsia"/>
          <w:sz w:val="32"/>
          <w:szCs w:val="32"/>
        </w:rPr>
        <w:t>2,671万</w:t>
      </w:r>
      <w:r w:rsidR="00E67ABE">
        <w:rPr>
          <w:rFonts w:ascii="仿宋_GB2312" w:eastAsia="仿宋_GB2312" w:hAnsi="宋体" w:hint="eastAsia"/>
          <w:sz w:val="32"/>
          <w:szCs w:val="32"/>
        </w:rPr>
        <w:t>元，印花税完成</w:t>
      </w:r>
      <w:r w:rsidR="0054746F">
        <w:rPr>
          <w:rFonts w:ascii="仿宋_GB2312" w:eastAsia="仿宋_GB2312" w:hAnsi="宋体" w:hint="eastAsia"/>
          <w:sz w:val="32"/>
          <w:szCs w:val="32"/>
        </w:rPr>
        <w:t>4,427万</w:t>
      </w:r>
      <w:r w:rsidR="00E67ABE">
        <w:rPr>
          <w:rFonts w:ascii="仿宋_GB2312" w:eastAsia="仿宋_GB2312" w:hAnsi="宋体" w:hint="eastAsia"/>
          <w:sz w:val="32"/>
          <w:szCs w:val="32"/>
        </w:rPr>
        <w:t>元，城镇土地使用税完成</w:t>
      </w:r>
      <w:r w:rsidR="002A1BB1">
        <w:rPr>
          <w:rFonts w:ascii="仿宋_GB2312" w:eastAsia="仿宋_GB2312" w:hAnsi="宋体" w:hint="eastAsia"/>
          <w:sz w:val="32"/>
          <w:szCs w:val="32"/>
        </w:rPr>
        <w:t>1</w:t>
      </w:r>
      <w:r w:rsidR="0054746F">
        <w:rPr>
          <w:rFonts w:ascii="仿宋_GB2312" w:eastAsia="仿宋_GB2312" w:hAnsi="宋体" w:hint="eastAsia"/>
          <w:sz w:val="32"/>
          <w:szCs w:val="32"/>
        </w:rPr>
        <w:t>1,534万</w:t>
      </w:r>
      <w:r w:rsidR="00E67ABE">
        <w:rPr>
          <w:rFonts w:ascii="仿宋_GB2312" w:eastAsia="仿宋_GB2312" w:hAnsi="宋体" w:hint="eastAsia"/>
          <w:sz w:val="32"/>
          <w:szCs w:val="32"/>
        </w:rPr>
        <w:t>元，土地增值税完成</w:t>
      </w:r>
      <w:r w:rsidR="00A5131A">
        <w:rPr>
          <w:rFonts w:ascii="仿宋_GB2312" w:eastAsia="仿宋_GB2312" w:hAnsi="宋体" w:hint="eastAsia"/>
          <w:sz w:val="32"/>
          <w:szCs w:val="32"/>
        </w:rPr>
        <w:t>2</w:t>
      </w:r>
      <w:r w:rsidR="0054746F">
        <w:rPr>
          <w:rFonts w:ascii="仿宋_GB2312" w:eastAsia="仿宋_GB2312" w:hAnsi="宋体" w:hint="eastAsia"/>
          <w:sz w:val="32"/>
          <w:szCs w:val="32"/>
        </w:rPr>
        <w:t>2,040万</w:t>
      </w:r>
      <w:r w:rsidR="00E67ABE">
        <w:rPr>
          <w:rFonts w:ascii="仿宋_GB2312" w:eastAsia="仿宋_GB2312" w:hAnsi="宋体" w:hint="eastAsia"/>
          <w:sz w:val="32"/>
          <w:szCs w:val="32"/>
        </w:rPr>
        <w:t>元，车船税完成</w:t>
      </w:r>
      <w:r w:rsidR="002A1BB1">
        <w:rPr>
          <w:rFonts w:ascii="仿宋_GB2312" w:eastAsia="仿宋_GB2312" w:hAnsi="宋体" w:hint="eastAsia"/>
          <w:sz w:val="32"/>
          <w:szCs w:val="32"/>
        </w:rPr>
        <w:t>17</w:t>
      </w:r>
      <w:r w:rsidR="00E67ABE">
        <w:rPr>
          <w:rFonts w:ascii="仿宋_GB2312" w:eastAsia="仿宋_GB2312" w:hAnsi="宋体" w:hint="eastAsia"/>
          <w:sz w:val="32"/>
          <w:szCs w:val="32"/>
        </w:rPr>
        <w:t>万元，</w:t>
      </w:r>
      <w:r w:rsidR="008204C9">
        <w:rPr>
          <w:rFonts w:ascii="仿宋_GB2312" w:eastAsia="仿宋_GB2312" w:hAnsi="宋体" w:hint="eastAsia"/>
          <w:sz w:val="32"/>
          <w:szCs w:val="32"/>
        </w:rPr>
        <w:t>耕地占用税完成</w:t>
      </w:r>
      <w:r w:rsidR="00A5131A">
        <w:rPr>
          <w:rFonts w:ascii="仿宋_GB2312" w:eastAsia="仿宋_GB2312" w:hAnsi="宋体" w:hint="eastAsia"/>
          <w:sz w:val="32"/>
          <w:szCs w:val="32"/>
        </w:rPr>
        <w:t>1</w:t>
      </w:r>
      <w:r w:rsidR="0054746F">
        <w:rPr>
          <w:rFonts w:ascii="仿宋_GB2312" w:eastAsia="仿宋_GB2312" w:hAnsi="宋体" w:hint="eastAsia"/>
          <w:sz w:val="32"/>
          <w:szCs w:val="32"/>
        </w:rPr>
        <w:t>8,481万</w:t>
      </w:r>
      <w:r w:rsidR="008204C9">
        <w:rPr>
          <w:rFonts w:ascii="仿宋_GB2312" w:eastAsia="仿宋_GB2312" w:hAnsi="宋体" w:hint="eastAsia"/>
          <w:sz w:val="32"/>
          <w:szCs w:val="32"/>
        </w:rPr>
        <w:t>元，</w:t>
      </w:r>
      <w:r w:rsidR="00E67ABE">
        <w:rPr>
          <w:rFonts w:ascii="仿宋_GB2312" w:eastAsia="仿宋_GB2312" w:hAnsi="宋体" w:hint="eastAsia"/>
          <w:sz w:val="32"/>
          <w:szCs w:val="32"/>
        </w:rPr>
        <w:t>契税完成</w:t>
      </w:r>
      <w:r w:rsidR="00A5131A">
        <w:rPr>
          <w:rFonts w:ascii="仿宋_GB2312" w:eastAsia="仿宋_GB2312" w:hAnsi="宋体" w:hint="eastAsia"/>
          <w:sz w:val="32"/>
          <w:szCs w:val="32"/>
        </w:rPr>
        <w:t>3</w:t>
      </w:r>
      <w:r w:rsidR="0054746F">
        <w:rPr>
          <w:rFonts w:ascii="仿宋_GB2312" w:eastAsia="仿宋_GB2312" w:hAnsi="宋体" w:hint="eastAsia"/>
          <w:sz w:val="32"/>
          <w:szCs w:val="32"/>
        </w:rPr>
        <w:t>3,529万</w:t>
      </w:r>
      <w:r w:rsidR="00E67ABE">
        <w:rPr>
          <w:rFonts w:ascii="仿宋_GB2312" w:eastAsia="仿宋_GB2312" w:hAnsi="宋体" w:hint="eastAsia"/>
          <w:sz w:val="32"/>
          <w:szCs w:val="32"/>
        </w:rPr>
        <w:t>元，专项收入完成</w:t>
      </w:r>
      <w:r w:rsidR="00A5131A">
        <w:rPr>
          <w:rFonts w:ascii="仿宋_GB2312" w:eastAsia="仿宋_GB2312" w:hAnsi="宋体" w:hint="eastAsia"/>
          <w:sz w:val="32"/>
          <w:szCs w:val="32"/>
        </w:rPr>
        <w:t>8</w:t>
      </w:r>
      <w:r w:rsidR="0054746F">
        <w:rPr>
          <w:rFonts w:ascii="仿宋_GB2312" w:eastAsia="仿宋_GB2312" w:hAnsi="宋体" w:hint="eastAsia"/>
          <w:sz w:val="32"/>
          <w:szCs w:val="32"/>
        </w:rPr>
        <w:t>4,808万</w:t>
      </w:r>
      <w:r w:rsidR="00E67ABE">
        <w:rPr>
          <w:rFonts w:ascii="仿宋_GB2312" w:eastAsia="仿宋_GB2312" w:hAnsi="宋体" w:hint="eastAsia"/>
          <w:sz w:val="32"/>
          <w:szCs w:val="32"/>
        </w:rPr>
        <w:t>元，行政事业性收费收入完成</w:t>
      </w:r>
      <w:r w:rsidR="00A5131A">
        <w:rPr>
          <w:rFonts w:ascii="仿宋_GB2312" w:eastAsia="仿宋_GB2312" w:hAnsi="宋体" w:hint="eastAsia"/>
          <w:sz w:val="32"/>
          <w:szCs w:val="32"/>
        </w:rPr>
        <w:t>1</w:t>
      </w:r>
      <w:r w:rsidR="0054746F">
        <w:rPr>
          <w:rFonts w:ascii="仿宋_GB2312" w:eastAsia="仿宋_GB2312" w:hAnsi="宋体" w:hint="eastAsia"/>
          <w:sz w:val="32"/>
          <w:szCs w:val="32"/>
        </w:rPr>
        <w:t>6,447万</w:t>
      </w:r>
      <w:r w:rsidR="00E67ABE">
        <w:rPr>
          <w:rFonts w:ascii="仿宋_GB2312" w:eastAsia="仿宋_GB2312" w:hAnsi="宋体" w:hint="eastAsia"/>
          <w:sz w:val="32"/>
          <w:szCs w:val="32"/>
        </w:rPr>
        <w:t>元，罚没收入完成</w:t>
      </w:r>
      <w:r w:rsidR="0054746F">
        <w:rPr>
          <w:rFonts w:ascii="仿宋_GB2312" w:eastAsia="仿宋_GB2312" w:hAnsi="宋体" w:hint="eastAsia"/>
          <w:sz w:val="32"/>
          <w:szCs w:val="32"/>
        </w:rPr>
        <w:t>4,350万</w:t>
      </w:r>
      <w:r w:rsidR="00E67ABE">
        <w:rPr>
          <w:rFonts w:ascii="仿宋_GB2312" w:eastAsia="仿宋_GB2312" w:hAnsi="宋体" w:hint="eastAsia"/>
          <w:sz w:val="32"/>
          <w:szCs w:val="32"/>
        </w:rPr>
        <w:t>元，国有资源有偿使用收入完成</w:t>
      </w:r>
      <w:r w:rsidR="00A5131A">
        <w:rPr>
          <w:rFonts w:ascii="仿宋_GB2312" w:eastAsia="仿宋_GB2312" w:hAnsi="宋体" w:hint="eastAsia"/>
          <w:sz w:val="32"/>
          <w:szCs w:val="32"/>
        </w:rPr>
        <w:t>4</w:t>
      </w:r>
      <w:r w:rsidR="0054746F">
        <w:rPr>
          <w:rFonts w:ascii="仿宋_GB2312" w:eastAsia="仿宋_GB2312" w:hAnsi="宋体" w:hint="eastAsia"/>
          <w:sz w:val="32"/>
          <w:szCs w:val="32"/>
        </w:rPr>
        <w:t>6,030万</w:t>
      </w:r>
      <w:r w:rsidR="00E67ABE">
        <w:rPr>
          <w:rFonts w:ascii="仿宋_GB2312" w:eastAsia="仿宋_GB2312" w:hAnsi="宋体" w:hint="eastAsia"/>
          <w:sz w:val="32"/>
          <w:szCs w:val="32"/>
        </w:rPr>
        <w:t>元</w:t>
      </w:r>
      <w:r w:rsidR="00A20B1F">
        <w:rPr>
          <w:rFonts w:ascii="仿宋_GB2312" w:eastAsia="仿宋_GB2312" w:hAnsi="宋体" w:hint="eastAsia"/>
          <w:sz w:val="32"/>
          <w:szCs w:val="32"/>
        </w:rPr>
        <w:t>，</w:t>
      </w:r>
      <w:r w:rsidR="000E73A5">
        <w:rPr>
          <w:rFonts w:ascii="仿宋_GB2312" w:eastAsia="仿宋_GB2312" w:hAnsi="宋体" w:hint="eastAsia"/>
          <w:sz w:val="32"/>
          <w:szCs w:val="32"/>
        </w:rPr>
        <w:t>政府住房基金收入</w:t>
      </w:r>
      <w:r w:rsidR="002A1BB1">
        <w:rPr>
          <w:rFonts w:ascii="仿宋_GB2312" w:eastAsia="仿宋_GB2312" w:hAnsi="宋体" w:hint="eastAsia"/>
          <w:sz w:val="32"/>
          <w:szCs w:val="32"/>
        </w:rPr>
        <w:t>2</w:t>
      </w:r>
      <w:r w:rsidR="000E73A5">
        <w:rPr>
          <w:rFonts w:ascii="仿宋_GB2312" w:eastAsia="仿宋_GB2312" w:hAnsi="宋体" w:hint="eastAsia"/>
          <w:sz w:val="32"/>
          <w:szCs w:val="32"/>
        </w:rPr>
        <w:t>万元，</w:t>
      </w:r>
      <w:r w:rsidR="008A41D9">
        <w:rPr>
          <w:rFonts w:ascii="仿宋_GB2312" w:eastAsia="仿宋_GB2312" w:hAnsi="宋体" w:hint="eastAsia"/>
          <w:sz w:val="32"/>
          <w:szCs w:val="32"/>
        </w:rPr>
        <w:t>其他收入</w:t>
      </w:r>
      <w:r w:rsidR="00A5131A">
        <w:rPr>
          <w:rFonts w:ascii="仿宋_GB2312" w:eastAsia="仿宋_GB2312" w:hAnsi="宋体" w:hint="eastAsia"/>
          <w:sz w:val="32"/>
          <w:szCs w:val="32"/>
        </w:rPr>
        <w:t>1</w:t>
      </w:r>
      <w:r w:rsidR="0054746F">
        <w:rPr>
          <w:rFonts w:ascii="仿宋_GB2312" w:eastAsia="仿宋_GB2312" w:hAnsi="宋体" w:hint="eastAsia"/>
          <w:sz w:val="32"/>
          <w:szCs w:val="32"/>
        </w:rPr>
        <w:t>5,246万</w:t>
      </w:r>
      <w:r w:rsidR="008A41D9">
        <w:rPr>
          <w:rFonts w:ascii="仿宋_GB2312" w:eastAsia="仿宋_GB2312" w:hAnsi="宋体" w:hint="eastAsia"/>
          <w:sz w:val="32"/>
          <w:szCs w:val="32"/>
        </w:rPr>
        <w:t>元</w:t>
      </w:r>
      <w:r w:rsidR="00E67ABE">
        <w:rPr>
          <w:rFonts w:ascii="仿宋_GB2312" w:eastAsia="仿宋_GB2312" w:hAnsi="宋体" w:hint="eastAsia"/>
          <w:sz w:val="32"/>
          <w:szCs w:val="32"/>
        </w:rPr>
        <w:t>。</w:t>
      </w:r>
      <w:r w:rsidR="00782215">
        <w:rPr>
          <w:rFonts w:ascii="仿宋_GB2312" w:eastAsia="仿宋_GB2312" w:hAnsi="宋体" w:hint="eastAsia"/>
          <w:sz w:val="32"/>
          <w:szCs w:val="32"/>
        </w:rPr>
        <w:t>各项一般收入</w:t>
      </w:r>
      <w:r w:rsidR="00BA6D99">
        <w:rPr>
          <w:rFonts w:ascii="仿宋_GB2312" w:eastAsia="仿宋_GB2312" w:hAnsi="宋体" w:hint="eastAsia"/>
          <w:sz w:val="32"/>
          <w:szCs w:val="32"/>
        </w:rPr>
        <w:t>比重如下：</w:t>
      </w:r>
    </w:p>
    <w:p w:rsidR="00BA6D99" w:rsidRDefault="001A4F1E" w:rsidP="00EC5EDD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 wp14:anchorId="08C030B6" wp14:editId="50197A4D">
            <wp:extent cx="5734050" cy="4171950"/>
            <wp:effectExtent l="0" t="0" r="0" b="0"/>
            <wp:docPr id="42" name="对象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67ABE">
        <w:rPr>
          <w:rFonts w:ascii="仿宋_GB2312" w:eastAsia="仿宋_GB2312" w:hAnsi="宋体" w:hint="eastAsia"/>
          <w:sz w:val="32"/>
          <w:szCs w:val="32"/>
        </w:rPr>
        <w:lastRenderedPageBreak/>
        <w:t xml:space="preserve">    </w:t>
      </w:r>
      <w:r w:rsidR="00992929">
        <w:rPr>
          <w:rFonts w:ascii="仿宋_GB2312" w:eastAsia="仿宋_GB2312" w:hAnsi="宋体" w:hint="eastAsia"/>
          <w:sz w:val="32"/>
          <w:szCs w:val="32"/>
        </w:rPr>
        <w:t>3、</w:t>
      </w:r>
      <w:r w:rsidR="0095202A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政府性基金预算收入完成</w:t>
      </w:r>
      <w:r w:rsidR="00E6429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23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4,162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95202A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元，比上年增加</w:t>
      </w:r>
      <w:r w:rsidR="00E6429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6,657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95202A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元，增长</w:t>
      </w:r>
      <w:r w:rsidR="00E6429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12.85</w:t>
      </w:r>
      <w:r w:rsidR="0095202A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E67ABE" w:rsidRPr="00E67ABE">
        <w:rPr>
          <w:rFonts w:ascii="仿宋_GB2312" w:eastAsia="仿宋_GB2312" w:hAnsi="宋体" w:hint="eastAsia"/>
          <w:sz w:val="32"/>
          <w:szCs w:val="32"/>
        </w:rPr>
        <w:t>。其中</w:t>
      </w:r>
      <w:r w:rsidR="00E72F3E">
        <w:rPr>
          <w:rFonts w:ascii="仿宋_GB2312" w:eastAsia="仿宋_GB2312" w:hAnsi="宋体" w:hint="eastAsia"/>
          <w:sz w:val="32"/>
          <w:szCs w:val="32"/>
        </w:rPr>
        <w:t>：</w:t>
      </w:r>
      <w:r w:rsidR="006D5155">
        <w:rPr>
          <w:rFonts w:ascii="仿宋_GB2312" w:eastAsia="仿宋_GB2312" w:hAnsi="宋体" w:hint="eastAsia"/>
          <w:sz w:val="32"/>
          <w:szCs w:val="32"/>
        </w:rPr>
        <w:t>国有</w:t>
      </w:r>
      <w:r w:rsidR="00782215">
        <w:rPr>
          <w:rFonts w:ascii="仿宋_GB2312" w:eastAsia="仿宋_GB2312" w:hAnsi="宋体" w:hint="eastAsia"/>
          <w:sz w:val="32"/>
          <w:szCs w:val="32"/>
        </w:rPr>
        <w:t>土地使用权出让金收入完成</w:t>
      </w:r>
      <w:r w:rsidR="00E64297">
        <w:rPr>
          <w:rFonts w:ascii="仿宋_GB2312" w:eastAsia="仿宋_GB2312" w:hAnsi="宋体" w:hint="eastAsia"/>
          <w:sz w:val="32"/>
          <w:szCs w:val="32"/>
        </w:rPr>
        <w:t>22</w:t>
      </w:r>
      <w:r w:rsidR="0054746F">
        <w:rPr>
          <w:rFonts w:ascii="仿宋_GB2312" w:eastAsia="仿宋_GB2312" w:hAnsi="宋体" w:hint="eastAsia"/>
          <w:sz w:val="32"/>
          <w:szCs w:val="32"/>
        </w:rPr>
        <w:t>7,277万</w:t>
      </w:r>
      <w:r w:rsidR="00782215">
        <w:rPr>
          <w:rFonts w:ascii="仿宋_GB2312" w:eastAsia="仿宋_GB2312" w:hAnsi="宋体" w:hint="eastAsia"/>
          <w:sz w:val="32"/>
          <w:szCs w:val="32"/>
        </w:rPr>
        <w:t>元，</w:t>
      </w:r>
      <w:r w:rsidR="005B190A">
        <w:rPr>
          <w:rFonts w:ascii="仿宋_GB2312" w:eastAsia="仿宋_GB2312" w:hAnsi="宋体" w:hint="eastAsia"/>
          <w:sz w:val="32"/>
          <w:szCs w:val="32"/>
        </w:rPr>
        <w:t>城市基础设施配套费收入</w:t>
      </w:r>
      <w:r w:rsidR="0054746F">
        <w:rPr>
          <w:rFonts w:ascii="仿宋_GB2312" w:eastAsia="仿宋_GB2312" w:hAnsi="宋体" w:hint="eastAsia"/>
          <w:sz w:val="32"/>
          <w:szCs w:val="32"/>
        </w:rPr>
        <w:t>5,508万</w:t>
      </w:r>
      <w:r w:rsidR="005B190A">
        <w:rPr>
          <w:rFonts w:ascii="仿宋_GB2312" w:eastAsia="仿宋_GB2312" w:hAnsi="宋体" w:hint="eastAsia"/>
          <w:sz w:val="32"/>
          <w:szCs w:val="32"/>
        </w:rPr>
        <w:t>元</w:t>
      </w:r>
      <w:r w:rsidR="00E7630C">
        <w:rPr>
          <w:rFonts w:ascii="仿宋_GB2312" w:eastAsia="仿宋_GB2312" w:hAnsi="宋体" w:hint="eastAsia"/>
          <w:sz w:val="32"/>
          <w:szCs w:val="32"/>
        </w:rPr>
        <w:t>，污水处理费收入</w:t>
      </w:r>
      <w:r w:rsidR="0054746F">
        <w:rPr>
          <w:rFonts w:ascii="仿宋_GB2312" w:eastAsia="仿宋_GB2312" w:hAnsi="宋体" w:hint="eastAsia"/>
          <w:sz w:val="32"/>
          <w:szCs w:val="32"/>
        </w:rPr>
        <w:t>1,377万</w:t>
      </w:r>
      <w:r w:rsidR="00E7630C">
        <w:rPr>
          <w:rFonts w:ascii="仿宋_GB2312" w:eastAsia="仿宋_GB2312" w:hAnsi="宋体" w:hint="eastAsia"/>
          <w:sz w:val="32"/>
          <w:szCs w:val="32"/>
        </w:rPr>
        <w:t>元</w:t>
      </w:r>
      <w:r w:rsidR="00782215">
        <w:rPr>
          <w:rFonts w:ascii="仿宋_GB2312" w:eastAsia="仿宋_GB2312" w:hAnsi="宋体" w:hint="eastAsia"/>
          <w:sz w:val="32"/>
          <w:szCs w:val="32"/>
        </w:rPr>
        <w:t>。</w:t>
      </w:r>
      <w:r w:rsidR="00513F49">
        <w:rPr>
          <w:rFonts w:ascii="仿宋_GB2312" w:eastAsia="仿宋_GB2312" w:hAnsi="宋体" w:hint="eastAsia"/>
          <w:sz w:val="32"/>
          <w:szCs w:val="32"/>
        </w:rPr>
        <w:t>各项</w:t>
      </w:r>
      <w:r w:rsidR="00782215">
        <w:rPr>
          <w:rFonts w:ascii="仿宋_GB2312" w:eastAsia="仿宋_GB2312" w:hAnsi="宋体" w:hint="eastAsia"/>
          <w:sz w:val="32"/>
          <w:szCs w:val="32"/>
        </w:rPr>
        <w:t>基金</w:t>
      </w:r>
      <w:r w:rsidR="00513F49">
        <w:rPr>
          <w:rFonts w:ascii="仿宋_GB2312" w:eastAsia="仿宋_GB2312" w:hAnsi="宋体" w:hint="eastAsia"/>
          <w:sz w:val="32"/>
          <w:szCs w:val="32"/>
        </w:rPr>
        <w:t>收入比重如下：</w:t>
      </w:r>
    </w:p>
    <w:p w:rsidR="00513F49" w:rsidRDefault="001A4F1E" w:rsidP="00EC5EDD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 wp14:anchorId="7C75C10C" wp14:editId="4C7BEAD6">
            <wp:extent cx="5429250" cy="3349763"/>
            <wp:effectExtent l="0" t="0" r="0" b="0"/>
            <wp:docPr id="4" name="对象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92929" w:rsidRDefault="00992929" w:rsidP="00992929">
      <w:pPr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</w:t>
      </w:r>
      <w:r w:rsidR="0099520F">
        <w:rPr>
          <w:rFonts w:ascii="仿宋_GB2312" w:eastAsia="仿宋_GB2312" w:hAnsi="宋体" w:hint="eastAsia"/>
          <w:sz w:val="32"/>
          <w:szCs w:val="32"/>
        </w:rPr>
        <w:t>201</w:t>
      </w:r>
      <w:r w:rsidR="00994810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—</w:t>
      </w:r>
      <w:r w:rsidR="00E47950">
        <w:rPr>
          <w:rFonts w:ascii="仿宋_GB2312" w:eastAsia="仿宋_GB2312" w:hAnsi="宋体" w:hint="eastAsia"/>
          <w:sz w:val="32"/>
          <w:szCs w:val="32"/>
        </w:rPr>
        <w:t>2019年</w:t>
      </w:r>
      <w:r>
        <w:rPr>
          <w:rFonts w:ascii="仿宋_GB2312" w:eastAsia="仿宋_GB2312" w:hAnsi="宋体" w:hint="eastAsia"/>
          <w:sz w:val="32"/>
          <w:szCs w:val="32"/>
        </w:rPr>
        <w:t>各年收入增长情况</w:t>
      </w:r>
      <w:r w:rsidR="007A195E">
        <w:rPr>
          <w:rFonts w:ascii="仿宋_GB2312" w:eastAsia="仿宋_GB2312" w:hAnsi="宋体" w:hint="eastAsia"/>
          <w:sz w:val="32"/>
          <w:szCs w:val="32"/>
        </w:rPr>
        <w:t>如下：</w:t>
      </w:r>
    </w:p>
    <w:p w:rsidR="00992929" w:rsidRDefault="001A4F1E" w:rsidP="00836037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lastRenderedPageBreak/>
        <w:drawing>
          <wp:inline distT="0" distB="0" distL="0" distR="0" wp14:anchorId="48ECE8C9" wp14:editId="43AB4714">
            <wp:extent cx="5286375" cy="4772025"/>
            <wp:effectExtent l="0" t="0" r="0" b="0"/>
            <wp:docPr id="5" name="对象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2929" w:rsidRPr="00204D8C" w:rsidRDefault="00992929" w:rsidP="0099292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04D8C">
        <w:rPr>
          <w:rFonts w:ascii="仿宋_GB2312" w:eastAsia="仿宋_GB2312" w:hAnsi="宋体" w:hint="eastAsia"/>
          <w:sz w:val="32"/>
          <w:szCs w:val="32"/>
        </w:rPr>
        <w:t>(二)</w:t>
      </w:r>
      <w:r w:rsidR="00CC1307">
        <w:rPr>
          <w:rFonts w:ascii="仿宋_GB2312" w:eastAsia="仿宋_GB2312" w:hAnsi="宋体" w:hint="eastAsia"/>
          <w:sz w:val="32"/>
          <w:szCs w:val="32"/>
        </w:rPr>
        <w:t>财政支出</w:t>
      </w:r>
      <w:r w:rsidRPr="00204D8C">
        <w:rPr>
          <w:rFonts w:ascii="仿宋_GB2312" w:eastAsia="仿宋_GB2312" w:hAnsi="宋体" w:hint="eastAsia"/>
          <w:sz w:val="32"/>
          <w:szCs w:val="32"/>
        </w:rPr>
        <w:t>情况</w:t>
      </w:r>
    </w:p>
    <w:p w:rsidR="00992929" w:rsidRDefault="00E47950" w:rsidP="00825F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="001713B0">
        <w:rPr>
          <w:rFonts w:ascii="仿宋_GB2312" w:eastAsia="仿宋_GB2312" w:hAnsi="宋体" w:hint="eastAsia"/>
          <w:sz w:val="32"/>
          <w:szCs w:val="32"/>
        </w:rPr>
        <w:t>米东区</w:t>
      </w:r>
      <w:r w:rsidR="001713B0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财政预算支出</w:t>
      </w:r>
      <w:r w:rsidR="00C060C9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1,092,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096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E30B25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元（其中：一般公共预算支出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48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3,178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E30B25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元、政府性基金预算支出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36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7,298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E30B25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元，上解支出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17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4,378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E30B25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元,</w:t>
      </w:r>
      <w:r w:rsidR="00E30B25" w:rsidRPr="001937B0">
        <w:rPr>
          <w:rFonts w:eastAsia="仿宋_GB2312" w:hint="eastAsia"/>
          <w:color w:val="000000"/>
          <w:kern w:val="0"/>
          <w:sz w:val="32"/>
          <w:szCs w:val="32"/>
        </w:rPr>
        <w:t> </w:t>
      </w:r>
      <w:r w:rsidR="00E30B25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安排预算稳定调节基金</w:t>
      </w:r>
      <w:r w:rsidR="0054746F">
        <w:rPr>
          <w:rFonts w:ascii="仿宋_GB2312" w:eastAsia="仿宋_GB2312" w:hint="eastAsia"/>
          <w:color w:val="000000"/>
          <w:kern w:val="0"/>
          <w:sz w:val="32"/>
          <w:szCs w:val="32"/>
        </w:rPr>
        <w:t>2,242</w:t>
      </w:r>
      <w:r w:rsidR="0054746F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="00E30B25" w:rsidRPr="001937B0">
        <w:rPr>
          <w:rFonts w:ascii="仿宋_GB2312" w:eastAsia="仿宋_GB2312" w:hint="eastAsia"/>
          <w:color w:val="000000"/>
          <w:kern w:val="0"/>
          <w:sz w:val="32"/>
          <w:szCs w:val="32"/>
        </w:rPr>
        <w:t>元</w:t>
      </w:r>
      <w:r w:rsidR="00E30B25">
        <w:rPr>
          <w:rFonts w:ascii="仿宋_GB2312" w:eastAsia="仿宋_GB2312" w:hint="eastAsia"/>
          <w:color w:val="000000"/>
          <w:kern w:val="0"/>
          <w:sz w:val="32"/>
          <w:szCs w:val="32"/>
        </w:rPr>
        <w:t>，债务还本支出6</w:t>
      </w:r>
      <w:r w:rsidR="0054746F">
        <w:rPr>
          <w:rFonts w:ascii="仿宋_GB2312" w:eastAsia="仿宋_GB2312" w:hint="eastAsia"/>
          <w:color w:val="000000"/>
          <w:kern w:val="0"/>
          <w:sz w:val="32"/>
          <w:szCs w:val="32"/>
        </w:rPr>
        <w:t>5,000万</w:t>
      </w:r>
      <w:r w:rsidR="00E30B25">
        <w:rPr>
          <w:rFonts w:ascii="仿宋_GB2312" w:eastAsia="仿宋_GB2312" w:hint="eastAsia"/>
          <w:color w:val="000000"/>
          <w:kern w:val="0"/>
          <w:sz w:val="32"/>
          <w:szCs w:val="32"/>
        </w:rPr>
        <w:t>元</w:t>
      </w:r>
      <w:r w:rsidR="00E30B25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）</w:t>
      </w:r>
      <w:r w:rsidR="008F22E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。</w:t>
      </w:r>
      <w:r w:rsidR="00CC1307">
        <w:rPr>
          <w:rFonts w:ascii="仿宋_GB2312" w:eastAsia="仿宋_GB2312" w:hAnsi="宋体" w:hint="eastAsia"/>
          <w:sz w:val="32"/>
          <w:szCs w:val="32"/>
        </w:rPr>
        <w:t>各项支出占总支出比重</w:t>
      </w:r>
      <w:r w:rsidR="00992929">
        <w:rPr>
          <w:rFonts w:ascii="仿宋_GB2312" w:eastAsia="仿宋_GB2312" w:hAnsi="宋体" w:hint="eastAsia"/>
          <w:sz w:val="32"/>
          <w:szCs w:val="32"/>
        </w:rPr>
        <w:t>如下:</w:t>
      </w:r>
    </w:p>
    <w:p w:rsidR="00992929" w:rsidRPr="00204D8C" w:rsidRDefault="001A4F1E" w:rsidP="00EC5EDD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lastRenderedPageBreak/>
        <w:drawing>
          <wp:inline distT="0" distB="0" distL="0" distR="0" wp14:anchorId="3725009E" wp14:editId="21957269">
            <wp:extent cx="5457825" cy="2857500"/>
            <wp:effectExtent l="19050" t="0" r="9525" b="0"/>
            <wp:docPr id="6" name="对象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F71B4" w:rsidRDefault="00825FF2" w:rsidP="00825FF2">
      <w:pPr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</w:t>
      </w:r>
      <w:r w:rsidR="00EE1FBC" w:rsidRPr="00204D8C">
        <w:rPr>
          <w:rFonts w:ascii="仿宋_GB2312" w:eastAsia="仿宋_GB2312" w:hAnsi="宋体" w:hint="eastAsia"/>
          <w:sz w:val="32"/>
          <w:szCs w:val="32"/>
        </w:rPr>
        <w:t>财政预算支出完成情况</w:t>
      </w:r>
    </w:p>
    <w:p w:rsidR="00872EDB" w:rsidRPr="001E3AFC" w:rsidRDefault="00E47950" w:rsidP="00872EDB">
      <w:pPr>
        <w:widowControl/>
        <w:topLinePunct/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kern w:val="0"/>
          <w:sz w:val="32"/>
          <w:szCs w:val="32"/>
        </w:rPr>
        <w:t>2019年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地方财政预算支出完成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85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0,476万</w:t>
      </w:r>
      <w:r w:rsidR="00872EDB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</w:t>
      </w:r>
      <w:r w:rsidR="007F366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增加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18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4,845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</w:t>
      </w:r>
      <w:r w:rsidR="007F366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增长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27.77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，完成调整预算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 xml:space="preserve"> 100 %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。其中：一般公共预算支出完成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48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3,178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减少11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3,599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下降19.04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，完成调整预算的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100%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；政府性基金预算支出完成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36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7,298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增加29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8,444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增长433.44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，完成调整预算的</w:t>
      </w:r>
      <w:r w:rsidR="00872EDB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100 %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。</w:t>
      </w:r>
    </w:p>
    <w:p w:rsidR="00872EDB" w:rsidRPr="00DB30E7" w:rsidRDefault="007F3663" w:rsidP="00872EDB">
      <w:pPr>
        <w:widowControl/>
        <w:topLinePunct/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地方政府债务还本支出</w:t>
      </w:r>
      <w:r w:rsidR="00E30B2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6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5,000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872EDB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元。</w:t>
      </w:r>
    </w:p>
    <w:p w:rsidR="00E00E02" w:rsidRDefault="00CF33CD" w:rsidP="00825F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各项支出占总支出比重如下:</w:t>
      </w:r>
    </w:p>
    <w:p w:rsidR="007C0085" w:rsidRDefault="001A4F1E" w:rsidP="007C008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lastRenderedPageBreak/>
        <w:drawing>
          <wp:inline distT="0" distB="0" distL="0" distR="0" wp14:anchorId="7E740D7C" wp14:editId="453638A2">
            <wp:extent cx="5438775" cy="3095625"/>
            <wp:effectExtent l="19050" t="0" r="0" b="0"/>
            <wp:docPr id="7" name="对象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7C0085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A3435C">
        <w:rPr>
          <w:rFonts w:ascii="仿宋_GB2312" w:eastAsia="仿宋_GB2312" w:hAnsi="宋体" w:hint="eastAsia"/>
          <w:sz w:val="32"/>
          <w:szCs w:val="32"/>
        </w:rPr>
        <w:t xml:space="preserve">    </w:t>
      </w:r>
      <w:r w:rsidR="007C0085">
        <w:rPr>
          <w:rFonts w:ascii="仿宋_GB2312" w:eastAsia="仿宋_GB2312" w:hAnsi="宋体" w:hint="eastAsia"/>
          <w:sz w:val="32"/>
          <w:szCs w:val="32"/>
        </w:rPr>
        <w:t>2、</w:t>
      </w:r>
      <w:r w:rsidR="007F3663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一般公共预算支出完成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48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3,178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7F3663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减少11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3,599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3B7646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下降19.04</w:t>
      </w:r>
      <w:r w:rsidR="003B7646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AD73A3">
        <w:rPr>
          <w:rFonts w:ascii="仿宋_GB2312" w:eastAsia="仿宋_GB2312" w:hAnsi="仿宋"/>
          <w:color w:val="000000"/>
          <w:kern w:val="0"/>
          <w:sz w:val="32"/>
          <w:szCs w:val="32"/>
        </w:rPr>
        <w:t>。</w:t>
      </w:r>
      <w:r w:rsidR="007C0085" w:rsidRPr="00E67ABE">
        <w:rPr>
          <w:rFonts w:ascii="仿宋_GB2312" w:eastAsia="仿宋_GB2312" w:hAnsi="宋体" w:hint="eastAsia"/>
          <w:sz w:val="32"/>
          <w:szCs w:val="32"/>
        </w:rPr>
        <w:t>其中</w:t>
      </w:r>
      <w:r w:rsidR="007C0085">
        <w:rPr>
          <w:rFonts w:ascii="仿宋_GB2312" w:eastAsia="仿宋_GB2312" w:hAnsi="宋体" w:hint="eastAsia"/>
          <w:sz w:val="32"/>
          <w:szCs w:val="32"/>
        </w:rPr>
        <w:t>:</w:t>
      </w:r>
      <w:r w:rsidR="00AD73A3" w:rsidRP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 xml:space="preserve"> 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一般公共服务支出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9,467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国防支出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175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公共安全支出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5,279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教育支出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12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5,796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科学技术支出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7,797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文化体育与传媒支出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3,870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社会保障和就业支出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2,161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卫生健康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7,757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节能环保支出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1,473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城乡社区支出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3,224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农林水支出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11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1,731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交通运输支出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92</w:t>
      </w:r>
      <w:r w:rsidR="002C2A36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资源勘探信息等支出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890</w:t>
      </w:r>
      <w:r w:rsidR="002C2A36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商业服务业等支出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2,636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住房保障支出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5,001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自然资源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海洋气象等支出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486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粮油物资储备支出</w:t>
      </w:r>
      <w:r w:rsidR="003B764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215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8E710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债务付息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支出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1,000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；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其他支出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2,158</w:t>
      </w:r>
      <w:r w:rsidR="0054746F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AD73A3" w:rsidRPr="001937B0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</w:t>
      </w:r>
      <w:r w:rsidR="00AD73A3" w:rsidRPr="001937B0">
        <w:rPr>
          <w:rFonts w:ascii="仿宋_GB2312" w:eastAsia="仿宋_GB2312" w:hint="eastAsia"/>
          <w:kern w:val="0"/>
          <w:sz w:val="32"/>
          <w:szCs w:val="32"/>
        </w:rPr>
        <w:t>。</w:t>
      </w:r>
      <w:r w:rsidR="00124B7E">
        <w:rPr>
          <w:rFonts w:ascii="仿宋_GB2312" w:eastAsia="仿宋_GB2312" w:hAnsi="宋体" w:hint="eastAsia"/>
          <w:sz w:val="32"/>
          <w:szCs w:val="32"/>
        </w:rPr>
        <w:t>各项一般预算支</w:t>
      </w:r>
      <w:r w:rsidR="00124B7E">
        <w:rPr>
          <w:rFonts w:ascii="仿宋_GB2312" w:eastAsia="仿宋_GB2312" w:hAnsi="宋体" w:hint="eastAsia"/>
          <w:sz w:val="32"/>
          <w:szCs w:val="32"/>
        </w:rPr>
        <w:lastRenderedPageBreak/>
        <w:t>出</w:t>
      </w:r>
      <w:r w:rsidR="007C0085">
        <w:rPr>
          <w:rFonts w:ascii="仿宋_GB2312" w:eastAsia="仿宋_GB2312" w:hAnsi="宋体" w:hint="eastAsia"/>
          <w:sz w:val="32"/>
          <w:szCs w:val="32"/>
        </w:rPr>
        <w:t>比重如下：</w:t>
      </w:r>
    </w:p>
    <w:p w:rsidR="00E23989" w:rsidRDefault="001A4F1E" w:rsidP="007C008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 wp14:anchorId="42CB22AA" wp14:editId="05FDB46B">
            <wp:extent cx="5762625" cy="4562475"/>
            <wp:effectExtent l="19050" t="0" r="0" b="0"/>
            <wp:docPr id="8" name="对象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7C0085">
        <w:rPr>
          <w:rFonts w:ascii="仿宋_GB2312" w:eastAsia="仿宋_GB2312" w:hAnsi="宋体" w:hint="eastAsia"/>
          <w:sz w:val="32"/>
          <w:szCs w:val="32"/>
        </w:rPr>
        <w:t xml:space="preserve">    3</w:t>
      </w:r>
      <w:r w:rsidR="006B7A2F">
        <w:rPr>
          <w:rFonts w:ascii="仿宋_GB2312" w:eastAsia="仿宋_GB2312" w:hAnsi="宋体" w:hint="eastAsia"/>
          <w:sz w:val="32"/>
          <w:szCs w:val="32"/>
        </w:rPr>
        <w:t>、</w:t>
      </w:r>
      <w:r w:rsidR="007F3663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政府性基金预算支出完成</w:t>
      </w:r>
      <w:r w:rsidR="006919B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36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7,298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6919B7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元，比上年</w:t>
      </w:r>
      <w:r w:rsidR="006919B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增加29</w:t>
      </w:r>
      <w:r w:rsidR="005474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8,444</w:t>
      </w:r>
      <w:r w:rsidR="0054746F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万</w:t>
      </w:r>
      <w:r w:rsidR="006919B7" w:rsidRPr="001E3AFC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元，</w:t>
      </w:r>
      <w:r w:rsidR="006919B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增长433.44</w:t>
      </w:r>
      <w:r w:rsidR="006919B7" w:rsidRPr="001E3AFC">
        <w:rPr>
          <w:rFonts w:ascii="仿宋_GB2312" w:eastAsia="仿宋_GB2312" w:hAnsi="仿宋"/>
          <w:color w:val="000000"/>
          <w:kern w:val="0"/>
          <w:sz w:val="32"/>
          <w:szCs w:val="32"/>
        </w:rPr>
        <w:t>%</w:t>
      </w:r>
      <w:r w:rsidR="00AD73A3">
        <w:rPr>
          <w:rFonts w:ascii="仿宋_GB2312" w:eastAsia="仿宋_GB2312" w:hint="eastAsia"/>
          <w:kern w:val="0"/>
          <w:sz w:val="32"/>
          <w:szCs w:val="32"/>
        </w:rPr>
        <w:t>。</w:t>
      </w:r>
      <w:r w:rsidR="007C0085" w:rsidRPr="00E67ABE">
        <w:rPr>
          <w:rFonts w:ascii="仿宋_GB2312" w:eastAsia="仿宋_GB2312" w:hAnsi="宋体" w:hint="eastAsia"/>
          <w:sz w:val="32"/>
          <w:szCs w:val="32"/>
        </w:rPr>
        <w:t>其中</w:t>
      </w:r>
      <w:r w:rsidR="006A417D">
        <w:rPr>
          <w:rFonts w:ascii="仿宋_GB2312" w:eastAsia="仿宋_GB2312" w:hAnsi="宋体" w:hint="eastAsia"/>
          <w:sz w:val="32"/>
          <w:szCs w:val="32"/>
        </w:rPr>
        <w:t>：</w:t>
      </w:r>
      <w:r w:rsidR="003C599E">
        <w:rPr>
          <w:rFonts w:ascii="仿宋_GB2312" w:eastAsia="仿宋_GB2312" w:hAnsi="宋体" w:hint="eastAsia"/>
          <w:sz w:val="32"/>
          <w:szCs w:val="32"/>
        </w:rPr>
        <w:t>水库移民后期扶持基金支出</w:t>
      </w:r>
      <w:r w:rsidR="002F79C5">
        <w:rPr>
          <w:rFonts w:ascii="仿宋_GB2312" w:eastAsia="仿宋_GB2312" w:hAnsi="宋体" w:hint="eastAsia"/>
          <w:sz w:val="32"/>
          <w:szCs w:val="32"/>
        </w:rPr>
        <w:t>410</w:t>
      </w:r>
      <w:r w:rsidR="003C599E">
        <w:rPr>
          <w:rFonts w:ascii="仿宋_GB2312" w:eastAsia="仿宋_GB2312" w:hAnsi="宋体" w:hint="eastAsia"/>
          <w:sz w:val="32"/>
          <w:szCs w:val="32"/>
        </w:rPr>
        <w:t>万元，国有土地出让权支出</w:t>
      </w:r>
      <w:r w:rsidR="002F79C5">
        <w:rPr>
          <w:rFonts w:ascii="仿宋_GB2312" w:eastAsia="仿宋_GB2312" w:hAnsi="宋体" w:hint="eastAsia"/>
          <w:sz w:val="32"/>
          <w:szCs w:val="32"/>
        </w:rPr>
        <w:t>11</w:t>
      </w:r>
      <w:r w:rsidR="0054746F">
        <w:rPr>
          <w:rFonts w:ascii="仿宋_GB2312" w:eastAsia="仿宋_GB2312" w:hAnsi="宋体" w:hint="eastAsia"/>
          <w:sz w:val="32"/>
          <w:szCs w:val="32"/>
        </w:rPr>
        <w:t>1,688万</w:t>
      </w:r>
      <w:r w:rsidR="003C599E">
        <w:rPr>
          <w:rFonts w:ascii="仿宋_GB2312" w:eastAsia="仿宋_GB2312" w:hAnsi="宋体" w:hint="eastAsia"/>
          <w:sz w:val="32"/>
          <w:szCs w:val="32"/>
        </w:rPr>
        <w:t>元，</w:t>
      </w:r>
      <w:r w:rsidR="002F79C5" w:rsidRPr="002F79C5">
        <w:rPr>
          <w:rFonts w:ascii="仿宋_GB2312" w:eastAsia="仿宋_GB2312" w:hAnsi="宋体" w:hint="eastAsia"/>
          <w:sz w:val="32"/>
          <w:szCs w:val="32"/>
        </w:rPr>
        <w:t>棚户区改造</w:t>
      </w:r>
      <w:r w:rsidR="008147B7">
        <w:rPr>
          <w:rFonts w:ascii="仿宋_GB2312" w:eastAsia="仿宋_GB2312" w:hAnsi="宋体" w:hint="eastAsia"/>
          <w:sz w:val="32"/>
          <w:szCs w:val="32"/>
        </w:rPr>
        <w:t>23</w:t>
      </w:r>
      <w:r w:rsidR="0054746F">
        <w:rPr>
          <w:rFonts w:ascii="仿宋_GB2312" w:eastAsia="仿宋_GB2312" w:hAnsi="宋体" w:hint="eastAsia"/>
          <w:sz w:val="32"/>
          <w:szCs w:val="32"/>
        </w:rPr>
        <w:t>4,000万</w:t>
      </w:r>
      <w:r w:rsidR="003C599E">
        <w:rPr>
          <w:rFonts w:ascii="仿宋_GB2312" w:eastAsia="仿宋_GB2312" w:hAnsi="宋体" w:hint="eastAsia"/>
          <w:sz w:val="32"/>
          <w:szCs w:val="32"/>
        </w:rPr>
        <w:t>元，城市基本设施配套费支出</w:t>
      </w:r>
      <w:r w:rsidR="0054746F">
        <w:rPr>
          <w:rFonts w:ascii="仿宋_GB2312" w:eastAsia="仿宋_GB2312" w:hAnsi="宋体" w:hint="eastAsia"/>
          <w:sz w:val="32"/>
          <w:szCs w:val="32"/>
        </w:rPr>
        <w:t>5,797万</w:t>
      </w:r>
      <w:r w:rsidR="003C599E">
        <w:rPr>
          <w:rFonts w:ascii="仿宋_GB2312" w:eastAsia="仿宋_GB2312" w:hAnsi="宋体" w:hint="eastAsia"/>
          <w:sz w:val="32"/>
          <w:szCs w:val="32"/>
        </w:rPr>
        <w:t>元，污水处理费支出</w:t>
      </w:r>
      <w:r w:rsidR="0054746F">
        <w:rPr>
          <w:rFonts w:ascii="仿宋_GB2312" w:eastAsia="仿宋_GB2312" w:hAnsi="宋体" w:hint="eastAsia"/>
          <w:sz w:val="32"/>
          <w:szCs w:val="32"/>
        </w:rPr>
        <w:t>1,377万</w:t>
      </w:r>
      <w:r w:rsidR="003C599E">
        <w:rPr>
          <w:rFonts w:ascii="仿宋_GB2312" w:eastAsia="仿宋_GB2312" w:hAnsi="宋体" w:hint="eastAsia"/>
          <w:sz w:val="32"/>
          <w:szCs w:val="32"/>
        </w:rPr>
        <w:t>元，彩票公益基金支出</w:t>
      </w:r>
      <w:r w:rsidR="002F79C5">
        <w:rPr>
          <w:rFonts w:ascii="仿宋_GB2312" w:eastAsia="仿宋_GB2312" w:hAnsi="宋体" w:hint="eastAsia"/>
          <w:sz w:val="32"/>
          <w:szCs w:val="32"/>
        </w:rPr>
        <w:t>252</w:t>
      </w:r>
      <w:r w:rsidR="003C599E">
        <w:rPr>
          <w:rFonts w:ascii="仿宋_GB2312" w:eastAsia="仿宋_GB2312" w:hAnsi="宋体" w:hint="eastAsia"/>
          <w:sz w:val="32"/>
          <w:szCs w:val="32"/>
        </w:rPr>
        <w:t>万元</w:t>
      </w:r>
      <w:r w:rsidR="002F79C5">
        <w:rPr>
          <w:rFonts w:ascii="仿宋_GB2312" w:eastAsia="仿宋_GB2312" w:hAnsi="宋体" w:hint="eastAsia"/>
          <w:sz w:val="32"/>
          <w:szCs w:val="32"/>
        </w:rPr>
        <w:t>，债务支出1</w:t>
      </w:r>
      <w:r w:rsidR="0054746F">
        <w:rPr>
          <w:rFonts w:ascii="仿宋_GB2312" w:eastAsia="仿宋_GB2312" w:hAnsi="宋体" w:hint="eastAsia"/>
          <w:sz w:val="32"/>
          <w:szCs w:val="32"/>
        </w:rPr>
        <w:t>3,744万</w:t>
      </w:r>
      <w:r w:rsidR="002F79C5">
        <w:rPr>
          <w:rFonts w:ascii="仿宋_GB2312" w:eastAsia="仿宋_GB2312" w:hAnsi="宋体" w:hint="eastAsia"/>
          <w:sz w:val="32"/>
          <w:szCs w:val="32"/>
        </w:rPr>
        <w:t>元</w:t>
      </w:r>
      <w:r w:rsidR="002004AA">
        <w:rPr>
          <w:rFonts w:ascii="仿宋_GB2312" w:eastAsia="仿宋_GB2312" w:hAnsi="宋体" w:hint="eastAsia"/>
          <w:sz w:val="32"/>
          <w:szCs w:val="32"/>
        </w:rPr>
        <w:t>。各项基金支出</w:t>
      </w:r>
      <w:r w:rsidR="007C0085">
        <w:rPr>
          <w:rFonts w:ascii="仿宋_GB2312" w:eastAsia="仿宋_GB2312" w:hAnsi="宋体" w:hint="eastAsia"/>
          <w:sz w:val="32"/>
          <w:szCs w:val="32"/>
        </w:rPr>
        <w:t>比重如下：</w:t>
      </w:r>
    </w:p>
    <w:p w:rsidR="007C0085" w:rsidRDefault="00E23989" w:rsidP="007C008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lastRenderedPageBreak/>
        <w:drawing>
          <wp:inline distT="0" distB="0" distL="0" distR="0" wp14:anchorId="44A5B67C" wp14:editId="24568878">
            <wp:extent cx="5295900" cy="3990975"/>
            <wp:effectExtent l="0" t="0" r="0" b="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23989" w:rsidRDefault="00E23989" w:rsidP="00E2398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4、201</w:t>
      </w:r>
      <w:r w:rsidR="006F135D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—</w:t>
      </w:r>
      <w:r w:rsidR="00E47950">
        <w:rPr>
          <w:rFonts w:ascii="仿宋_GB2312" w:eastAsia="仿宋_GB2312" w:hAnsi="宋体" w:hint="eastAsia"/>
          <w:sz w:val="32"/>
          <w:szCs w:val="32"/>
        </w:rPr>
        <w:t>2019年</w:t>
      </w:r>
      <w:r>
        <w:rPr>
          <w:rFonts w:ascii="仿宋_GB2312" w:eastAsia="仿宋_GB2312" w:hAnsi="宋体" w:hint="eastAsia"/>
          <w:sz w:val="32"/>
          <w:szCs w:val="32"/>
        </w:rPr>
        <w:t>各年收入增长情况如下：</w:t>
      </w:r>
    </w:p>
    <w:p w:rsidR="00E00E02" w:rsidRDefault="001A4F1E" w:rsidP="007C0085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 wp14:anchorId="26BE19C5" wp14:editId="65EF5A8E">
            <wp:extent cx="5419725" cy="2914650"/>
            <wp:effectExtent l="19050" t="0" r="0" b="0"/>
            <wp:docPr id="10" name="对象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04D8C" w:rsidRPr="00F445E1" w:rsidRDefault="00F445E1" w:rsidP="00D93417">
      <w:pPr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 w:rsidRPr="00F445E1">
        <w:rPr>
          <w:rFonts w:ascii="仿宋_GB2312" w:eastAsia="仿宋_GB2312" w:hAnsi="宋体" w:hint="eastAsia"/>
          <w:b/>
          <w:sz w:val="32"/>
          <w:szCs w:val="32"/>
        </w:rPr>
        <w:lastRenderedPageBreak/>
        <w:t>三</w:t>
      </w:r>
      <w:r w:rsidR="00204D8C" w:rsidRPr="00F445E1">
        <w:rPr>
          <w:rFonts w:ascii="仿宋_GB2312" w:eastAsia="仿宋_GB2312" w:hAnsi="宋体" w:hint="eastAsia"/>
          <w:b/>
          <w:sz w:val="32"/>
          <w:szCs w:val="32"/>
        </w:rPr>
        <w:t>、</w:t>
      </w:r>
      <w:r w:rsidR="00E47950">
        <w:rPr>
          <w:rFonts w:ascii="仿宋_GB2312" w:eastAsia="仿宋_GB2312" w:hAnsi="宋体" w:hint="eastAsia"/>
          <w:b/>
          <w:sz w:val="32"/>
          <w:szCs w:val="32"/>
        </w:rPr>
        <w:t>2019年</w:t>
      </w:r>
      <w:r w:rsidR="00204D8C" w:rsidRPr="00F445E1">
        <w:rPr>
          <w:rFonts w:ascii="仿宋_GB2312" w:eastAsia="仿宋_GB2312" w:hAnsi="宋体" w:hint="eastAsia"/>
          <w:b/>
          <w:sz w:val="32"/>
          <w:szCs w:val="32"/>
        </w:rPr>
        <w:t>主要工作</w:t>
      </w:r>
    </w:p>
    <w:p w:rsidR="0028705C" w:rsidRDefault="0028705C" w:rsidP="0028705C">
      <w:pPr>
        <w:widowControl/>
        <w:topLinePunct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过去的一年，全区财税部门按照区委安排部署和具体任务，紧紧围绕总目标，深化财税改革，落实减税降费政策，稳步推进风险管控措施，统筹规划安排资金，推进全区保稳定、稳增长、促改革、调结构、惠民生、防风险各项工作的开展。</w:t>
      </w:r>
    </w:p>
    <w:p w:rsidR="0028705C" w:rsidRPr="00CC2127" w:rsidRDefault="0028705C" w:rsidP="00E47950">
      <w:pPr>
        <w:widowControl/>
        <w:topLinePunct/>
        <w:spacing w:line="560" w:lineRule="exact"/>
        <w:ind w:firstLineChars="200" w:firstLine="643"/>
        <w:rPr>
          <w:rFonts w:ascii="方正楷体_GBK" w:eastAsia="方正楷体_GBK" w:hAnsi="宋体"/>
          <w:color w:val="000000"/>
          <w:kern w:val="0"/>
          <w:sz w:val="32"/>
          <w:szCs w:val="32"/>
        </w:rPr>
      </w:pPr>
      <w:r w:rsidRPr="00E47950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(一)</w:t>
      </w:r>
      <w:r w:rsidR="00E47950" w:rsidRPr="00E47950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 xml:space="preserve"> </w:t>
      </w:r>
      <w:r w:rsidR="00E47950" w:rsidRPr="00744E83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努力抓好财源建设</w:t>
      </w:r>
    </w:p>
    <w:p w:rsidR="00E47950" w:rsidRDefault="00E47950" w:rsidP="00E47950">
      <w:pPr>
        <w:widowControl/>
        <w:topLinePunct/>
        <w:spacing w:line="560" w:lineRule="exact"/>
        <w:ind w:firstLineChars="200" w:firstLine="640"/>
        <w:rPr>
          <w:rFonts w:ascii="方正仿宋_GBK" w:eastAsia="方正仿宋_GBK"/>
          <w:kern w:val="0"/>
          <w:sz w:val="32"/>
          <w:szCs w:val="32"/>
        </w:rPr>
      </w:pPr>
      <w:r>
        <w:rPr>
          <w:rFonts w:ascii="方正仿宋_GBK" w:eastAsia="方正仿宋_GBK" w:hAnsi="黑体" w:hint="eastAsia"/>
          <w:sz w:val="32"/>
          <w:szCs w:val="32"/>
        </w:rPr>
        <w:t>在区委、区人民政府的统一安排部署下，全区各收入执收单位采取多种有效措施，在坚决贯彻落实国家减税降费政策，克服经济下行及石化检修等诸多不利因素的情况。具体分析如下：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一是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牵头组织调度。年初开始就盯紧人代会确定的收入任务，</w:t>
      </w:r>
      <w:r>
        <w:rPr>
          <w:rFonts w:ascii="方正仿宋_GBK" w:eastAsia="方正仿宋_GBK" w:hAnsi="Arial" w:cs="Arial" w:hint="eastAsia"/>
          <w:kern w:val="0"/>
          <w:sz w:val="32"/>
          <w:szCs w:val="32"/>
        </w:rPr>
        <w:t>每周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组织专题会议，充分调动</w:t>
      </w:r>
      <w:r>
        <w:rPr>
          <w:rFonts w:ascii="方正仿宋_GBK" w:eastAsia="方正仿宋_GBK" w:hAnsi="Arial" w:cs="Arial" w:hint="eastAsia"/>
          <w:kern w:val="0"/>
          <w:sz w:val="32"/>
          <w:szCs w:val="32"/>
        </w:rPr>
        <w:t>税务部门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、非税收入执收单位的积极性，落实责任、密切协作、强化督查，加强收入征管、优化财税发展环境等方面努力发掘收入增长点，积极开辟后续税源。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二是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积极争取上级支持，努力涵养税源。积极与上级财政对接，研究吃透专项扶持政策，落实各类扶持资金，</w:t>
      </w:r>
      <w:r>
        <w:rPr>
          <w:rFonts w:ascii="仿宋_GB2312" w:eastAsia="仿宋_GB2312" w:hAnsi="仿宋" w:hint="eastAsia"/>
          <w:color w:val="333333"/>
          <w:sz w:val="32"/>
          <w:szCs w:val="32"/>
          <w:shd w:val="clear" w:color="auto" w:fill="FFFFFF"/>
        </w:rPr>
        <w:t>争取上级转移支付财力支持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。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三是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全力挖潜增收。全面加强全区财源监控，</w:t>
      </w:r>
      <w:r w:rsidRPr="001249EB">
        <w:rPr>
          <w:rFonts w:ascii="方正仿宋_GBK" w:eastAsia="方正仿宋_GBK" w:hAnsi="Arial" w:cs="Arial" w:hint="eastAsia"/>
          <w:kern w:val="0"/>
          <w:sz w:val="32"/>
          <w:szCs w:val="32"/>
        </w:rPr>
        <w:t>集中力量、精准施策，持续开展欠税清理、企业所得税清缴、土地增值税清算专项行动，实现应收尽收。</w:t>
      </w:r>
      <w:r w:rsidRPr="00744E83">
        <w:rPr>
          <w:rFonts w:ascii="方正仿宋_GBK" w:eastAsia="方正仿宋_GBK" w:hint="eastAsia"/>
          <w:b/>
          <w:bCs/>
          <w:kern w:val="0"/>
          <w:sz w:val="32"/>
          <w:szCs w:val="32"/>
        </w:rPr>
        <w:t>四是</w:t>
      </w:r>
      <w:r w:rsidRPr="00744E83">
        <w:rPr>
          <w:rFonts w:ascii="方正仿宋_GBK" w:eastAsia="方正仿宋_GBK" w:hint="eastAsia"/>
          <w:bCs/>
          <w:kern w:val="0"/>
          <w:sz w:val="32"/>
          <w:szCs w:val="32"/>
        </w:rPr>
        <w:t>创新发展方式，增强财政投资活力</w:t>
      </w:r>
      <w:r w:rsidRPr="00744E83">
        <w:rPr>
          <w:rFonts w:ascii="方正仿宋_GBK" w:eastAsia="方正仿宋_GBK" w:hint="eastAsia"/>
          <w:b/>
          <w:bCs/>
          <w:kern w:val="0"/>
          <w:sz w:val="32"/>
          <w:szCs w:val="32"/>
        </w:rPr>
        <w:t>。</w:t>
      </w:r>
      <w:r w:rsidRPr="00744E83">
        <w:rPr>
          <w:rFonts w:ascii="方正仿宋_GBK" w:eastAsia="方正仿宋_GBK" w:hint="eastAsia"/>
          <w:kern w:val="0"/>
          <w:sz w:val="32"/>
          <w:szCs w:val="32"/>
        </w:rPr>
        <w:t>积</w:t>
      </w:r>
      <w:r w:rsidRPr="00744E83">
        <w:rPr>
          <w:rFonts w:ascii="方正仿宋_GBK" w:eastAsia="方正仿宋_GBK" w:hint="eastAsia"/>
          <w:kern w:val="0"/>
          <w:sz w:val="32"/>
          <w:szCs w:val="32"/>
        </w:rPr>
        <w:lastRenderedPageBreak/>
        <w:t>极推行政府和社会资本合作模式，充分发挥财政资金的政策引导作用</w:t>
      </w:r>
      <w:r>
        <w:rPr>
          <w:rFonts w:ascii="方正仿宋_GBK" w:eastAsia="方正仿宋_GBK" w:hint="eastAsia"/>
          <w:kern w:val="0"/>
          <w:sz w:val="32"/>
          <w:szCs w:val="32"/>
        </w:rPr>
        <w:t>。</w:t>
      </w:r>
    </w:p>
    <w:p w:rsidR="00E47950" w:rsidRPr="00E47950" w:rsidRDefault="0028705C" w:rsidP="00E47950">
      <w:pPr>
        <w:widowControl/>
        <w:topLinePunct/>
        <w:spacing w:line="560" w:lineRule="exact"/>
        <w:ind w:firstLineChars="200" w:firstLine="643"/>
        <w:rPr>
          <w:rFonts w:ascii="方正仿宋_GBK" w:eastAsia="方正仿宋_GBK"/>
          <w:kern w:val="0"/>
          <w:sz w:val="32"/>
          <w:szCs w:val="32"/>
        </w:rPr>
      </w:pPr>
      <w:r w:rsidRPr="00E47950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 xml:space="preserve">(二) </w:t>
      </w:r>
      <w:r w:rsidR="00E47950" w:rsidRPr="00744E83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增强财政支出</w:t>
      </w:r>
      <w:r w:rsidR="00E47950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保障</w:t>
      </w:r>
    </w:p>
    <w:p w:rsidR="00E47950" w:rsidRDefault="00E47950" w:rsidP="00E47950">
      <w:pPr>
        <w:spacing w:line="560" w:lineRule="exact"/>
        <w:ind w:firstLineChars="200" w:firstLine="643"/>
        <w:rPr>
          <w:rFonts w:ascii="方正仿宋_GBK" w:eastAsia="方正仿宋_GBK" w:hAnsi="Arial" w:cs="Arial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1.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加大重点项目的资金保障力度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。</w:t>
      </w:r>
    </w:p>
    <w:p w:rsidR="00E47950" w:rsidRDefault="00E47950" w:rsidP="00E47950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严格执行人代会通过的财政预算，</w:t>
      </w:r>
      <w:r>
        <w:rPr>
          <w:rFonts w:ascii="方正仿宋_GBK" w:eastAsia="方正仿宋_GBK" w:hAnsi="Arial" w:cs="Arial" w:hint="eastAsia"/>
          <w:kern w:val="0"/>
          <w:sz w:val="32"/>
          <w:szCs w:val="32"/>
        </w:rPr>
        <w:t>保障</w:t>
      </w:r>
      <w:r w:rsidRPr="007E2AF2">
        <w:rPr>
          <w:rFonts w:ascii="方正仿宋_GBK" w:eastAsia="方正仿宋_GBK" w:hint="eastAsia"/>
          <w:sz w:val="32"/>
          <w:szCs w:val="32"/>
        </w:rPr>
        <w:t>国防支出、公共安全支出、节能环保支出、城乡社区支出、农林水支出、住房保障支出、自然资源海洋气象等支出</w:t>
      </w:r>
      <w:r>
        <w:rPr>
          <w:rFonts w:ascii="方正仿宋_GBK" w:eastAsia="方正仿宋_GBK" w:hint="eastAsia"/>
          <w:sz w:val="32"/>
          <w:szCs w:val="32"/>
        </w:rPr>
        <w:t>、其他支出、</w:t>
      </w:r>
      <w:r w:rsidRPr="00ED390D">
        <w:rPr>
          <w:rFonts w:ascii="方正仿宋_GBK" w:eastAsia="方正仿宋_GBK" w:hAnsi="宋体" w:hint="eastAsia"/>
          <w:sz w:val="32"/>
          <w:szCs w:val="32"/>
        </w:rPr>
        <w:t>国有土地使用权出让收入及对应专项债务收入安排的支出</w:t>
      </w:r>
      <w:r>
        <w:rPr>
          <w:rFonts w:ascii="方正仿宋_GBK" w:eastAsia="方正仿宋_GBK" w:hAnsi="宋体" w:hint="eastAsia"/>
          <w:sz w:val="32"/>
          <w:szCs w:val="32"/>
        </w:rPr>
        <w:t>、</w:t>
      </w:r>
      <w:r w:rsidRPr="00ED390D">
        <w:rPr>
          <w:rFonts w:ascii="方正仿宋_GBK" w:eastAsia="方正仿宋_GBK" w:hint="eastAsia"/>
          <w:sz w:val="32"/>
          <w:szCs w:val="32"/>
        </w:rPr>
        <w:t>污水处理费对应专项债务收入安排的支出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E47950" w:rsidRDefault="00E47950" w:rsidP="00E47950">
      <w:pPr>
        <w:spacing w:line="560" w:lineRule="exact"/>
        <w:ind w:firstLineChars="200" w:firstLine="643"/>
        <w:rPr>
          <w:rFonts w:ascii="方正仿宋_GBK" w:eastAsia="方正仿宋_GBK" w:hAnsi="Arial" w:cs="Arial"/>
          <w:b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2.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加大了民生领域资金的支持力度</w:t>
      </w:r>
    </w:p>
    <w:p w:rsidR="00E47950" w:rsidRDefault="00E47950" w:rsidP="00E47950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“三保”支出的基础上，</w:t>
      </w:r>
      <w:r w:rsidRPr="007E2AF2">
        <w:rPr>
          <w:rFonts w:ascii="方正仿宋_GBK" w:eastAsia="方正仿宋_GBK" w:hint="eastAsia"/>
          <w:sz w:val="32"/>
          <w:szCs w:val="32"/>
        </w:rPr>
        <w:t>坚持把保障和改善民生作为财政支出的重点，加大对维护社会稳定、“三农”、卫生、社会保障与就业、民生工程、保障房建设、村级公共服务与社会管理改革的支持力度，</w:t>
      </w:r>
      <w:r>
        <w:rPr>
          <w:rFonts w:ascii="方正仿宋_GBK" w:eastAsia="方正仿宋_GBK" w:hint="eastAsia"/>
          <w:sz w:val="32"/>
          <w:szCs w:val="32"/>
        </w:rPr>
        <w:t>继续</w:t>
      </w:r>
      <w:r w:rsidRPr="007E2AF2">
        <w:rPr>
          <w:rFonts w:ascii="方正仿宋_GBK" w:eastAsia="方正仿宋_GBK" w:hint="eastAsia"/>
          <w:sz w:val="32"/>
          <w:szCs w:val="32"/>
        </w:rPr>
        <w:t>提高民生支出占一般公共预算支出比重，推动经济增长、结构调整、区域协调和城乡统筹发展。加强社会保障资金投入，落实基层组织建设资金保障机制，维护基层社会稳定。认真落实，依法保障科技、教育、文化、农业四个</w:t>
      </w:r>
      <w:r>
        <w:rPr>
          <w:rFonts w:ascii="方正仿宋_GBK" w:eastAsia="方正仿宋_GBK" w:hint="eastAsia"/>
          <w:sz w:val="32"/>
          <w:szCs w:val="32"/>
        </w:rPr>
        <w:t>方面的资金投入，加强医疗卫生建设投入，提高基本公共卫生服务水平。</w:t>
      </w:r>
    </w:p>
    <w:p w:rsidR="00E47950" w:rsidRDefault="00E47950" w:rsidP="00E47950">
      <w:pPr>
        <w:spacing w:line="560" w:lineRule="exact"/>
        <w:ind w:firstLineChars="200" w:firstLine="643"/>
        <w:rPr>
          <w:rFonts w:ascii="方正仿宋_GBK" w:eastAsia="方正仿宋_GBK" w:hAnsi="Arial" w:cs="Arial"/>
          <w:b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3.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规范清理结转结余资金</w:t>
      </w:r>
    </w:p>
    <w:p w:rsidR="00E47950" w:rsidRDefault="00E47950" w:rsidP="00E47950">
      <w:pPr>
        <w:spacing w:line="560" w:lineRule="exact"/>
        <w:ind w:firstLineChars="200" w:firstLine="640"/>
        <w:rPr>
          <w:rFonts w:ascii="方正仿宋_GBK" w:eastAsia="方正仿宋_GBK" w:hAnsi="Arial" w:cs="Arial"/>
          <w:kern w:val="0"/>
          <w:sz w:val="32"/>
          <w:szCs w:val="32"/>
        </w:rPr>
      </w:pP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认真贯彻落实国务院关于清理盘活财政存量资金有关要</w:t>
      </w: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lastRenderedPageBreak/>
        <w:t>求，做好我区存量资金清理统计及回收工作，及时将有关情况向区政府汇报。督促、指导各预算单位充分利用现有政策，对结转超过两年的区级资金和上级补助资金逐笔与事权部门对接，落实项目进展、资金需求等具体情况，分类提出清理措施，在确保资金安全的前提下及时将资金拨付到位。</w:t>
      </w:r>
    </w:p>
    <w:p w:rsidR="00E47950" w:rsidRDefault="00E47950" w:rsidP="00E47950">
      <w:pPr>
        <w:spacing w:line="560" w:lineRule="exact"/>
        <w:ind w:firstLineChars="200" w:firstLine="643"/>
        <w:rPr>
          <w:rFonts w:ascii="方正仿宋_GBK" w:eastAsia="方正仿宋_GBK" w:hAnsi="Arial" w:cs="Arial"/>
          <w:b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4.</w:t>
      </w:r>
      <w:r w:rsidRPr="00744E83">
        <w:rPr>
          <w:rFonts w:ascii="方正仿宋_GBK" w:eastAsia="方正仿宋_GBK" w:hAnsi="Arial" w:cs="Arial" w:hint="eastAsia"/>
          <w:b/>
          <w:kern w:val="0"/>
          <w:sz w:val="32"/>
          <w:szCs w:val="32"/>
        </w:rPr>
        <w:t>积极争取上级政策和资金支持，努力增加本级财力</w:t>
      </w:r>
    </w:p>
    <w:p w:rsidR="00FD1623" w:rsidRPr="00F73211" w:rsidRDefault="00E47950" w:rsidP="00E47950">
      <w:pPr>
        <w:widowControl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44E83">
        <w:rPr>
          <w:rFonts w:ascii="方正仿宋_GBK" w:eastAsia="方正仿宋_GBK" w:hAnsi="Arial" w:cs="Arial" w:hint="eastAsia"/>
          <w:kern w:val="0"/>
          <w:sz w:val="32"/>
          <w:szCs w:val="32"/>
        </w:rPr>
        <w:t>主动研究和梳理各方面的扶持政策，加强与项目主管单位和上级财政的联系，积极落实上级配套和补助资金。</w:t>
      </w:r>
    </w:p>
    <w:p w:rsidR="00E47950" w:rsidRPr="00744E83" w:rsidRDefault="00E47950" w:rsidP="00E47950">
      <w:pPr>
        <w:widowControl/>
        <w:spacing w:line="560" w:lineRule="exact"/>
        <w:ind w:firstLine="630"/>
        <w:rPr>
          <w:rFonts w:ascii="方正仿宋_GBK" w:eastAsia="方正仿宋_GBK" w:hAnsi="Arial" w:cs="Arial"/>
          <w:b/>
          <w:bCs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（</w:t>
      </w:r>
      <w:r w:rsidRPr="00744E83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三</w:t>
      </w:r>
      <w:r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）</w:t>
      </w:r>
      <w:r w:rsidRPr="00744E83">
        <w:rPr>
          <w:rFonts w:ascii="方正仿宋_GBK" w:eastAsia="方正仿宋_GBK" w:hAnsi="Arial" w:cs="Arial" w:hint="eastAsia"/>
          <w:b/>
          <w:bCs/>
          <w:kern w:val="0"/>
          <w:sz w:val="32"/>
          <w:szCs w:val="32"/>
        </w:rPr>
        <w:t>严格落实财政改革各项举措</w:t>
      </w:r>
    </w:p>
    <w:p w:rsidR="00E47950" w:rsidRDefault="00E47950" w:rsidP="00E47950">
      <w:pPr>
        <w:widowControl/>
        <w:spacing w:line="560" w:lineRule="exact"/>
        <w:ind w:firstLine="630"/>
        <w:rPr>
          <w:rFonts w:ascii="方正仿宋_GBK" w:eastAsia="方正仿宋_GBK" w:hAnsi="ˎ̥" w:cs="宋体"/>
          <w:b/>
          <w:kern w:val="0"/>
          <w:sz w:val="32"/>
          <w:szCs w:val="32"/>
        </w:rPr>
      </w:pPr>
      <w:r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1.</w:t>
      </w:r>
      <w:r w:rsidRPr="00744E83"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试编权责发生制下的公共预算</w:t>
      </w:r>
    </w:p>
    <w:p w:rsidR="00E47950" w:rsidRPr="00744E83" w:rsidRDefault="00E47950" w:rsidP="00E47950">
      <w:pPr>
        <w:widowControl/>
        <w:spacing w:line="560" w:lineRule="exact"/>
        <w:ind w:firstLine="630"/>
        <w:rPr>
          <w:rFonts w:ascii="方正仿宋_GBK" w:eastAsia="方正仿宋_GBK" w:hAnsi="ˎ̥" w:cs="宋体"/>
          <w:kern w:val="0"/>
          <w:sz w:val="32"/>
          <w:szCs w:val="32"/>
        </w:rPr>
      </w:pPr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按照新修订的</w:t>
      </w:r>
      <w:hyperlink r:id="rId19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《预算法》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和《国务院关于深化预算管理制度改革的决定》，编制了2019年预算，进一步明确了</w:t>
      </w:r>
      <w:hyperlink r:id="rId20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一般公共预算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、</w:t>
      </w:r>
      <w:hyperlink r:id="rId21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政府性基金预算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、</w:t>
      </w:r>
      <w:hyperlink r:id="rId22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国有资本经营预算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、</w:t>
      </w:r>
      <w:hyperlink r:id="rId23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社会保险基金预算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的收支范围，将政府的收入和支出全部纳入预算管理。加大</w:t>
      </w:r>
      <w:hyperlink r:id="rId24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政府性基金预算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、</w:t>
      </w:r>
      <w:hyperlink r:id="rId25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国有资本经营预算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与</w:t>
      </w:r>
      <w:hyperlink r:id="rId26" w:tgtFrame="_blank" w:history="1">
        <w:r w:rsidRPr="00744E83">
          <w:rPr>
            <w:rFonts w:ascii="方正仿宋_GBK" w:eastAsia="方正仿宋_GBK" w:hAnsi="ˎ̥" w:cs="宋体" w:hint="eastAsia"/>
            <w:kern w:val="0"/>
            <w:sz w:val="32"/>
            <w:szCs w:val="32"/>
          </w:rPr>
          <w:t>一般公共预算</w:t>
        </w:r>
      </w:hyperlink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的统筹力度，通过财力统筹将公共财政资金进行科学、高效的分配和使用。</w:t>
      </w:r>
    </w:p>
    <w:p w:rsidR="00E47950" w:rsidRDefault="00E47950" w:rsidP="00E47950">
      <w:pPr>
        <w:widowControl/>
        <w:spacing w:line="560" w:lineRule="exact"/>
        <w:ind w:firstLine="630"/>
        <w:rPr>
          <w:rFonts w:ascii="方正仿宋_GBK" w:eastAsia="方正仿宋_GBK" w:hAnsi="ˎ̥" w:cs="宋体"/>
          <w:b/>
          <w:kern w:val="0"/>
          <w:sz w:val="32"/>
          <w:szCs w:val="32"/>
        </w:rPr>
      </w:pPr>
      <w:r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2.</w:t>
      </w:r>
      <w:r w:rsidRPr="00744E83"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统筹整合财政转移支付资金</w:t>
      </w:r>
    </w:p>
    <w:p w:rsidR="00E47950" w:rsidRPr="00744E83" w:rsidRDefault="00E47950" w:rsidP="00E47950">
      <w:pPr>
        <w:widowControl/>
        <w:spacing w:line="560" w:lineRule="exact"/>
        <w:ind w:firstLine="630"/>
        <w:rPr>
          <w:rFonts w:ascii="方正仿宋_GBK" w:eastAsia="方正仿宋_GBK" w:hAnsi="ˎ̥" w:cs="宋体"/>
          <w:kern w:val="0"/>
          <w:sz w:val="32"/>
          <w:szCs w:val="32"/>
        </w:rPr>
      </w:pPr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紧紧围绕保障和改善民生，落实各项调控政策。将城乡基础设施、三农、社会保障等各类转移支付资金和本级财政</w:t>
      </w:r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lastRenderedPageBreak/>
        <w:t>资金进行全面的梳理和整合，提高财政资金支出效果，有效节约财政资金。</w:t>
      </w:r>
    </w:p>
    <w:p w:rsidR="00E47950" w:rsidRDefault="00E47950" w:rsidP="00E47950">
      <w:pPr>
        <w:widowControl/>
        <w:spacing w:line="560" w:lineRule="exact"/>
        <w:ind w:firstLine="630"/>
        <w:rPr>
          <w:rFonts w:ascii="方正仿宋_GBK" w:eastAsia="方正仿宋_GBK" w:hAnsi="ˎ̥" w:cs="宋体"/>
          <w:b/>
          <w:kern w:val="0"/>
          <w:sz w:val="32"/>
          <w:szCs w:val="32"/>
        </w:rPr>
      </w:pPr>
      <w:r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3.</w:t>
      </w:r>
      <w:r w:rsidRPr="00744E83"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加大财政存量资金清理</w:t>
      </w:r>
    </w:p>
    <w:p w:rsidR="00E47950" w:rsidRPr="002073BF" w:rsidRDefault="00E47950" w:rsidP="00E47950">
      <w:pPr>
        <w:widowControl/>
        <w:spacing w:line="560" w:lineRule="exact"/>
        <w:ind w:firstLine="630"/>
        <w:rPr>
          <w:rFonts w:ascii="方正仿宋_GBK" w:eastAsia="方正仿宋_GBK" w:hAnsi="ˎ̥" w:cs="宋体"/>
          <w:kern w:val="0"/>
          <w:sz w:val="32"/>
          <w:szCs w:val="32"/>
        </w:rPr>
      </w:pPr>
      <w:r w:rsidRPr="00744E83">
        <w:rPr>
          <w:rFonts w:ascii="方正仿宋_GBK" w:eastAsia="方正仿宋_GBK" w:hAnsi="ˎ̥" w:cs="宋体" w:hint="eastAsia"/>
          <w:kern w:val="0"/>
          <w:sz w:val="32"/>
          <w:szCs w:val="32"/>
        </w:rPr>
        <w:t>进一步做好财政存量资金盘活工作，制定了盘活财政存量资金贯彻落实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意见和专项检查实施方案，严格开展盘活财政存量资金专项检查，保证了重点支出的需要，有效缓解了财政支出压力。</w:t>
      </w:r>
    </w:p>
    <w:p w:rsidR="00E47950" w:rsidRPr="002073BF" w:rsidRDefault="00E47950" w:rsidP="00E47950">
      <w:pPr>
        <w:suppressAutoHyphens/>
        <w:spacing w:line="560" w:lineRule="exact"/>
        <w:ind w:firstLineChars="200" w:firstLine="643"/>
        <w:rPr>
          <w:rFonts w:ascii="方正仿宋_GBK" w:eastAsia="方正仿宋_GBK" w:hAnsi="ˎ̥" w:cs="宋体"/>
          <w:b/>
          <w:kern w:val="0"/>
          <w:sz w:val="32"/>
          <w:szCs w:val="32"/>
        </w:rPr>
      </w:pPr>
      <w:r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4.</w:t>
      </w:r>
      <w:r w:rsidRPr="002073BF"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防范化解重大债务风险</w:t>
      </w:r>
    </w:p>
    <w:p w:rsidR="00E47950" w:rsidRPr="002073BF" w:rsidRDefault="00E47950" w:rsidP="00E47950">
      <w:pPr>
        <w:suppressAutoHyphens/>
        <w:spacing w:line="560" w:lineRule="exact"/>
        <w:ind w:firstLineChars="200" w:firstLine="640"/>
        <w:rPr>
          <w:rFonts w:ascii="方正仿宋_GBK" w:eastAsia="方正仿宋_GBK" w:hAnsi="ˎ̥" w:cs="宋体"/>
          <w:kern w:val="0"/>
          <w:sz w:val="32"/>
          <w:szCs w:val="32"/>
        </w:rPr>
      </w:pP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本年为支持经济发展，争取棚改专项债23.4元。我局严格控制债务增量，开好前门，堵好后门，严格按照“四个一律”要求，当年没有违规举债。同时积极消化存量债务，严格按照化债方案化解债务，当年化解债务5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1</w:t>
      </w:r>
      <w:r w:rsidR="0054746F">
        <w:rPr>
          <w:rFonts w:ascii="方正仿宋_GBK" w:eastAsia="方正仿宋_GBK" w:hAnsi="ˎ̥" w:cs="宋体" w:hint="eastAsia"/>
          <w:kern w:val="0"/>
          <w:sz w:val="32"/>
          <w:szCs w:val="32"/>
        </w:rPr>
        <w:t>,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222万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元。积极做大政府综合财力，牢牢守住不发生系统性风险的底线。</w:t>
      </w:r>
    </w:p>
    <w:p w:rsidR="00E47950" w:rsidRPr="002073BF" w:rsidRDefault="00E47950" w:rsidP="00E47950">
      <w:pPr>
        <w:suppressAutoHyphens/>
        <w:spacing w:line="560" w:lineRule="exact"/>
        <w:ind w:firstLineChars="200" w:firstLine="643"/>
        <w:rPr>
          <w:rFonts w:ascii="方正仿宋_GBK" w:eastAsia="方正仿宋_GBK" w:hAnsi="ˎ̥" w:cs="宋体"/>
          <w:kern w:val="0"/>
          <w:sz w:val="32"/>
          <w:szCs w:val="32"/>
        </w:rPr>
      </w:pPr>
      <w:r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5.</w:t>
      </w:r>
      <w:r w:rsidRPr="002073BF">
        <w:rPr>
          <w:rFonts w:ascii="方正仿宋_GBK" w:eastAsia="方正仿宋_GBK" w:hAnsi="ˎ̥" w:cs="宋体" w:hint="eastAsia"/>
          <w:b/>
          <w:kern w:val="0"/>
          <w:sz w:val="32"/>
          <w:szCs w:val="32"/>
        </w:rPr>
        <w:t>强化监管措施，确保财政资金安全、高效运行</w:t>
      </w:r>
    </w:p>
    <w:p w:rsidR="00E47950" w:rsidRPr="002073BF" w:rsidRDefault="00E47950" w:rsidP="00E47950">
      <w:pPr>
        <w:suppressAutoHyphens/>
        <w:spacing w:line="560" w:lineRule="exact"/>
        <w:ind w:firstLineChars="200" w:firstLine="640"/>
        <w:rPr>
          <w:rFonts w:ascii="方正仿宋_GBK" w:eastAsia="方正仿宋_GBK" w:hAnsi="ˎ̥" w:cs="宋体"/>
          <w:kern w:val="0"/>
          <w:sz w:val="32"/>
          <w:szCs w:val="32"/>
        </w:rPr>
      </w:pP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对我区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2</w:t>
      </w:r>
      <w:r w:rsidR="0054746F">
        <w:rPr>
          <w:rFonts w:ascii="方正仿宋_GBK" w:eastAsia="方正仿宋_GBK" w:hAnsi="ˎ̥" w:cs="宋体" w:hint="eastAsia"/>
          <w:kern w:val="0"/>
          <w:sz w:val="32"/>
          <w:szCs w:val="32"/>
        </w:rPr>
        <w:t>,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017-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2018年惠民惠农财政补贴资金“一卡通”管理、资金使用发放情况进行了全面检查，对街道（管委会）的人员和车辆经费进行专项检查，对发现的问题及时督促整改。继续完善政府采购执行和监管制度，截止10月31日预计数，预算1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8</w:t>
      </w:r>
      <w:r w:rsidR="0054746F">
        <w:rPr>
          <w:rFonts w:ascii="方正仿宋_GBK" w:eastAsia="方正仿宋_GBK" w:hAnsi="ˎ̥" w:cs="宋体" w:hint="eastAsia"/>
          <w:kern w:val="0"/>
          <w:sz w:val="32"/>
          <w:szCs w:val="32"/>
        </w:rPr>
        <w:t>,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061.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16万元，实际1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6</w:t>
      </w:r>
      <w:r w:rsidR="0054746F">
        <w:rPr>
          <w:rFonts w:ascii="方正仿宋_GBK" w:eastAsia="方正仿宋_GBK" w:hAnsi="ˎ̥" w:cs="宋体" w:hint="eastAsia"/>
          <w:kern w:val="0"/>
          <w:sz w:val="32"/>
          <w:szCs w:val="32"/>
        </w:rPr>
        <w:t>,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915.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78万元，节约资金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1</w:t>
      </w:r>
      <w:r w:rsidR="0054746F">
        <w:rPr>
          <w:rFonts w:ascii="方正仿宋_GBK" w:eastAsia="方正仿宋_GBK" w:hAnsi="ˎ̥" w:cs="宋体" w:hint="eastAsia"/>
          <w:kern w:val="0"/>
          <w:sz w:val="32"/>
          <w:szCs w:val="32"/>
        </w:rPr>
        <w:t>,</w:t>
      </w:r>
      <w:r w:rsidR="0054746F"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145.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t>38万元，节约率6.34%；加强对项目资金的审核管理，严格审查项目资金的预算标准、工程造价、项目进度，</w:t>
      </w:r>
      <w:r w:rsidRPr="002073BF">
        <w:rPr>
          <w:rFonts w:ascii="方正仿宋_GBK" w:eastAsia="方正仿宋_GBK" w:hAnsi="ˎ̥" w:cs="宋体" w:hint="eastAsia"/>
          <w:kern w:val="0"/>
          <w:sz w:val="32"/>
          <w:szCs w:val="32"/>
        </w:rPr>
        <w:lastRenderedPageBreak/>
        <w:t>保证项目资金安全、有效支出；针对当前全市财政资金紧张的局面，加强对国库资金运行的监控和调度，促进国库资金合理、有序支出。</w:t>
      </w:r>
    </w:p>
    <w:p w:rsidR="00E47950" w:rsidRDefault="00E47950" w:rsidP="00E47950">
      <w:pPr>
        <w:widowControl/>
        <w:spacing w:line="560" w:lineRule="exact"/>
        <w:ind w:firstLine="63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b/>
          <w:sz w:val="32"/>
          <w:szCs w:val="32"/>
        </w:rPr>
        <w:t>6.</w:t>
      </w:r>
      <w:r w:rsidRPr="00744E83">
        <w:rPr>
          <w:rFonts w:ascii="方正仿宋_GBK" w:eastAsia="方正仿宋_GBK" w:hAnsi="仿宋" w:hint="eastAsia"/>
          <w:b/>
          <w:sz w:val="32"/>
          <w:szCs w:val="32"/>
        </w:rPr>
        <w:t>实施预决算常态化公开</w:t>
      </w:r>
    </w:p>
    <w:p w:rsidR="00E47950" w:rsidRDefault="00E47950" w:rsidP="00E47950">
      <w:pPr>
        <w:widowControl/>
        <w:spacing w:line="560" w:lineRule="exact"/>
        <w:ind w:firstLine="630"/>
        <w:rPr>
          <w:rFonts w:ascii="方正仿宋_GBK" w:eastAsia="方正仿宋_GBK" w:hAnsi="仿宋"/>
          <w:sz w:val="32"/>
          <w:szCs w:val="32"/>
        </w:rPr>
      </w:pPr>
      <w:r w:rsidRPr="00744E83">
        <w:rPr>
          <w:rFonts w:ascii="方正仿宋_GBK" w:eastAsia="方正仿宋_GBK" w:hAnsi="仿宋" w:hint="eastAsia"/>
          <w:sz w:val="32"/>
          <w:szCs w:val="32"/>
        </w:rPr>
        <w:t>树立依法公开观念，增强主动公开意识，切实履行主动公开责任，重视公开实效，回应公众关切，方便社会监督，体现公开及时、内容准确、形式规范的工作效果，以深入推进地方预决算公开为抓手，开展财税政策公开、惠民政策公开，提升财政管理改革透明度。</w:t>
      </w:r>
    </w:p>
    <w:p w:rsidR="00A6742E" w:rsidRPr="00E47950" w:rsidRDefault="00A6742E" w:rsidP="00D93F18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6742E" w:rsidRDefault="00A6742E" w:rsidP="00D93F18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C759A" w:rsidRDefault="00CC759A" w:rsidP="00D93F18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C759A" w:rsidRPr="002C2A36" w:rsidRDefault="00CC759A" w:rsidP="00D93F18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117A0" w:rsidRDefault="000117A0" w:rsidP="00825FF2">
      <w:pPr>
        <w:widowControl/>
        <w:shd w:val="clear" w:color="auto" w:fill="FFFFFF"/>
        <w:wordWrap w:val="0"/>
        <w:spacing w:line="560" w:lineRule="exact"/>
        <w:ind w:firstLineChars="246" w:firstLine="787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米东区财政局</w:t>
      </w:r>
      <w:r w:rsidR="00825FF2">
        <w:rPr>
          <w:rFonts w:ascii="仿宋_GB2312" w:eastAsia="仿宋_GB2312" w:hAnsi="宋体" w:hint="eastAsia"/>
          <w:sz w:val="32"/>
          <w:szCs w:val="32"/>
        </w:rPr>
        <w:t xml:space="preserve">    </w:t>
      </w:r>
    </w:p>
    <w:p w:rsidR="000117A0" w:rsidRPr="00204D8C" w:rsidRDefault="000117A0" w:rsidP="00825FF2">
      <w:pPr>
        <w:widowControl/>
        <w:shd w:val="clear" w:color="auto" w:fill="FFFFFF"/>
        <w:spacing w:line="560" w:lineRule="exact"/>
        <w:ind w:firstLineChars="246" w:firstLine="787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</w:t>
      </w:r>
      <w:r w:rsidR="00673EBE" w:rsidRPr="00673EBE">
        <w:rPr>
          <w:rFonts w:ascii="仿宋_GB2312" w:eastAsia="仿宋_GB2312" w:hAnsi="宋体" w:hint="eastAsia"/>
          <w:sz w:val="32"/>
          <w:szCs w:val="32"/>
        </w:rPr>
        <w:t>〇一</w:t>
      </w:r>
      <w:r w:rsidR="00E47950">
        <w:rPr>
          <w:rFonts w:ascii="仿宋_GB2312" w:eastAsia="仿宋_GB2312" w:hAnsi="宋体" w:hint="eastAsia"/>
          <w:sz w:val="32"/>
          <w:szCs w:val="32"/>
        </w:rPr>
        <w:t>九</w:t>
      </w:r>
      <w:r>
        <w:rPr>
          <w:rFonts w:ascii="仿宋_GB2312" w:eastAsia="仿宋_GB2312" w:hAnsi="宋体" w:hint="eastAsia"/>
          <w:sz w:val="32"/>
          <w:szCs w:val="32"/>
        </w:rPr>
        <w:t>年十二月三十一日</w:t>
      </w:r>
    </w:p>
    <w:sectPr w:rsidR="000117A0" w:rsidRPr="00204D8C" w:rsidSect="000D4143">
      <w:footerReference w:type="even" r:id="rId27"/>
      <w:footerReference w:type="default" r:id="rId28"/>
      <w:pgSz w:w="20639" w:h="14572" w:orient="landscape" w:code="12"/>
      <w:pgMar w:top="1418" w:right="1440" w:bottom="1304" w:left="1440" w:header="851" w:footer="992" w:gutter="0"/>
      <w:pgNumType w:fmt="numberInDash"/>
      <w:cols w:num="2" w:space="1051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724" w:rsidRDefault="00D25724">
      <w:r>
        <w:separator/>
      </w:r>
    </w:p>
  </w:endnote>
  <w:endnote w:type="continuationSeparator" w:id="0">
    <w:p w:rsidR="00D25724" w:rsidRDefault="00D2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_65b9_6b63_4eff_5b8b_GBK">
    <w:altName w:val="Elephant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1B" w:rsidRDefault="00E654D8" w:rsidP="00A854D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171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171B" w:rsidRDefault="001617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1B" w:rsidRDefault="00E654D8" w:rsidP="00A854D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171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60C9">
      <w:rPr>
        <w:rStyle w:val="a6"/>
        <w:noProof/>
      </w:rPr>
      <w:t>- 5 -</w:t>
    </w:r>
    <w:r>
      <w:rPr>
        <w:rStyle w:val="a6"/>
      </w:rPr>
      <w:fldChar w:fldCharType="end"/>
    </w:r>
  </w:p>
  <w:p w:rsidR="0016171B" w:rsidRDefault="001617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724" w:rsidRDefault="00D25724">
      <w:r>
        <w:separator/>
      </w:r>
    </w:p>
  </w:footnote>
  <w:footnote w:type="continuationSeparator" w:id="0">
    <w:p w:rsidR="00D25724" w:rsidRDefault="00D2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F7ACA"/>
    <w:multiLevelType w:val="hybridMultilevel"/>
    <w:tmpl w:val="7FDA5F4A"/>
    <w:lvl w:ilvl="0" w:tplc="654EBEC8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355"/>
    <w:rsid w:val="0000147B"/>
    <w:rsid w:val="00010BEC"/>
    <w:rsid w:val="000110F2"/>
    <w:rsid w:val="000117A0"/>
    <w:rsid w:val="000169D3"/>
    <w:rsid w:val="00022739"/>
    <w:rsid w:val="000428B2"/>
    <w:rsid w:val="00043549"/>
    <w:rsid w:val="000479F6"/>
    <w:rsid w:val="00057767"/>
    <w:rsid w:val="00066091"/>
    <w:rsid w:val="00070710"/>
    <w:rsid w:val="0007187D"/>
    <w:rsid w:val="00076DA7"/>
    <w:rsid w:val="0007769A"/>
    <w:rsid w:val="000A07CB"/>
    <w:rsid w:val="000A3433"/>
    <w:rsid w:val="000A5F86"/>
    <w:rsid w:val="000A793C"/>
    <w:rsid w:val="000B364A"/>
    <w:rsid w:val="000B64D2"/>
    <w:rsid w:val="000B69CA"/>
    <w:rsid w:val="000C19D9"/>
    <w:rsid w:val="000C5383"/>
    <w:rsid w:val="000D4143"/>
    <w:rsid w:val="000E3CE2"/>
    <w:rsid w:val="000E4C8D"/>
    <w:rsid w:val="000E73A5"/>
    <w:rsid w:val="000F3BE2"/>
    <w:rsid w:val="000F514D"/>
    <w:rsid w:val="000F5AC1"/>
    <w:rsid w:val="000F5FEF"/>
    <w:rsid w:val="000F67CE"/>
    <w:rsid w:val="000F7A8E"/>
    <w:rsid w:val="00123C3F"/>
    <w:rsid w:val="00124B7E"/>
    <w:rsid w:val="001263C3"/>
    <w:rsid w:val="00130C25"/>
    <w:rsid w:val="0013122B"/>
    <w:rsid w:val="00135736"/>
    <w:rsid w:val="0013683B"/>
    <w:rsid w:val="00142D15"/>
    <w:rsid w:val="00150AC5"/>
    <w:rsid w:val="001518AC"/>
    <w:rsid w:val="001525D6"/>
    <w:rsid w:val="00152A55"/>
    <w:rsid w:val="001545BF"/>
    <w:rsid w:val="00154EB0"/>
    <w:rsid w:val="0016113F"/>
    <w:rsid w:val="0016171B"/>
    <w:rsid w:val="00161981"/>
    <w:rsid w:val="00164EC4"/>
    <w:rsid w:val="001713B0"/>
    <w:rsid w:val="00171E28"/>
    <w:rsid w:val="00171E40"/>
    <w:rsid w:val="00172524"/>
    <w:rsid w:val="00175147"/>
    <w:rsid w:val="00176D41"/>
    <w:rsid w:val="00181B91"/>
    <w:rsid w:val="00185B9D"/>
    <w:rsid w:val="0019075E"/>
    <w:rsid w:val="00192F15"/>
    <w:rsid w:val="00192F52"/>
    <w:rsid w:val="001972E2"/>
    <w:rsid w:val="001A1D7F"/>
    <w:rsid w:val="001A2494"/>
    <w:rsid w:val="001A483E"/>
    <w:rsid w:val="001A4F1E"/>
    <w:rsid w:val="001A751B"/>
    <w:rsid w:val="001A7A6B"/>
    <w:rsid w:val="001B0C15"/>
    <w:rsid w:val="001B18DF"/>
    <w:rsid w:val="001B6034"/>
    <w:rsid w:val="001B6FAE"/>
    <w:rsid w:val="001C157E"/>
    <w:rsid w:val="001C6596"/>
    <w:rsid w:val="001D231C"/>
    <w:rsid w:val="001D30F2"/>
    <w:rsid w:val="001D3D3F"/>
    <w:rsid w:val="001D52E3"/>
    <w:rsid w:val="001D6369"/>
    <w:rsid w:val="001D716B"/>
    <w:rsid w:val="001F066F"/>
    <w:rsid w:val="001F6B4C"/>
    <w:rsid w:val="001F70BC"/>
    <w:rsid w:val="001F7670"/>
    <w:rsid w:val="001F7AFE"/>
    <w:rsid w:val="002004AA"/>
    <w:rsid w:val="002011E4"/>
    <w:rsid w:val="00204D8C"/>
    <w:rsid w:val="0020502D"/>
    <w:rsid w:val="00206530"/>
    <w:rsid w:val="002122D3"/>
    <w:rsid w:val="002128C7"/>
    <w:rsid w:val="00212BEB"/>
    <w:rsid w:val="00213D7D"/>
    <w:rsid w:val="002233B5"/>
    <w:rsid w:val="00223DA5"/>
    <w:rsid w:val="002242DD"/>
    <w:rsid w:val="00224387"/>
    <w:rsid w:val="0022574F"/>
    <w:rsid w:val="002309FF"/>
    <w:rsid w:val="00236921"/>
    <w:rsid w:val="00236BCA"/>
    <w:rsid w:val="002431E9"/>
    <w:rsid w:val="002446A5"/>
    <w:rsid w:val="002452FF"/>
    <w:rsid w:val="002461F1"/>
    <w:rsid w:val="002474E1"/>
    <w:rsid w:val="002475CA"/>
    <w:rsid w:val="00247C6A"/>
    <w:rsid w:val="00251419"/>
    <w:rsid w:val="0025265F"/>
    <w:rsid w:val="00254000"/>
    <w:rsid w:val="00254839"/>
    <w:rsid w:val="0025671C"/>
    <w:rsid w:val="00257936"/>
    <w:rsid w:val="002637D2"/>
    <w:rsid w:val="00263DB0"/>
    <w:rsid w:val="0026413E"/>
    <w:rsid w:val="00266677"/>
    <w:rsid w:val="002705D8"/>
    <w:rsid w:val="00270CB8"/>
    <w:rsid w:val="00272F1D"/>
    <w:rsid w:val="00275A12"/>
    <w:rsid w:val="00276E9B"/>
    <w:rsid w:val="00280871"/>
    <w:rsid w:val="00281E54"/>
    <w:rsid w:val="00283905"/>
    <w:rsid w:val="00284A25"/>
    <w:rsid w:val="0028705C"/>
    <w:rsid w:val="0029401F"/>
    <w:rsid w:val="00294B56"/>
    <w:rsid w:val="002A1BB1"/>
    <w:rsid w:val="002A2F41"/>
    <w:rsid w:val="002A3E6C"/>
    <w:rsid w:val="002A3FE2"/>
    <w:rsid w:val="002A4213"/>
    <w:rsid w:val="002A4436"/>
    <w:rsid w:val="002A6D76"/>
    <w:rsid w:val="002B0F73"/>
    <w:rsid w:val="002B2161"/>
    <w:rsid w:val="002B6CF1"/>
    <w:rsid w:val="002B70AE"/>
    <w:rsid w:val="002C0DF8"/>
    <w:rsid w:val="002C134F"/>
    <w:rsid w:val="002C1C9D"/>
    <w:rsid w:val="002C2A36"/>
    <w:rsid w:val="002C2DD6"/>
    <w:rsid w:val="002D1474"/>
    <w:rsid w:val="002E01DF"/>
    <w:rsid w:val="002E2F40"/>
    <w:rsid w:val="002E48D8"/>
    <w:rsid w:val="002F0ABF"/>
    <w:rsid w:val="002F4249"/>
    <w:rsid w:val="002F79C5"/>
    <w:rsid w:val="0030281C"/>
    <w:rsid w:val="00310D49"/>
    <w:rsid w:val="00310E28"/>
    <w:rsid w:val="003122F9"/>
    <w:rsid w:val="00312CAD"/>
    <w:rsid w:val="003138B6"/>
    <w:rsid w:val="00313DC9"/>
    <w:rsid w:val="00316FEF"/>
    <w:rsid w:val="003171FA"/>
    <w:rsid w:val="00326BAB"/>
    <w:rsid w:val="003363DB"/>
    <w:rsid w:val="00342846"/>
    <w:rsid w:val="003438B0"/>
    <w:rsid w:val="00344944"/>
    <w:rsid w:val="00345BCB"/>
    <w:rsid w:val="0034754B"/>
    <w:rsid w:val="003502FA"/>
    <w:rsid w:val="00350340"/>
    <w:rsid w:val="003510FA"/>
    <w:rsid w:val="00351304"/>
    <w:rsid w:val="00352549"/>
    <w:rsid w:val="003579EE"/>
    <w:rsid w:val="00363CC1"/>
    <w:rsid w:val="00364772"/>
    <w:rsid w:val="00365443"/>
    <w:rsid w:val="00365521"/>
    <w:rsid w:val="0037293F"/>
    <w:rsid w:val="00374B1C"/>
    <w:rsid w:val="00375323"/>
    <w:rsid w:val="00380B28"/>
    <w:rsid w:val="00395A3F"/>
    <w:rsid w:val="00395F85"/>
    <w:rsid w:val="003978F3"/>
    <w:rsid w:val="003A2A88"/>
    <w:rsid w:val="003A3400"/>
    <w:rsid w:val="003A647C"/>
    <w:rsid w:val="003B0A1E"/>
    <w:rsid w:val="003B100A"/>
    <w:rsid w:val="003B52A8"/>
    <w:rsid w:val="003B6B8C"/>
    <w:rsid w:val="003B6DA1"/>
    <w:rsid w:val="003B7646"/>
    <w:rsid w:val="003B78F7"/>
    <w:rsid w:val="003B7B7B"/>
    <w:rsid w:val="003C599E"/>
    <w:rsid w:val="003D0765"/>
    <w:rsid w:val="003D4A0B"/>
    <w:rsid w:val="003E535C"/>
    <w:rsid w:val="003F1063"/>
    <w:rsid w:val="003F131B"/>
    <w:rsid w:val="003F7EAF"/>
    <w:rsid w:val="00400CF2"/>
    <w:rsid w:val="00410028"/>
    <w:rsid w:val="00414D5D"/>
    <w:rsid w:val="004150E1"/>
    <w:rsid w:val="004178FE"/>
    <w:rsid w:val="00422B7C"/>
    <w:rsid w:val="00424B04"/>
    <w:rsid w:val="00426F11"/>
    <w:rsid w:val="00430808"/>
    <w:rsid w:val="00433B31"/>
    <w:rsid w:val="00442AC4"/>
    <w:rsid w:val="00451B6E"/>
    <w:rsid w:val="0045241B"/>
    <w:rsid w:val="00466495"/>
    <w:rsid w:val="00467A02"/>
    <w:rsid w:val="00472372"/>
    <w:rsid w:val="00477A84"/>
    <w:rsid w:val="00483810"/>
    <w:rsid w:val="0049021C"/>
    <w:rsid w:val="00490AE4"/>
    <w:rsid w:val="00493515"/>
    <w:rsid w:val="0049771C"/>
    <w:rsid w:val="004A2D68"/>
    <w:rsid w:val="004A52DE"/>
    <w:rsid w:val="004C2891"/>
    <w:rsid w:val="004D1848"/>
    <w:rsid w:val="004D492C"/>
    <w:rsid w:val="004D5955"/>
    <w:rsid w:val="004E02AC"/>
    <w:rsid w:val="004E1845"/>
    <w:rsid w:val="004E30D4"/>
    <w:rsid w:val="004E61B3"/>
    <w:rsid w:val="004F32CA"/>
    <w:rsid w:val="004F5C88"/>
    <w:rsid w:val="005133FF"/>
    <w:rsid w:val="005138AD"/>
    <w:rsid w:val="00513F49"/>
    <w:rsid w:val="0051466D"/>
    <w:rsid w:val="00514F4E"/>
    <w:rsid w:val="00524734"/>
    <w:rsid w:val="00524A97"/>
    <w:rsid w:val="00524FC4"/>
    <w:rsid w:val="00525BD0"/>
    <w:rsid w:val="00532F2F"/>
    <w:rsid w:val="00535386"/>
    <w:rsid w:val="00540A9A"/>
    <w:rsid w:val="0054245C"/>
    <w:rsid w:val="0054746F"/>
    <w:rsid w:val="00554412"/>
    <w:rsid w:val="00557112"/>
    <w:rsid w:val="00561D5D"/>
    <w:rsid w:val="0056473B"/>
    <w:rsid w:val="00567607"/>
    <w:rsid w:val="00567E92"/>
    <w:rsid w:val="00574665"/>
    <w:rsid w:val="00576409"/>
    <w:rsid w:val="0058032D"/>
    <w:rsid w:val="00586EB8"/>
    <w:rsid w:val="00586F63"/>
    <w:rsid w:val="00592F10"/>
    <w:rsid w:val="00594E48"/>
    <w:rsid w:val="005A2C2E"/>
    <w:rsid w:val="005A6620"/>
    <w:rsid w:val="005B190A"/>
    <w:rsid w:val="005B32B5"/>
    <w:rsid w:val="005B3EFF"/>
    <w:rsid w:val="005B4687"/>
    <w:rsid w:val="005B7A0F"/>
    <w:rsid w:val="005C03FF"/>
    <w:rsid w:val="005C0D57"/>
    <w:rsid w:val="005C5240"/>
    <w:rsid w:val="005C551F"/>
    <w:rsid w:val="005C7619"/>
    <w:rsid w:val="005D70D6"/>
    <w:rsid w:val="005D7F02"/>
    <w:rsid w:val="005E4079"/>
    <w:rsid w:val="005E40FF"/>
    <w:rsid w:val="005E49A5"/>
    <w:rsid w:val="005E7DAF"/>
    <w:rsid w:val="005F1585"/>
    <w:rsid w:val="005F1B77"/>
    <w:rsid w:val="005F24A4"/>
    <w:rsid w:val="005F2E58"/>
    <w:rsid w:val="005F34E5"/>
    <w:rsid w:val="005F40ED"/>
    <w:rsid w:val="005F7F7A"/>
    <w:rsid w:val="00601052"/>
    <w:rsid w:val="006014A4"/>
    <w:rsid w:val="00603F58"/>
    <w:rsid w:val="006072D8"/>
    <w:rsid w:val="00610375"/>
    <w:rsid w:val="00611DE2"/>
    <w:rsid w:val="00612C84"/>
    <w:rsid w:val="006139D5"/>
    <w:rsid w:val="00614B0F"/>
    <w:rsid w:val="00631610"/>
    <w:rsid w:val="00636591"/>
    <w:rsid w:val="0063778F"/>
    <w:rsid w:val="00637940"/>
    <w:rsid w:val="00640AB3"/>
    <w:rsid w:val="0064228D"/>
    <w:rsid w:val="00643D8C"/>
    <w:rsid w:val="00647291"/>
    <w:rsid w:val="00650271"/>
    <w:rsid w:val="00672AD8"/>
    <w:rsid w:val="00673EBE"/>
    <w:rsid w:val="006818F5"/>
    <w:rsid w:val="00683EA4"/>
    <w:rsid w:val="00683FD1"/>
    <w:rsid w:val="00684476"/>
    <w:rsid w:val="006919B7"/>
    <w:rsid w:val="00691C37"/>
    <w:rsid w:val="00692181"/>
    <w:rsid w:val="006932CE"/>
    <w:rsid w:val="006961A4"/>
    <w:rsid w:val="006A07CC"/>
    <w:rsid w:val="006A0984"/>
    <w:rsid w:val="006A239F"/>
    <w:rsid w:val="006A2E02"/>
    <w:rsid w:val="006A303C"/>
    <w:rsid w:val="006A417D"/>
    <w:rsid w:val="006A66AB"/>
    <w:rsid w:val="006B7A2F"/>
    <w:rsid w:val="006C1072"/>
    <w:rsid w:val="006D0282"/>
    <w:rsid w:val="006D3D8F"/>
    <w:rsid w:val="006D495F"/>
    <w:rsid w:val="006D5155"/>
    <w:rsid w:val="006F135D"/>
    <w:rsid w:val="006F35A3"/>
    <w:rsid w:val="006F5482"/>
    <w:rsid w:val="00701779"/>
    <w:rsid w:val="007035DC"/>
    <w:rsid w:val="0070464E"/>
    <w:rsid w:val="0070682E"/>
    <w:rsid w:val="007107F4"/>
    <w:rsid w:val="00713CCD"/>
    <w:rsid w:val="00720133"/>
    <w:rsid w:val="00720F88"/>
    <w:rsid w:val="007237ED"/>
    <w:rsid w:val="00725DEE"/>
    <w:rsid w:val="00726C8B"/>
    <w:rsid w:val="007326AC"/>
    <w:rsid w:val="00732E35"/>
    <w:rsid w:val="007367BC"/>
    <w:rsid w:val="0073729B"/>
    <w:rsid w:val="00743338"/>
    <w:rsid w:val="00745AA3"/>
    <w:rsid w:val="0075181F"/>
    <w:rsid w:val="007538AC"/>
    <w:rsid w:val="00756C14"/>
    <w:rsid w:val="00756E2E"/>
    <w:rsid w:val="007606FA"/>
    <w:rsid w:val="007630F8"/>
    <w:rsid w:val="007638DB"/>
    <w:rsid w:val="007649C8"/>
    <w:rsid w:val="0077294A"/>
    <w:rsid w:val="00773F0F"/>
    <w:rsid w:val="007762FF"/>
    <w:rsid w:val="00782215"/>
    <w:rsid w:val="00794699"/>
    <w:rsid w:val="0079689D"/>
    <w:rsid w:val="007A195E"/>
    <w:rsid w:val="007A1981"/>
    <w:rsid w:val="007A4A7C"/>
    <w:rsid w:val="007A55EF"/>
    <w:rsid w:val="007A6010"/>
    <w:rsid w:val="007C0085"/>
    <w:rsid w:val="007C12C0"/>
    <w:rsid w:val="007C1DF5"/>
    <w:rsid w:val="007D1178"/>
    <w:rsid w:val="007E03A7"/>
    <w:rsid w:val="007E0BDA"/>
    <w:rsid w:val="007E4823"/>
    <w:rsid w:val="007E4ACD"/>
    <w:rsid w:val="007E6E5C"/>
    <w:rsid w:val="007F0DEA"/>
    <w:rsid w:val="007F2797"/>
    <w:rsid w:val="007F2BD8"/>
    <w:rsid w:val="007F3663"/>
    <w:rsid w:val="0080128B"/>
    <w:rsid w:val="008022EC"/>
    <w:rsid w:val="008039DE"/>
    <w:rsid w:val="00804708"/>
    <w:rsid w:val="00805E8B"/>
    <w:rsid w:val="0080684D"/>
    <w:rsid w:val="00807E69"/>
    <w:rsid w:val="00811306"/>
    <w:rsid w:val="00813A68"/>
    <w:rsid w:val="00814539"/>
    <w:rsid w:val="008147B7"/>
    <w:rsid w:val="0081782E"/>
    <w:rsid w:val="008204C9"/>
    <w:rsid w:val="00821B9D"/>
    <w:rsid w:val="00825FF2"/>
    <w:rsid w:val="008263AC"/>
    <w:rsid w:val="008324C4"/>
    <w:rsid w:val="0083567D"/>
    <w:rsid w:val="00836037"/>
    <w:rsid w:val="00840F69"/>
    <w:rsid w:val="00860A4B"/>
    <w:rsid w:val="00860CF6"/>
    <w:rsid w:val="00864244"/>
    <w:rsid w:val="008643B4"/>
    <w:rsid w:val="008670F8"/>
    <w:rsid w:val="00870B69"/>
    <w:rsid w:val="00871C2B"/>
    <w:rsid w:val="0087236D"/>
    <w:rsid w:val="00872EDB"/>
    <w:rsid w:val="00876163"/>
    <w:rsid w:val="008801AE"/>
    <w:rsid w:val="0088070E"/>
    <w:rsid w:val="008859BD"/>
    <w:rsid w:val="00890DB9"/>
    <w:rsid w:val="00893DC5"/>
    <w:rsid w:val="00895D29"/>
    <w:rsid w:val="008A41D9"/>
    <w:rsid w:val="008A4969"/>
    <w:rsid w:val="008A504E"/>
    <w:rsid w:val="008A5A3D"/>
    <w:rsid w:val="008A60BA"/>
    <w:rsid w:val="008A7B64"/>
    <w:rsid w:val="008B580F"/>
    <w:rsid w:val="008C4D6B"/>
    <w:rsid w:val="008C59C6"/>
    <w:rsid w:val="008D07B5"/>
    <w:rsid w:val="008D0F1D"/>
    <w:rsid w:val="008D518F"/>
    <w:rsid w:val="008E0DA2"/>
    <w:rsid w:val="008E13F2"/>
    <w:rsid w:val="008E3893"/>
    <w:rsid w:val="008E710C"/>
    <w:rsid w:val="008F22E0"/>
    <w:rsid w:val="009001B3"/>
    <w:rsid w:val="00900B06"/>
    <w:rsid w:val="009020F0"/>
    <w:rsid w:val="00904843"/>
    <w:rsid w:val="00905C2E"/>
    <w:rsid w:val="00911483"/>
    <w:rsid w:val="00914A30"/>
    <w:rsid w:val="009156CA"/>
    <w:rsid w:val="009215E1"/>
    <w:rsid w:val="0092441A"/>
    <w:rsid w:val="00926344"/>
    <w:rsid w:val="00926D07"/>
    <w:rsid w:val="00927E22"/>
    <w:rsid w:val="00932292"/>
    <w:rsid w:val="00941922"/>
    <w:rsid w:val="00941FA5"/>
    <w:rsid w:val="009436C9"/>
    <w:rsid w:val="0095202A"/>
    <w:rsid w:val="00952E2A"/>
    <w:rsid w:val="0095410A"/>
    <w:rsid w:val="0095454E"/>
    <w:rsid w:val="009554A2"/>
    <w:rsid w:val="009605BE"/>
    <w:rsid w:val="00960DA8"/>
    <w:rsid w:val="00962011"/>
    <w:rsid w:val="0096360D"/>
    <w:rsid w:val="00963F01"/>
    <w:rsid w:val="009661A1"/>
    <w:rsid w:val="00966659"/>
    <w:rsid w:val="009704CA"/>
    <w:rsid w:val="009711A7"/>
    <w:rsid w:val="0097165D"/>
    <w:rsid w:val="00976745"/>
    <w:rsid w:val="00976FA1"/>
    <w:rsid w:val="009810A9"/>
    <w:rsid w:val="00985181"/>
    <w:rsid w:val="00992929"/>
    <w:rsid w:val="00994810"/>
    <w:rsid w:val="009950A8"/>
    <w:rsid w:val="0099520F"/>
    <w:rsid w:val="009A0D2B"/>
    <w:rsid w:val="009A4040"/>
    <w:rsid w:val="009A7451"/>
    <w:rsid w:val="009B181B"/>
    <w:rsid w:val="009B6239"/>
    <w:rsid w:val="009B62EE"/>
    <w:rsid w:val="009C44FB"/>
    <w:rsid w:val="009C554C"/>
    <w:rsid w:val="009C62A1"/>
    <w:rsid w:val="009D2BAB"/>
    <w:rsid w:val="009D7184"/>
    <w:rsid w:val="009E0AA4"/>
    <w:rsid w:val="009E2027"/>
    <w:rsid w:val="009E268B"/>
    <w:rsid w:val="009E53F3"/>
    <w:rsid w:val="009E6467"/>
    <w:rsid w:val="009F0703"/>
    <w:rsid w:val="009F1E1B"/>
    <w:rsid w:val="009F6F8E"/>
    <w:rsid w:val="00A05387"/>
    <w:rsid w:val="00A1024D"/>
    <w:rsid w:val="00A11BF2"/>
    <w:rsid w:val="00A15D03"/>
    <w:rsid w:val="00A20B1F"/>
    <w:rsid w:val="00A22231"/>
    <w:rsid w:val="00A26FD7"/>
    <w:rsid w:val="00A27BAB"/>
    <w:rsid w:val="00A3106E"/>
    <w:rsid w:val="00A3332B"/>
    <w:rsid w:val="00A3435C"/>
    <w:rsid w:val="00A408B2"/>
    <w:rsid w:val="00A457B7"/>
    <w:rsid w:val="00A47064"/>
    <w:rsid w:val="00A500F7"/>
    <w:rsid w:val="00A5131A"/>
    <w:rsid w:val="00A56628"/>
    <w:rsid w:val="00A56D5E"/>
    <w:rsid w:val="00A57500"/>
    <w:rsid w:val="00A6742E"/>
    <w:rsid w:val="00A7522A"/>
    <w:rsid w:val="00A757B7"/>
    <w:rsid w:val="00A763D1"/>
    <w:rsid w:val="00A854D8"/>
    <w:rsid w:val="00A85AFE"/>
    <w:rsid w:val="00A91C8E"/>
    <w:rsid w:val="00A93DD3"/>
    <w:rsid w:val="00AA078F"/>
    <w:rsid w:val="00AA18A7"/>
    <w:rsid w:val="00AA2C04"/>
    <w:rsid w:val="00AB1929"/>
    <w:rsid w:val="00AB5FBD"/>
    <w:rsid w:val="00AB6CBE"/>
    <w:rsid w:val="00AC78FB"/>
    <w:rsid w:val="00AD001A"/>
    <w:rsid w:val="00AD1E16"/>
    <w:rsid w:val="00AD36B8"/>
    <w:rsid w:val="00AD3A4F"/>
    <w:rsid w:val="00AD4016"/>
    <w:rsid w:val="00AD73A3"/>
    <w:rsid w:val="00AD74CB"/>
    <w:rsid w:val="00AF4292"/>
    <w:rsid w:val="00AF6F3A"/>
    <w:rsid w:val="00AF7D28"/>
    <w:rsid w:val="00B03103"/>
    <w:rsid w:val="00B065A8"/>
    <w:rsid w:val="00B069FA"/>
    <w:rsid w:val="00B164C0"/>
    <w:rsid w:val="00B17CE0"/>
    <w:rsid w:val="00B17DE4"/>
    <w:rsid w:val="00B201EB"/>
    <w:rsid w:val="00B25E56"/>
    <w:rsid w:val="00B32F8B"/>
    <w:rsid w:val="00B33D50"/>
    <w:rsid w:val="00B41005"/>
    <w:rsid w:val="00B54FEE"/>
    <w:rsid w:val="00B66944"/>
    <w:rsid w:val="00B70E94"/>
    <w:rsid w:val="00B72F07"/>
    <w:rsid w:val="00B75A02"/>
    <w:rsid w:val="00B82086"/>
    <w:rsid w:val="00B83EFE"/>
    <w:rsid w:val="00B842AD"/>
    <w:rsid w:val="00B84FD2"/>
    <w:rsid w:val="00B86268"/>
    <w:rsid w:val="00B90261"/>
    <w:rsid w:val="00B94BD3"/>
    <w:rsid w:val="00B9531D"/>
    <w:rsid w:val="00BA6716"/>
    <w:rsid w:val="00BA6D99"/>
    <w:rsid w:val="00BA7396"/>
    <w:rsid w:val="00BB2559"/>
    <w:rsid w:val="00BB33C1"/>
    <w:rsid w:val="00BB5FE3"/>
    <w:rsid w:val="00BB6661"/>
    <w:rsid w:val="00BC01D3"/>
    <w:rsid w:val="00BC09C4"/>
    <w:rsid w:val="00BC3C2F"/>
    <w:rsid w:val="00BC654E"/>
    <w:rsid w:val="00BC659F"/>
    <w:rsid w:val="00BC7BCA"/>
    <w:rsid w:val="00BC7BFC"/>
    <w:rsid w:val="00BD1575"/>
    <w:rsid w:val="00BD2991"/>
    <w:rsid w:val="00BD3227"/>
    <w:rsid w:val="00BE0E56"/>
    <w:rsid w:val="00BE2F0D"/>
    <w:rsid w:val="00BE4EAF"/>
    <w:rsid w:val="00BE65D1"/>
    <w:rsid w:val="00BE74FE"/>
    <w:rsid w:val="00BE7EA1"/>
    <w:rsid w:val="00BF71B4"/>
    <w:rsid w:val="00BF7386"/>
    <w:rsid w:val="00C060C9"/>
    <w:rsid w:val="00C071CB"/>
    <w:rsid w:val="00C10DFA"/>
    <w:rsid w:val="00C1529C"/>
    <w:rsid w:val="00C16A05"/>
    <w:rsid w:val="00C21B24"/>
    <w:rsid w:val="00C22F3F"/>
    <w:rsid w:val="00C31597"/>
    <w:rsid w:val="00C3406D"/>
    <w:rsid w:val="00C356A2"/>
    <w:rsid w:val="00C35FF5"/>
    <w:rsid w:val="00C41BA0"/>
    <w:rsid w:val="00C42972"/>
    <w:rsid w:val="00C44F85"/>
    <w:rsid w:val="00C467CD"/>
    <w:rsid w:val="00C55355"/>
    <w:rsid w:val="00C56529"/>
    <w:rsid w:val="00C67F9C"/>
    <w:rsid w:val="00C711DF"/>
    <w:rsid w:val="00C74DE8"/>
    <w:rsid w:val="00C82F30"/>
    <w:rsid w:val="00C8428E"/>
    <w:rsid w:val="00C93941"/>
    <w:rsid w:val="00C9583B"/>
    <w:rsid w:val="00CA13F4"/>
    <w:rsid w:val="00CA3500"/>
    <w:rsid w:val="00CA38DB"/>
    <w:rsid w:val="00CA4FFB"/>
    <w:rsid w:val="00CA6DA9"/>
    <w:rsid w:val="00CB5657"/>
    <w:rsid w:val="00CB68FE"/>
    <w:rsid w:val="00CC0908"/>
    <w:rsid w:val="00CC1307"/>
    <w:rsid w:val="00CC3D29"/>
    <w:rsid w:val="00CC414F"/>
    <w:rsid w:val="00CC49F4"/>
    <w:rsid w:val="00CC66FB"/>
    <w:rsid w:val="00CC759A"/>
    <w:rsid w:val="00CD2BE5"/>
    <w:rsid w:val="00CD2DE7"/>
    <w:rsid w:val="00CD442D"/>
    <w:rsid w:val="00CE1DD6"/>
    <w:rsid w:val="00CE3EEB"/>
    <w:rsid w:val="00CE4109"/>
    <w:rsid w:val="00CF0C4E"/>
    <w:rsid w:val="00CF33CD"/>
    <w:rsid w:val="00CF3E26"/>
    <w:rsid w:val="00CF6C32"/>
    <w:rsid w:val="00D00275"/>
    <w:rsid w:val="00D10728"/>
    <w:rsid w:val="00D12352"/>
    <w:rsid w:val="00D17095"/>
    <w:rsid w:val="00D20B1C"/>
    <w:rsid w:val="00D24984"/>
    <w:rsid w:val="00D254A9"/>
    <w:rsid w:val="00D25724"/>
    <w:rsid w:val="00D30E67"/>
    <w:rsid w:val="00D3748D"/>
    <w:rsid w:val="00D43D54"/>
    <w:rsid w:val="00D539CE"/>
    <w:rsid w:val="00D54AB5"/>
    <w:rsid w:val="00D569C1"/>
    <w:rsid w:val="00D61E8A"/>
    <w:rsid w:val="00D6583D"/>
    <w:rsid w:val="00D65BEF"/>
    <w:rsid w:val="00D71D74"/>
    <w:rsid w:val="00D7219F"/>
    <w:rsid w:val="00D73B19"/>
    <w:rsid w:val="00D74670"/>
    <w:rsid w:val="00D7591B"/>
    <w:rsid w:val="00D76627"/>
    <w:rsid w:val="00D81D02"/>
    <w:rsid w:val="00D82FF8"/>
    <w:rsid w:val="00D84318"/>
    <w:rsid w:val="00D93417"/>
    <w:rsid w:val="00D93F18"/>
    <w:rsid w:val="00D9554E"/>
    <w:rsid w:val="00D9784B"/>
    <w:rsid w:val="00D97C3C"/>
    <w:rsid w:val="00D97EDD"/>
    <w:rsid w:val="00DA1249"/>
    <w:rsid w:val="00DA3C89"/>
    <w:rsid w:val="00DB478F"/>
    <w:rsid w:val="00DB763B"/>
    <w:rsid w:val="00DC3EC2"/>
    <w:rsid w:val="00DC49B9"/>
    <w:rsid w:val="00DD0F87"/>
    <w:rsid w:val="00DD1654"/>
    <w:rsid w:val="00DD510F"/>
    <w:rsid w:val="00DD71CC"/>
    <w:rsid w:val="00DE7C87"/>
    <w:rsid w:val="00DF12AA"/>
    <w:rsid w:val="00DF4D2B"/>
    <w:rsid w:val="00DF5DB0"/>
    <w:rsid w:val="00E00AF7"/>
    <w:rsid w:val="00E00E02"/>
    <w:rsid w:val="00E00EF9"/>
    <w:rsid w:val="00E01C63"/>
    <w:rsid w:val="00E041A2"/>
    <w:rsid w:val="00E042DC"/>
    <w:rsid w:val="00E05B18"/>
    <w:rsid w:val="00E07A19"/>
    <w:rsid w:val="00E12308"/>
    <w:rsid w:val="00E1556A"/>
    <w:rsid w:val="00E22EA4"/>
    <w:rsid w:val="00E23346"/>
    <w:rsid w:val="00E23989"/>
    <w:rsid w:val="00E27A28"/>
    <w:rsid w:val="00E30B25"/>
    <w:rsid w:val="00E3218A"/>
    <w:rsid w:val="00E34145"/>
    <w:rsid w:val="00E45D24"/>
    <w:rsid w:val="00E47950"/>
    <w:rsid w:val="00E51686"/>
    <w:rsid w:val="00E51BD4"/>
    <w:rsid w:val="00E62582"/>
    <w:rsid w:val="00E64297"/>
    <w:rsid w:val="00E654D8"/>
    <w:rsid w:val="00E67ABE"/>
    <w:rsid w:val="00E70E11"/>
    <w:rsid w:val="00E70EE1"/>
    <w:rsid w:val="00E71AA2"/>
    <w:rsid w:val="00E72B63"/>
    <w:rsid w:val="00E72F3E"/>
    <w:rsid w:val="00E75B9B"/>
    <w:rsid w:val="00E7630C"/>
    <w:rsid w:val="00E76EC2"/>
    <w:rsid w:val="00E8303F"/>
    <w:rsid w:val="00E87575"/>
    <w:rsid w:val="00EA1546"/>
    <w:rsid w:val="00EA4FB8"/>
    <w:rsid w:val="00EC0E16"/>
    <w:rsid w:val="00EC1D9F"/>
    <w:rsid w:val="00EC2441"/>
    <w:rsid w:val="00EC2EAD"/>
    <w:rsid w:val="00EC5EDD"/>
    <w:rsid w:val="00EC5F54"/>
    <w:rsid w:val="00ED4BC4"/>
    <w:rsid w:val="00EE1FBC"/>
    <w:rsid w:val="00EE2180"/>
    <w:rsid w:val="00EE6E24"/>
    <w:rsid w:val="00EF5002"/>
    <w:rsid w:val="00EF53BF"/>
    <w:rsid w:val="00EF6A9E"/>
    <w:rsid w:val="00EF6FA3"/>
    <w:rsid w:val="00EF7AA2"/>
    <w:rsid w:val="00F02AA4"/>
    <w:rsid w:val="00F105F7"/>
    <w:rsid w:val="00F227C3"/>
    <w:rsid w:val="00F22D6D"/>
    <w:rsid w:val="00F23D87"/>
    <w:rsid w:val="00F43782"/>
    <w:rsid w:val="00F4388B"/>
    <w:rsid w:val="00F43C41"/>
    <w:rsid w:val="00F43CEA"/>
    <w:rsid w:val="00F445B8"/>
    <w:rsid w:val="00F445E1"/>
    <w:rsid w:val="00F47791"/>
    <w:rsid w:val="00F523B4"/>
    <w:rsid w:val="00F60C2A"/>
    <w:rsid w:val="00F625CD"/>
    <w:rsid w:val="00F642D7"/>
    <w:rsid w:val="00F67778"/>
    <w:rsid w:val="00F73211"/>
    <w:rsid w:val="00F744E7"/>
    <w:rsid w:val="00F76358"/>
    <w:rsid w:val="00F768D7"/>
    <w:rsid w:val="00F843A9"/>
    <w:rsid w:val="00F852DD"/>
    <w:rsid w:val="00F87773"/>
    <w:rsid w:val="00F9071C"/>
    <w:rsid w:val="00F9563A"/>
    <w:rsid w:val="00FA0B5F"/>
    <w:rsid w:val="00FA3A20"/>
    <w:rsid w:val="00FA4D14"/>
    <w:rsid w:val="00FB39E7"/>
    <w:rsid w:val="00FB3A4E"/>
    <w:rsid w:val="00FC2DF0"/>
    <w:rsid w:val="00FD1623"/>
    <w:rsid w:val="00FE398D"/>
    <w:rsid w:val="00FE5688"/>
    <w:rsid w:val="00FF376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1B3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Char"/>
    <w:uiPriority w:val="99"/>
    <w:qFormat/>
    <w:rsid w:val="00870B6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204D8C"/>
    <w:pPr>
      <w:ind w:firstLineChars="200" w:firstLine="420"/>
    </w:pPr>
    <w:rPr>
      <w:sz w:val="24"/>
    </w:rPr>
  </w:style>
  <w:style w:type="paragraph" w:styleId="a4">
    <w:name w:val="header"/>
    <w:basedOn w:val="a"/>
    <w:rsid w:val="00204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204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04D8C"/>
  </w:style>
  <w:style w:type="character" w:styleId="a7">
    <w:name w:val="Strong"/>
    <w:basedOn w:val="a0"/>
    <w:qFormat/>
    <w:rsid w:val="0056473B"/>
    <w:rPr>
      <w:b/>
      <w:bCs/>
    </w:rPr>
  </w:style>
  <w:style w:type="paragraph" w:customStyle="1" w:styleId="Char">
    <w:name w:val="Char"/>
    <w:basedOn w:val="a"/>
    <w:rsid w:val="00CD2DE7"/>
    <w:rPr>
      <w:rFonts w:ascii="Tahoma" w:hAnsi="Tahoma"/>
      <w:sz w:val="24"/>
      <w:szCs w:val="20"/>
    </w:rPr>
  </w:style>
  <w:style w:type="paragraph" w:styleId="a8">
    <w:name w:val="Balloon Text"/>
    <w:basedOn w:val="a"/>
    <w:link w:val="Char0"/>
    <w:rsid w:val="00614B0F"/>
    <w:rPr>
      <w:sz w:val="18"/>
      <w:szCs w:val="18"/>
    </w:rPr>
  </w:style>
  <w:style w:type="character" w:customStyle="1" w:styleId="Char0">
    <w:name w:val="批注框文本 Char"/>
    <w:basedOn w:val="a0"/>
    <w:link w:val="a8"/>
    <w:rsid w:val="00614B0F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9"/>
    <w:rsid w:val="00870B69"/>
    <w:rPr>
      <w:rFonts w:ascii="宋体" w:hAnsi="宋体" w:cs="宋体"/>
      <w:b/>
      <w:bCs/>
      <w:sz w:val="27"/>
      <w:szCs w:val="27"/>
    </w:rPr>
  </w:style>
  <w:style w:type="paragraph" w:customStyle="1" w:styleId="p0">
    <w:name w:val="p0"/>
    <w:basedOn w:val="a"/>
    <w:qFormat/>
    <w:rsid w:val="00E47950"/>
    <w:pPr>
      <w:widowControl/>
      <w:ind w:firstLine="420"/>
      <w:jc w:val="left"/>
    </w:pPr>
    <w:rPr>
      <w:rFonts w:ascii="Calibri" w:eastAsia="微软雅黑" w:hAnsi="Calibri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m114.cn/0v/7/index.html" TargetMode="Externa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hyperlink" Target="https://www.baidu.com/s?wd=%E4%B8%80%E8%88%AC%E5%85%AC%E5%85%B1%E9%A2%84%E7%AE%97&amp;tn=44039180_cpr&amp;fenlei=mv6quAkxTZn0IZRqIHckPjm4nH00T1d9nWfkPvmvuHbLnhm4mhm40ZwV5Hcvrjm3rH6sPfKWUMw85HfYnjn4nH6sgvPsT6KdThsqpZwYTjCEQLGCpyw9Uz4Bmy-bIi4WUvYETgN-TLwGUv3EnHT4njcLPHfvPHDzrH6YPj0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baidu.com/s?wd=%E6%94%BF%E5%BA%9C%E6%80%A7%E5%9F%BA%E9%87%91%E9%A2%84%E7%AE%97&amp;tn=44039180_cpr&amp;fenlei=mv6quAkxTZn0IZRqIHckPjm4nH00T1d9nWfkPvmvuHbLnhm4mhm40ZwV5Hcvrjm3rH6sPfKWUMw85HfYnjn4nH6sgvPsT6KdThsqpZwYTjCEQLGCpyw9Uz4Bmy-bIi4WUvYETgN-TLwGUv3EnHT4njcLPHfvPHDzrH6YPj0Y" TargetMode="Externa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yperlink" Target="https://www.baidu.com/s?wd=%E5%9B%BD%E6%9C%89%E8%B5%84%E6%9C%AC%E7%BB%8F%E8%90%A5%E9%A2%84%E7%AE%97&amp;tn=44039180_cpr&amp;fenlei=mv6quAkxTZn0IZRqIHckPjm4nH00T1d9nWfkPvmvuHbLnhm4mhm40ZwV5Hcvrjm3rH6sPfKWUMw85HfYnjn4nH6sgvPsT6KdThsqpZwYTjCEQLGCpyw9Uz4Bmy-bIi4WUvYETgN-TLwGUv3EnHT4njcLPHfvPHDzrH6YPj0Y" TargetMode="External"/><Relationship Id="rId2" Type="http://schemas.openxmlformats.org/officeDocument/2006/relationships/styles" Target="styles.xml"/><Relationship Id="rId16" Type="http://schemas.openxmlformats.org/officeDocument/2006/relationships/chart" Target="charts/chart8.xml"/><Relationship Id="rId20" Type="http://schemas.openxmlformats.org/officeDocument/2006/relationships/hyperlink" Target="https://www.baidu.com/s?wd=%E4%B8%80%E8%88%AC%E5%85%AC%E5%85%B1%E9%A2%84%E7%AE%97&amp;tn=44039180_cpr&amp;fenlei=mv6quAkxTZn0IZRqIHckPjm4nH00T1d9nWfkPvmvuHbLnhm4mhm40ZwV5Hcvrjm3rH6sPfKWUMw85HfYnjn4nH6sgvPsT6KdThsqpZwYTjCEQLGCpyw9Uz4Bmy-bIi4WUvYETgN-TLwGUv3EnHT4njcLPHfvPHDzrH6YPj0Y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hyperlink" Target="https://www.baidu.com/s?wd=%E6%94%BF%E5%BA%9C%E6%80%A7%E5%9F%BA%E9%87%91%E9%A2%84%E7%AE%97&amp;tn=44039180_cpr&amp;fenlei=mv6quAkxTZn0IZRqIHckPjm4nH00T1d9nWfkPvmvuHbLnhm4mhm40ZwV5Hcvrjm3rH6sPfKWUMw85HfYnjn4nH6sgvPsT6KdThsqpZwYTjCEQLGCpyw9Uz4Bmy-bIi4WUvYETgN-TLwGUv3EnHT4njcLPHfvPHDzrH6YPj0Y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hyperlink" Target="https://www.baidu.com/s?wd=%E7%A4%BE%E4%BC%9A%E4%BF%9D%E9%99%A9%E5%9F%BA%E9%87%91%E9%A2%84%E7%AE%97&amp;tn=44039180_cpr&amp;fenlei=mv6quAkxTZn0IZRqIHckPjm4nH00T1d9nWfkPvmvuHbLnhm4mhm40ZwV5Hcvrjm3rH6sPfKWUMw85HfYnjn4nH6sgvPsT6KdThsqpZwYTjCEQLGCpyw9Uz4Bmy-bIi4WUvYETgN-TLwGUv3EnHT4njcLPHfvPHDzrH6YPj0Y" TargetMode="External"/><Relationship Id="rId28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hyperlink" Target="https://www.baidu.com/s?wd=%E3%80%8A%E9%A2%84%E7%AE%97%E6%B3%95%E3%80%8B&amp;tn=44039180_cpr&amp;fenlei=mv6quAkxTZn0IZRqIHckPjm4nH00T1d9nWfkPvmvuHbLnhm4mhm40ZwV5Hcvrjm3rH6sPfKWUMw85HfYnjn4nH6sgvPsT6KdThsqpZwYTjCEQLGCpyw9Uz4Bmy-bIi4WUvYETgN-TLwGUv3EnHT4njcLPHfvPHDzrH6YPj0Y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yperlink" Target="https://www.baidu.com/s?wd=%E5%9B%BD%E6%9C%89%E8%B5%84%E6%9C%AC%E7%BB%8F%E8%90%A5%E9%A2%84%E7%AE%97&amp;tn=44039180_cpr&amp;fenlei=mv6quAkxTZn0IZRqIHckPjm4nH00T1d9nWfkPvmvuHbLnhm4mhm40ZwV5Hcvrjm3rH6sPfKWUMw85HfYnjn4nH6sgvPsT6KdThsqpZwYTjCEQLGCpyw9Uz4Bmy-bIi4WUvYETgN-TLwGUv3EnHT4njcLPHfvPHDzrH6YPj0Y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___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___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___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074074074074074"/>
          <c:y val="0.19005847953216423"/>
          <c:w val="0.39259259259259288"/>
          <c:h val="0.6198830409356727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东部</c:v>
                </c:pt>
              </c:strCache>
            </c:strRef>
          </c:tx>
          <c:dLbls>
            <c:dLbl>
              <c:idx val="0"/>
              <c:layout>
                <c:manualLayout>
                  <c:x val="-1.1968058538137382E-2"/>
                  <c:y val="-4.649832347511592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2.0798642593918342E-3"/>
                  <c:y val="1.684529714886132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-1.2074743142196689E-2"/>
                  <c:y val="3.953776003187257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-1.6777028119993952E-2"/>
                  <c:y val="-0.134008748906386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5.2511597084161712E-2"/>
                  <c:y val="1.3900472616068954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0"/>
          </c:dLbls>
          <c:cat>
            <c:strRef>
              <c:f>Sheet1!$B$1:$F$1</c:f>
              <c:strCache>
                <c:ptCount val="5"/>
                <c:pt idx="0">
                  <c:v>公共预算收入</c:v>
                </c:pt>
                <c:pt idx="1">
                  <c:v>基金收入</c:v>
                </c:pt>
                <c:pt idx="2">
                  <c:v>补助收入</c:v>
                </c:pt>
                <c:pt idx="3">
                  <c:v>预算稳定基金</c:v>
                </c:pt>
                <c:pt idx="4">
                  <c:v>债务收入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472632</c:v>
                </c:pt>
                <c:pt idx="1">
                  <c:v>234162</c:v>
                </c:pt>
                <c:pt idx="2">
                  <c:v>96984</c:v>
                </c:pt>
                <c:pt idx="3">
                  <c:v>1103</c:v>
                </c:pt>
                <c:pt idx="4">
                  <c:v>284000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cat>
            <c:strRef>
              <c:f>Sheet1!$B$1:$F$1</c:f>
              <c:strCache>
                <c:ptCount val="5"/>
                <c:pt idx="0">
                  <c:v>公共预算收入</c:v>
                </c:pt>
                <c:pt idx="1">
                  <c:v>基金收入</c:v>
                </c:pt>
                <c:pt idx="2">
                  <c:v>补助收入</c:v>
                </c:pt>
                <c:pt idx="3">
                  <c:v>预算稳定基金</c:v>
                </c:pt>
                <c:pt idx="4">
                  <c:v>债务收入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cat>
            <c:strRef>
              <c:f>Sheet1!$B$1:$F$1</c:f>
              <c:strCache>
                <c:ptCount val="5"/>
                <c:pt idx="0">
                  <c:v>公共预算收入</c:v>
                </c:pt>
                <c:pt idx="1">
                  <c:v>基金收入</c:v>
                </c:pt>
                <c:pt idx="2">
                  <c:v>补助收入</c:v>
                </c:pt>
                <c:pt idx="3">
                  <c:v>预算稳定基金</c:v>
                </c:pt>
                <c:pt idx="4">
                  <c:v>债务收入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76336730274520859"/>
          <c:y val="0.52074497777018913"/>
          <c:w val="0.20406756312518592"/>
          <c:h val="0.47925503062117236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58518651776614E-2"/>
          <c:y val="4.8690580344123775E-2"/>
          <c:w val="0.89407540394973073"/>
          <c:h val="0.662365292573724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-2.10896309314587E-2"/>
                  <c:y val="8.7145969498910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522554188635113E-2"/>
                  <c:y val="-3.487245466865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11950790861159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66"/>
              </a:solidFill>
            </c:spPr>
            <c:txPr>
              <a:bodyPr/>
              <a:lstStyle/>
              <a:p>
                <a:pPr>
                  <a:defRPr sz="900" baseline="0"/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总支出</c:v>
                </c:pt>
                <c:pt idx="1">
                  <c:v>公共预算支出</c:v>
                </c:pt>
                <c:pt idx="2">
                  <c:v>基金支出</c:v>
                </c:pt>
                <c:pt idx="3">
                  <c:v>上解支出</c:v>
                </c:pt>
                <c:pt idx="4">
                  <c:v>安排预算稳定基金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683226</c:v>
                </c:pt>
                <c:pt idx="1">
                  <c:v>329128</c:v>
                </c:pt>
                <c:pt idx="2">
                  <c:v>123402</c:v>
                </c:pt>
                <c:pt idx="3">
                  <c:v>158948</c:v>
                </c:pt>
                <c:pt idx="4">
                  <c:v>71748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-4.2959863028819958E-17"/>
                  <c:y val="-3.0501089324618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405975395430579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865846514352666E-3"/>
                  <c:y val="-3.04017372421281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66"/>
              </a:solidFill>
            </c:spPr>
            <c:txPr>
              <a:bodyPr/>
              <a:lstStyle/>
              <a:p>
                <a:pPr>
                  <a:defRPr sz="900" baseline="0"/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总支出</c:v>
                </c:pt>
                <c:pt idx="1">
                  <c:v>公共预算支出</c:v>
                </c:pt>
                <c:pt idx="2">
                  <c:v>基金支出</c:v>
                </c:pt>
                <c:pt idx="3">
                  <c:v>上解支出</c:v>
                </c:pt>
                <c:pt idx="4">
                  <c:v>安排预算稳定基金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1027096</c:v>
                </c:pt>
                <c:pt idx="1">
                  <c:v>483178</c:v>
                </c:pt>
                <c:pt idx="2">
                  <c:v>367298</c:v>
                </c:pt>
                <c:pt idx="3">
                  <c:v>174378</c:v>
                </c:pt>
                <c:pt idx="4">
                  <c:v>2242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3895723491505572E-2"/>
                  <c:y val="8.7145969498910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792618629174E-2"/>
                  <c:y val="4.35729847494553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746338605741163E-2"/>
                  <c:y val="2.6058631921824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059753954305794E-2"/>
                  <c:y val="7.962267773094018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66"/>
              </a:solidFill>
            </c:spPr>
            <c:txPr>
              <a:bodyPr/>
              <a:lstStyle/>
              <a:p>
                <a:pPr>
                  <a:defRPr sz="900" baseline="0"/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总支出</c:v>
                </c:pt>
                <c:pt idx="1">
                  <c:v>公共预算支出</c:v>
                </c:pt>
                <c:pt idx="2">
                  <c:v>基金支出</c:v>
                </c:pt>
                <c:pt idx="3">
                  <c:v>上解支出</c:v>
                </c:pt>
                <c:pt idx="4">
                  <c:v>安排预算稳定基金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916139</c:v>
                </c:pt>
                <c:pt idx="1">
                  <c:v>596777</c:v>
                </c:pt>
                <c:pt idx="2">
                  <c:v>68854</c:v>
                </c:pt>
                <c:pt idx="3">
                  <c:v>249405</c:v>
                </c:pt>
                <c:pt idx="4">
                  <c:v>1103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7949312"/>
        <c:axId val="367663872"/>
      </c:barChart>
      <c:catAx>
        <c:axId val="36794931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zh-CN"/>
          </a:p>
        </c:txPr>
        <c:crossAx val="3676638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7663872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zh-CN"/>
          </a:p>
        </c:txPr>
        <c:crossAx val="367949312"/>
        <c:crosses val="autoZero"/>
        <c:crossBetween val="between"/>
      </c:valAx>
      <c:spPr>
        <a:solidFill>
          <a:srgbClr val="339966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301306800621756"/>
          <c:y val="6.2784553891547995E-2"/>
          <c:w val="0.12208258527827673"/>
          <c:h val="0.2154882154882159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宋体"/>
              <a:ea typeface="宋体"/>
              <a:cs typeface="宋体"/>
            </a:defRPr>
          </a:pPr>
          <a:endParaRPr lang="zh-CN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财政收入比例</c:v>
                </c:pt>
              </c:strCache>
            </c:strRef>
          </c:tx>
          <c:dLbls>
            <c:dLbl>
              <c:idx val="2"/>
              <c:layout>
                <c:manualLayout>
                  <c:x val="-4.1976278997441295E-2"/>
                  <c:y val="6.83932969917222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500" baseline="0"/>
                </a:pPr>
                <a:endParaRPr lang="zh-CN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Sheet1!$A$2:$A$3</c:f>
              <c:strCache>
                <c:ptCount val="2"/>
                <c:pt idx="0">
                  <c:v>公共收入</c:v>
                </c:pt>
                <c:pt idx="1">
                  <c:v>基金收入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472632</c:v>
                </c:pt>
                <c:pt idx="1">
                  <c:v>234162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hPercent val="5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65482233502539"/>
          <c:y val="0.32743362831858408"/>
          <c:w val="0.62436548223350485"/>
          <c:h val="0.3960176991150460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东部</c:v>
                </c:pt>
              </c:strCache>
            </c:strRef>
          </c:tx>
          <c:spPr>
            <a:solidFill>
              <a:srgbClr val="9999FF"/>
            </a:solidFill>
            <a:ln w="25400">
              <a:noFill/>
            </a:ln>
          </c:spPr>
          <c:explosion val="25"/>
          <c:dPt>
            <c:idx val="0"/>
            <c:bubble3D val="0"/>
            <c:explosion val="27"/>
          </c:dPt>
          <c:dPt>
            <c:idx val="1"/>
            <c:bubble3D val="0"/>
            <c:explosion val="24"/>
            <c:spPr>
              <a:solidFill>
                <a:srgbClr val="993366"/>
              </a:solidFill>
              <a:ln w="25400">
                <a:noFill/>
              </a:ln>
            </c:spPr>
          </c:dPt>
          <c:dPt>
            <c:idx val="2"/>
            <c:bubble3D val="0"/>
            <c:explosion val="19"/>
            <c:spPr>
              <a:solidFill>
                <a:srgbClr val="FFFFCC"/>
              </a:solidFill>
              <a:ln w="25400">
                <a:noFill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5400">
                <a:noFill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5400">
                <a:noFill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25400">
                <a:noFill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25400">
                <a:noFill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25400">
                <a:noFill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25400">
                <a:noFill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25400">
                <a:noFill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25400">
                <a:noFill/>
              </a:ln>
            </c:spPr>
          </c:dPt>
          <c:dPt>
            <c:idx val="11"/>
            <c:bubble3D val="0"/>
            <c:spPr>
              <a:solidFill>
                <a:srgbClr val="00FFFF"/>
              </a:solidFill>
              <a:ln w="25400">
                <a:noFill/>
              </a:ln>
            </c:spPr>
          </c:dPt>
          <c:dPt>
            <c:idx val="12"/>
            <c:bubble3D val="0"/>
            <c:spPr>
              <a:solidFill>
                <a:srgbClr val="800080"/>
              </a:solidFill>
              <a:ln w="25400">
                <a:noFill/>
              </a:ln>
            </c:spPr>
          </c:dPt>
          <c:dPt>
            <c:idx val="13"/>
            <c:bubble3D val="0"/>
            <c:spPr>
              <a:solidFill>
                <a:srgbClr val="800000"/>
              </a:solidFill>
              <a:ln w="25400">
                <a:noFill/>
              </a:ln>
            </c:spPr>
          </c:dPt>
          <c:dPt>
            <c:idx val="14"/>
            <c:bubble3D val="0"/>
            <c:spPr>
              <a:solidFill>
                <a:srgbClr val="008080"/>
              </a:solidFill>
              <a:ln w="25400">
                <a:noFill/>
              </a:ln>
            </c:spPr>
          </c:dPt>
          <c:dPt>
            <c:idx val="15"/>
            <c:bubble3D val="0"/>
            <c:explosion val="19"/>
            <c:spPr>
              <a:solidFill>
                <a:srgbClr val="0000FF"/>
              </a:solidFill>
              <a:ln w="25400">
                <a:noFill/>
              </a:ln>
            </c:spPr>
          </c:dPt>
          <c:dPt>
            <c:idx val="16"/>
            <c:bubble3D val="0"/>
            <c:explosion val="28"/>
            <c:spPr>
              <a:solidFill>
                <a:srgbClr val="00CCFF"/>
              </a:solidFill>
              <a:ln w="25400">
                <a:noFill/>
              </a:ln>
            </c:spPr>
          </c:dPt>
          <c:dPt>
            <c:idx val="17"/>
            <c:bubble3D val="0"/>
            <c:explosion val="36"/>
            <c:spPr>
              <a:solidFill>
                <a:srgbClr val="CCFFFF"/>
              </a:solidFill>
              <a:ln w="25400">
                <a:noFill/>
              </a:ln>
            </c:spPr>
          </c:dPt>
          <c:dPt>
            <c:idx val="18"/>
            <c:bubble3D val="0"/>
            <c:explosion val="32"/>
            <c:spPr>
              <a:solidFill>
                <a:srgbClr val="CCFFCC"/>
              </a:solidFill>
              <a:ln w="25400">
                <a:noFill/>
              </a:ln>
            </c:spPr>
          </c:dPt>
          <c:dLbls>
            <c:dLbl>
              <c:idx val="0"/>
              <c:layout>
                <c:manualLayout>
                  <c:x val="-0.12078844795563337"/>
                  <c:y val="-9.949208403744055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delete val="1"/>
            </c:dLbl>
            <c:dLbl>
              <c:idx val="11"/>
              <c:layout>
                <c:manualLayout>
                  <c:x val="-0.25605688823780748"/>
                  <c:y val="-3.96696988218938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-0.17554328964693366"/>
                  <c:y val="-8.136435000419467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layout>
                <c:manualLayout>
                  <c:x val="-0.11878759341128871"/>
                  <c:y val="-9.892136770574916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4"/>
              <c:layout>
                <c:manualLayout>
                  <c:x val="-6.81539226201376E-2"/>
                  <c:y val="-0.269550210333297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3.0965373514357217E-2"/>
                  <c:y val="-0.1634839823104303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7"/>
              <c:delete val="1"/>
            </c:dLbl>
            <c:dLbl>
              <c:idx val="18"/>
              <c:layout>
                <c:manualLayout>
                  <c:x val="4.6131617268771637E-2"/>
                  <c:y val="-5.091863517060367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pPr>
              <a:solidFill>
                <a:srgbClr val="00B0F0"/>
              </a:solidFill>
              <a:ln>
                <a:solidFill>
                  <a:srgbClr val="92D050"/>
                </a:solidFill>
              </a:ln>
            </c:spPr>
            <c:txPr>
              <a:bodyPr/>
              <a:lstStyle/>
              <a:p>
                <a:pPr>
                  <a:defRPr sz="1100"/>
                </a:pPr>
                <a:endParaRPr lang="zh-CN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Sheet1!$B$1:$T$1</c:f>
              <c:strCache>
                <c:ptCount val="19"/>
                <c:pt idx="0">
                  <c:v>增值税</c:v>
                </c:pt>
                <c:pt idx="1">
                  <c:v>其他税收</c:v>
                </c:pt>
                <c:pt idx="2">
                  <c:v>企业所得税</c:v>
                </c:pt>
                <c:pt idx="3">
                  <c:v>个人所得税</c:v>
                </c:pt>
                <c:pt idx="4">
                  <c:v>资源税</c:v>
                </c:pt>
                <c:pt idx="5">
                  <c:v>城建税</c:v>
                </c:pt>
                <c:pt idx="6">
                  <c:v>房产税</c:v>
                </c:pt>
                <c:pt idx="7">
                  <c:v>印花税</c:v>
                </c:pt>
                <c:pt idx="8">
                  <c:v>城镇土地使用税</c:v>
                </c:pt>
                <c:pt idx="9">
                  <c:v>土地增值税</c:v>
                </c:pt>
                <c:pt idx="10">
                  <c:v>车船税</c:v>
                </c:pt>
                <c:pt idx="11">
                  <c:v>契税</c:v>
                </c:pt>
                <c:pt idx="12">
                  <c:v>专项收入</c:v>
                </c:pt>
                <c:pt idx="13">
                  <c:v>行政收费</c:v>
                </c:pt>
                <c:pt idx="14">
                  <c:v>罚没收入</c:v>
                </c:pt>
                <c:pt idx="15">
                  <c:v>国有资源有偿使用收入</c:v>
                </c:pt>
                <c:pt idx="16">
                  <c:v>耕地占用税</c:v>
                </c:pt>
                <c:pt idx="17">
                  <c:v>国有资本经营收入</c:v>
                </c:pt>
                <c:pt idx="18">
                  <c:v>其他收入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134580</c:v>
                </c:pt>
                <c:pt idx="1">
                  <c:v>28</c:v>
                </c:pt>
                <c:pt idx="2">
                  <c:v>20232</c:v>
                </c:pt>
                <c:pt idx="3">
                  <c:v>12234</c:v>
                </c:pt>
                <c:pt idx="4">
                  <c:v>3602</c:v>
                </c:pt>
                <c:pt idx="5">
                  <c:v>32371</c:v>
                </c:pt>
                <c:pt idx="6">
                  <c:v>12671</c:v>
                </c:pt>
                <c:pt idx="7">
                  <c:v>4427</c:v>
                </c:pt>
                <c:pt idx="8">
                  <c:v>11534</c:v>
                </c:pt>
                <c:pt idx="9">
                  <c:v>22040</c:v>
                </c:pt>
                <c:pt idx="10">
                  <c:v>17</c:v>
                </c:pt>
                <c:pt idx="11">
                  <c:v>33529</c:v>
                </c:pt>
                <c:pt idx="12">
                  <c:v>84808</c:v>
                </c:pt>
                <c:pt idx="13">
                  <c:v>16447</c:v>
                </c:pt>
                <c:pt idx="14">
                  <c:v>4350</c:v>
                </c:pt>
                <c:pt idx="15">
                  <c:v>46030</c:v>
                </c:pt>
                <c:pt idx="16">
                  <c:v>18481</c:v>
                </c:pt>
                <c:pt idx="17">
                  <c:v>46030</c:v>
                </c:pt>
                <c:pt idx="18">
                  <c:v>15246</c:v>
                </c:pt>
              </c:numCache>
            </c:numRef>
          </c:val>
        </c:ser>
        <c:ser>
          <c:idx val="1"/>
          <c:order val="1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1"/>
            <c:bubble3D val="0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2"/>
            <c:bubble3D val="0"/>
            <c:spPr>
              <a:solidFill>
                <a:srgbClr val="8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3"/>
            <c:bubble3D val="0"/>
            <c:spPr>
              <a:solidFill>
                <a:srgbClr val="80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4"/>
            <c:bubble3D val="0"/>
            <c:spPr>
              <a:solidFill>
                <a:srgbClr val="00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5"/>
            <c:bubble3D val="0"/>
            <c:spPr>
              <a:solidFill>
                <a:srgbClr val="00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6"/>
            <c:bubble3D val="0"/>
            <c:spPr>
              <a:solidFill>
                <a:srgbClr val="00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7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8"/>
            <c:bubble3D val="0"/>
            <c:spPr>
              <a:solidFill>
                <a:srgbClr val="CC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zh-CN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Sheet1!$B$1:$T$1</c:f>
              <c:strCache>
                <c:ptCount val="19"/>
                <c:pt idx="0">
                  <c:v>增值税</c:v>
                </c:pt>
                <c:pt idx="1">
                  <c:v>其他税收</c:v>
                </c:pt>
                <c:pt idx="2">
                  <c:v>企业所得税</c:v>
                </c:pt>
                <c:pt idx="3">
                  <c:v>个人所得税</c:v>
                </c:pt>
                <c:pt idx="4">
                  <c:v>资源税</c:v>
                </c:pt>
                <c:pt idx="5">
                  <c:v>城建税</c:v>
                </c:pt>
                <c:pt idx="6">
                  <c:v>房产税</c:v>
                </c:pt>
                <c:pt idx="7">
                  <c:v>印花税</c:v>
                </c:pt>
                <c:pt idx="8">
                  <c:v>城镇土地使用税</c:v>
                </c:pt>
                <c:pt idx="9">
                  <c:v>土地增值税</c:v>
                </c:pt>
                <c:pt idx="10">
                  <c:v>车船税</c:v>
                </c:pt>
                <c:pt idx="11">
                  <c:v>契税</c:v>
                </c:pt>
                <c:pt idx="12">
                  <c:v>专项收入</c:v>
                </c:pt>
                <c:pt idx="13">
                  <c:v>行政收费</c:v>
                </c:pt>
                <c:pt idx="14">
                  <c:v>罚没收入</c:v>
                </c:pt>
                <c:pt idx="15">
                  <c:v>国有资源有偿使用收入</c:v>
                </c:pt>
                <c:pt idx="16">
                  <c:v>耕地占用税</c:v>
                </c:pt>
                <c:pt idx="17">
                  <c:v>国有资本经营收入</c:v>
                </c:pt>
                <c:pt idx="18">
                  <c:v>其他收入</c:v>
                </c:pt>
              </c:strCache>
            </c:strRef>
          </c:cat>
          <c:val>
            <c:numRef>
              <c:f>Sheet1!$B$5:$T$5</c:f>
              <c:numCache>
                <c:formatCode>General</c:formatCode>
                <c:ptCount val="19"/>
              </c:numCache>
            </c:numRef>
          </c:val>
        </c:ser>
        <c:ser>
          <c:idx val="2"/>
          <c:order val="2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1"/>
            <c:bubble3D val="0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2"/>
            <c:bubble3D val="0"/>
            <c:spPr>
              <a:solidFill>
                <a:srgbClr val="8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3"/>
            <c:bubble3D val="0"/>
            <c:spPr>
              <a:solidFill>
                <a:srgbClr val="80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4"/>
            <c:bubble3D val="0"/>
            <c:spPr>
              <a:solidFill>
                <a:srgbClr val="00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5"/>
            <c:bubble3D val="0"/>
            <c:spPr>
              <a:solidFill>
                <a:srgbClr val="00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6"/>
            <c:bubble3D val="0"/>
            <c:spPr>
              <a:solidFill>
                <a:srgbClr val="00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7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8"/>
            <c:bubble3D val="0"/>
            <c:spPr>
              <a:solidFill>
                <a:srgbClr val="CC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zh-CN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Sheet1!$B$1:$T$1</c:f>
              <c:strCache>
                <c:ptCount val="19"/>
                <c:pt idx="0">
                  <c:v>增值税</c:v>
                </c:pt>
                <c:pt idx="1">
                  <c:v>其他税收</c:v>
                </c:pt>
                <c:pt idx="2">
                  <c:v>企业所得税</c:v>
                </c:pt>
                <c:pt idx="3">
                  <c:v>个人所得税</c:v>
                </c:pt>
                <c:pt idx="4">
                  <c:v>资源税</c:v>
                </c:pt>
                <c:pt idx="5">
                  <c:v>城建税</c:v>
                </c:pt>
                <c:pt idx="6">
                  <c:v>房产税</c:v>
                </c:pt>
                <c:pt idx="7">
                  <c:v>印花税</c:v>
                </c:pt>
                <c:pt idx="8">
                  <c:v>城镇土地使用税</c:v>
                </c:pt>
                <c:pt idx="9">
                  <c:v>土地增值税</c:v>
                </c:pt>
                <c:pt idx="10">
                  <c:v>车船税</c:v>
                </c:pt>
                <c:pt idx="11">
                  <c:v>契税</c:v>
                </c:pt>
                <c:pt idx="12">
                  <c:v>专项收入</c:v>
                </c:pt>
                <c:pt idx="13">
                  <c:v>行政收费</c:v>
                </c:pt>
                <c:pt idx="14">
                  <c:v>罚没收入</c:v>
                </c:pt>
                <c:pt idx="15">
                  <c:v>国有资源有偿使用收入</c:v>
                </c:pt>
                <c:pt idx="16">
                  <c:v>耕地占用税</c:v>
                </c:pt>
                <c:pt idx="17">
                  <c:v>国有资本经营收入</c:v>
                </c:pt>
                <c:pt idx="18">
                  <c:v>其他收入</c:v>
                </c:pt>
              </c:strCache>
            </c:strRef>
          </c:cat>
          <c:val>
            <c:numRef>
              <c:f>Sheet1!$B$6:$T$6</c:f>
              <c:numCache>
                <c:formatCode>General</c:formatCode>
                <c:ptCount val="19"/>
              </c:numCache>
            </c:numRef>
          </c:val>
        </c:ser>
        <c:ser>
          <c:idx val="3"/>
          <c:order val="3"/>
          <c:tx>
            <c:strRef>
              <c:f>Sheet1!$A$7</c:f>
              <c:strCache>
                <c:ptCount val="1"/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1"/>
            <c:bubble3D val="0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2"/>
            <c:bubble3D val="0"/>
            <c:spPr>
              <a:solidFill>
                <a:srgbClr val="8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3"/>
            <c:bubble3D val="0"/>
            <c:spPr>
              <a:solidFill>
                <a:srgbClr val="80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4"/>
            <c:bubble3D val="0"/>
            <c:spPr>
              <a:solidFill>
                <a:srgbClr val="00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5"/>
            <c:bubble3D val="0"/>
            <c:spPr>
              <a:solidFill>
                <a:srgbClr val="00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6"/>
            <c:bubble3D val="0"/>
            <c:spPr>
              <a:solidFill>
                <a:srgbClr val="00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8"/>
            <c:bubble3D val="0"/>
            <c:spPr>
              <a:solidFill>
                <a:srgbClr val="CC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zh-CN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Sheet1!$B$1:$T$1</c:f>
              <c:strCache>
                <c:ptCount val="19"/>
                <c:pt idx="0">
                  <c:v>增值税</c:v>
                </c:pt>
                <c:pt idx="1">
                  <c:v>其他税收</c:v>
                </c:pt>
                <c:pt idx="2">
                  <c:v>企业所得税</c:v>
                </c:pt>
                <c:pt idx="3">
                  <c:v>个人所得税</c:v>
                </c:pt>
                <c:pt idx="4">
                  <c:v>资源税</c:v>
                </c:pt>
                <c:pt idx="5">
                  <c:v>城建税</c:v>
                </c:pt>
                <c:pt idx="6">
                  <c:v>房产税</c:v>
                </c:pt>
                <c:pt idx="7">
                  <c:v>印花税</c:v>
                </c:pt>
                <c:pt idx="8">
                  <c:v>城镇土地使用税</c:v>
                </c:pt>
                <c:pt idx="9">
                  <c:v>土地增值税</c:v>
                </c:pt>
                <c:pt idx="10">
                  <c:v>车船税</c:v>
                </c:pt>
                <c:pt idx="11">
                  <c:v>契税</c:v>
                </c:pt>
                <c:pt idx="12">
                  <c:v>专项收入</c:v>
                </c:pt>
                <c:pt idx="13">
                  <c:v>行政收费</c:v>
                </c:pt>
                <c:pt idx="14">
                  <c:v>罚没收入</c:v>
                </c:pt>
                <c:pt idx="15">
                  <c:v>国有资源有偿使用收入</c:v>
                </c:pt>
                <c:pt idx="16">
                  <c:v>耕地占用税</c:v>
                </c:pt>
                <c:pt idx="17">
                  <c:v>国有资本经营收入</c:v>
                </c:pt>
                <c:pt idx="18">
                  <c:v>其他收入</c:v>
                </c:pt>
              </c:strCache>
            </c:strRef>
          </c:cat>
          <c:val>
            <c:numRef>
              <c:f>Sheet1!$B$7:$T$7</c:f>
              <c:numCache>
                <c:formatCode>General</c:formatCode>
                <c:ptCount val="19"/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99CCFF"/>
    </a:solidFill>
    <a:ln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5"/>
      <c:hPercent val="60"/>
      <c:rotY val="8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0796460176991319"/>
          <c:y val="0.27071823204419876"/>
          <c:w val="0.33274336283185918"/>
          <c:h val="0.334254143646408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东部</c:v>
                </c:pt>
              </c:strCache>
            </c:strRef>
          </c:tx>
          <c:spPr>
            <a:solidFill>
              <a:srgbClr val="9999FF"/>
            </a:solidFill>
            <a:ln w="25400">
              <a:noFill/>
            </a:ln>
          </c:spPr>
          <c:explosion val="11"/>
          <c:dPt>
            <c:idx val="1"/>
            <c:bubble3D val="0"/>
            <c:spPr>
              <a:solidFill>
                <a:srgbClr val="993366"/>
              </a:solidFill>
              <a:ln w="25400">
                <a:noFill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5400">
                <a:noFill/>
              </a:ln>
            </c:spPr>
          </c:dPt>
          <c:dLbls>
            <c:dLbl>
              <c:idx val="0"/>
              <c:layout>
                <c:manualLayout>
                  <c:x val="-5.269704371875527E-2"/>
                  <c:y val="-4.821935179450883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4131925017171814E-2"/>
                  <c:y val="-0.1704568108761685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1179282832280281"/>
                  <c:y val="9.893125718835707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23381068700901123"/>
                  <c:y val="-9.593194735550146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2.6086054667776592E-2"/>
                  <c:y val="1.1269823666407939E-2"/>
                </c:manualLayout>
              </c:layout>
              <c:tx>
                <c:rich>
                  <a:bodyPr/>
                  <a:lstStyle/>
                  <a:p>
                    <a:r>
                      <a:rPr lang="zh-CN" altLang="en-US" sz="1000" baseline="0"/>
                      <a:t>城市基础设施配套费收入
</a:t>
                    </a:r>
                    <a:r>
                      <a:rPr lang="en-US" altLang="zh-CN" sz="1000" baseline="0"/>
                      <a:t>22%</a:t>
                    </a:r>
                    <a:endParaRPr lang="zh-CN" altLang="en-US" sz="1000" baseline="0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sz="1000" baseline="0"/>
                </a:pPr>
                <a:endParaRPr lang="zh-CN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土地使用权出让金</c:v>
                </c:pt>
                <c:pt idx="1">
                  <c:v>城市基础设施配套费收入</c:v>
                </c:pt>
                <c:pt idx="2">
                  <c:v>污水处理费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227277</c:v>
                </c:pt>
                <c:pt idx="1">
                  <c:v>5508</c:v>
                </c:pt>
                <c:pt idx="2">
                  <c:v>1377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solidFill>
          <a:srgbClr val="99CCFF"/>
        </a:solidFill>
        <a:ln w="25400">
          <a:noFill/>
        </a:ln>
      </c:spPr>
    </c:plotArea>
    <c:plotVisOnly val="1"/>
    <c:dispBlanksAs val="zero"/>
    <c:showDLblsOverMax val="0"/>
  </c:chart>
  <c:spPr>
    <a:solidFill>
      <a:srgbClr val="99CCFF"/>
    </a:solidFill>
    <a:ln>
      <a:noFill/>
    </a:ln>
  </c:spPr>
  <c:txPr>
    <a:bodyPr/>
    <a:lstStyle/>
    <a:p>
      <a:pPr>
        <a:defRPr sz="2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593814286727674E-2"/>
          <c:y val="4.479922045672452E-2"/>
          <c:w val="0.90239410681399634"/>
          <c:h val="0.720710180688492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"/>
                  <c:y val="-1.862940785096474E-2"/>
                </c:manualLayout>
              </c:layout>
              <c:spPr>
                <a:solidFill>
                  <a:srgbClr val="FFFF00"/>
                </a:solidFill>
              </c:spPr>
              <c:txPr>
                <a:bodyPr/>
                <a:lstStyle/>
                <a:p>
                  <a:pPr>
                    <a:defRPr sz="1000" baseline="0"/>
                  </a:pPr>
                  <a:endParaRPr lang="zh-CN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8408408408408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sz="800" baseline="0"/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总收入</c:v>
                </c:pt>
                <c:pt idx="1">
                  <c:v>公共财政预算收入</c:v>
                </c:pt>
                <c:pt idx="2">
                  <c:v>基金收入</c:v>
                </c:pt>
                <c:pt idx="3">
                  <c:v>补助收入</c:v>
                </c:pt>
                <c:pt idx="4">
                  <c:v>调入资金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564833</c:v>
                </c:pt>
                <c:pt idx="1">
                  <c:v>400658</c:v>
                </c:pt>
                <c:pt idx="2">
                  <c:v>164175</c:v>
                </c:pt>
                <c:pt idx="3">
                  <c:v>115534</c:v>
                </c:pt>
                <c:pt idx="4">
                  <c:v>2859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-4.8048048048048063E-3"/>
                  <c:y val="-3.1372549019607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024024024024032E-3"/>
                  <c:y val="-3.5294117647058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4.31372549019607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sz="900" baseline="0"/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总收入</c:v>
                </c:pt>
                <c:pt idx="1">
                  <c:v>公共财政预算收入</c:v>
                </c:pt>
                <c:pt idx="2">
                  <c:v>基金收入</c:v>
                </c:pt>
                <c:pt idx="3">
                  <c:v>补助收入</c:v>
                </c:pt>
                <c:pt idx="4">
                  <c:v>调入资金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844271</c:v>
                </c:pt>
                <c:pt idx="1">
                  <c:v>443833</c:v>
                </c:pt>
                <c:pt idx="2">
                  <c:v>207505</c:v>
                </c:pt>
                <c:pt idx="3">
                  <c:v>189358</c:v>
                </c:pt>
                <c:pt idx="4">
                  <c:v>3575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2072072072072071E-2"/>
                  <c:y val="2.3952095808383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4864864864864882E-2"/>
                  <c:y val="1.5968063872255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2072072072072073E-3"/>
                  <c:y val="1.1764705882353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9219219219219263E-2"/>
                  <c:y val="-7.189459430411377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sz="900" baseline="0"/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总收入</c:v>
                </c:pt>
                <c:pt idx="1">
                  <c:v>公共财政预算收入</c:v>
                </c:pt>
                <c:pt idx="2">
                  <c:v>基金收入</c:v>
                </c:pt>
                <c:pt idx="3">
                  <c:v>补助收入</c:v>
                </c:pt>
                <c:pt idx="4">
                  <c:v>调入资金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806993</c:v>
                </c:pt>
                <c:pt idx="1">
                  <c:v>472632</c:v>
                </c:pt>
                <c:pt idx="2">
                  <c:v>234162</c:v>
                </c:pt>
                <c:pt idx="3">
                  <c:v>96984</c:v>
                </c:pt>
                <c:pt idx="4">
                  <c:v>3215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98742528"/>
        <c:axId val="367657536"/>
      </c:barChart>
      <c:catAx>
        <c:axId val="3987425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zh-CN"/>
          </a:p>
        </c:txPr>
        <c:crossAx val="3676575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7657536"/>
        <c:scaling>
          <c:orientation val="minMax"/>
          <c:max val="900000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zh-CN"/>
          </a:p>
        </c:txPr>
        <c:crossAx val="398742528"/>
        <c:crosses val="autoZero"/>
        <c:crossBetween val="between"/>
      </c:valAx>
      <c:spPr>
        <a:solidFill>
          <a:srgbClr val="00B0F0">
            <a:alpha val="60000"/>
          </a:srgbClr>
        </a:solidFill>
      </c:spPr>
    </c:plotArea>
    <c:legend>
      <c:legendPos val="r"/>
      <c:layout>
        <c:manualLayout>
          <c:xMode val="edge"/>
          <c:yMode val="edge"/>
          <c:x val="0.86003679269821065"/>
          <c:y val="0.12121212121212147"/>
          <c:w val="7.8510510510510514E-2"/>
          <c:h val="0.12062237729265879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宋体"/>
              <a:ea typeface="宋体"/>
              <a:cs typeface="宋体"/>
            </a:defRPr>
          </a:pPr>
          <a:endParaRPr lang="zh-CN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hPercent val="5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9288256227758"/>
          <c:y val="0.21034482758620737"/>
          <c:w val="0.61032028469750965"/>
          <c:h val="0.5793103448275855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explosion val="25"/>
          <c:dLbls>
            <c:dLbl>
              <c:idx val="0"/>
              <c:layout>
                <c:manualLayout>
                  <c:x val="1.8615474112856321E-2"/>
                  <c:y val="2.2222222222222251E-2"/>
                </c:manualLayout>
              </c:layout>
              <c:tx>
                <c:rich>
                  <a:bodyPr/>
                  <a:lstStyle/>
                  <a:p>
                    <a:r>
                      <a:rPr lang="zh-CN" altLang="en-US"/>
                      <a:t>公共预算支出
</a:t>
                    </a:r>
                    <a:r>
                      <a:rPr lang="en-US" altLang="zh-CN"/>
                      <a:t>69.75%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6.9808027923211197E-3"/>
                  <c:y val="5.777777777777770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2.0942408376963352E-2"/>
                  <c:y val="-2.222222222222225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pPr>
              <a:solidFill>
                <a:srgbClr val="FFFFCC"/>
              </a:solidFill>
              <a:ln w="9525"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公共财政预算支出</c:v>
                </c:pt>
                <c:pt idx="1">
                  <c:v>基金支出</c:v>
                </c:pt>
                <c:pt idx="2">
                  <c:v>债务还本</c:v>
                </c:pt>
                <c:pt idx="3">
                  <c:v>上解支出</c:v>
                </c:pt>
                <c:pt idx="4">
                  <c:v>安排预算稳定基金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483178</c:v>
                </c:pt>
                <c:pt idx="1">
                  <c:v>367298</c:v>
                </c:pt>
                <c:pt idx="2">
                  <c:v>65000</c:v>
                </c:pt>
                <c:pt idx="3">
                  <c:v>174378</c:v>
                </c:pt>
                <c:pt idx="4">
                  <c:v>22472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99CCFF"/>
    </a:solidFill>
    <a:ln>
      <a:solidFill>
        <a:schemeClr val="accent1"/>
      </a:solidFill>
    </a:ln>
  </c:spPr>
  <c:txPr>
    <a:bodyPr/>
    <a:lstStyle/>
    <a:p>
      <a:pPr>
        <a:defRPr sz="10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hPercent val="5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214669051878353"/>
          <c:y val="0.26031746031746178"/>
          <c:w val="0.58139534883720656"/>
          <c:h val="0.5015873015872994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25400">
              <a:noFill/>
            </a:ln>
          </c:spPr>
          <c:explosion val="24"/>
          <c:dPt>
            <c:idx val="0"/>
            <c:bubble3D val="0"/>
            <c:explosion val="27"/>
          </c:dPt>
          <c:dPt>
            <c:idx val="1"/>
            <c:bubble3D val="0"/>
            <c:explosion val="15"/>
            <c:spPr>
              <a:solidFill>
                <a:srgbClr val="993366"/>
              </a:solidFill>
              <a:ln w="25400">
                <a:noFill/>
              </a:ln>
            </c:spPr>
          </c:dPt>
          <c:dLbls>
            <c:dLbl>
              <c:idx val="0"/>
              <c:numFmt formatCode="0.00%" sourceLinked="0"/>
              <c:spPr>
                <a:solidFill>
                  <a:srgbClr val="FFFFCC"/>
                </a:solidFill>
                <a:ln>
                  <a:solidFill>
                    <a:schemeClr val="tx1"/>
                  </a:solidFill>
                </a:ln>
              </c:spPr>
              <c:txPr>
                <a:bodyPr/>
                <a:lstStyle/>
                <a:p>
                  <a:pPr>
                    <a:defRPr sz="900" baseline="0"/>
                  </a:pPr>
                  <a:endParaRPr lang="zh-CN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pPr>
              <a:solidFill>
                <a:srgbClr val="FFFFCC"/>
              </a:solidFill>
              <a:ln>
                <a:solidFill>
                  <a:schemeClr val="tx1"/>
                </a:solidFill>
              </a:ln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Sheet1!$B$1:$C$1</c:f>
              <c:strCache>
                <c:ptCount val="2"/>
                <c:pt idx="0">
                  <c:v>公共财政预算支出</c:v>
                </c:pt>
                <c:pt idx="1">
                  <c:v>基金支出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483178</c:v>
                </c:pt>
                <c:pt idx="1">
                  <c:v>367298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99CCFF"/>
    </a:solidFill>
    <a:ln>
      <a:noFill/>
    </a:ln>
  </c:spPr>
  <c:txPr>
    <a:bodyPr/>
    <a:lstStyle/>
    <a:p>
      <a:pPr>
        <a:defRPr sz="10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hPercent val="50"/>
      <c:rotY val="34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259696458684691"/>
          <c:y val="0.33049040511727246"/>
          <c:w val="0.68296795952782452"/>
          <c:h val="0.4200426439232419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东部</c:v>
                </c:pt>
              </c:strCache>
            </c:strRef>
          </c:tx>
          <c:spPr>
            <a:solidFill>
              <a:srgbClr val="9999FF"/>
            </a:solidFill>
            <a:ln w="25400">
              <a:noFill/>
            </a:ln>
          </c:spPr>
          <c:explosion val="14"/>
          <c:dPt>
            <c:idx val="1"/>
            <c:bubble3D val="0"/>
            <c:spPr>
              <a:solidFill>
                <a:srgbClr val="993366"/>
              </a:solidFill>
              <a:ln w="25400">
                <a:noFill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5400">
                <a:noFill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5400">
                <a:noFill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5400">
                <a:noFill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25400">
                <a:noFill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25400">
                <a:noFill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25400">
                <a:noFill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25400">
                <a:noFill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25400">
                <a:noFill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25400">
                <a:noFill/>
              </a:ln>
            </c:spPr>
          </c:dPt>
          <c:dPt>
            <c:idx val="11"/>
            <c:bubble3D val="0"/>
            <c:spPr>
              <a:solidFill>
                <a:srgbClr val="00FFFF"/>
              </a:solidFill>
              <a:ln w="25400">
                <a:noFill/>
              </a:ln>
            </c:spPr>
          </c:dPt>
          <c:dPt>
            <c:idx val="12"/>
            <c:bubble3D val="0"/>
            <c:spPr>
              <a:solidFill>
                <a:srgbClr val="800080"/>
              </a:solidFill>
              <a:ln w="25400">
                <a:noFill/>
              </a:ln>
            </c:spPr>
          </c:dPt>
          <c:dPt>
            <c:idx val="13"/>
            <c:bubble3D val="0"/>
            <c:spPr>
              <a:solidFill>
                <a:srgbClr val="800000"/>
              </a:solidFill>
              <a:ln w="25400">
                <a:noFill/>
              </a:ln>
            </c:spPr>
          </c:dPt>
          <c:dPt>
            <c:idx val="14"/>
            <c:bubble3D val="0"/>
            <c:spPr>
              <a:solidFill>
                <a:srgbClr val="008080"/>
              </a:solidFill>
              <a:ln w="25400">
                <a:noFill/>
              </a:ln>
            </c:spPr>
          </c:dPt>
          <c:dPt>
            <c:idx val="15"/>
            <c:bubble3D val="0"/>
            <c:spPr>
              <a:solidFill>
                <a:srgbClr val="0000FF"/>
              </a:solidFill>
              <a:ln w="25400">
                <a:noFill/>
              </a:ln>
            </c:spPr>
          </c:dPt>
          <c:dPt>
            <c:idx val="16"/>
            <c:bubble3D val="0"/>
            <c:spPr>
              <a:solidFill>
                <a:srgbClr val="00CCFF"/>
              </a:solidFill>
              <a:ln w="25400">
                <a:noFill/>
              </a:ln>
            </c:spPr>
          </c:dPt>
          <c:dPt>
            <c:idx val="17"/>
            <c:bubble3D val="0"/>
            <c:spPr>
              <a:solidFill>
                <a:srgbClr val="CCFFFF"/>
              </a:solidFill>
              <a:ln w="25400">
                <a:noFill/>
              </a:ln>
            </c:spPr>
          </c:dPt>
          <c:dLbls>
            <c:dLbl>
              <c:idx val="2"/>
              <c:layout>
                <c:manualLayout>
                  <c:x val="0.10533133771501703"/>
                  <c:y val="-0.1200070137370615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9526127415891196E-2"/>
                  <c:y val="-8.215168302292061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4.3697446910045443E-2"/>
                  <c:y val="5.499186296911216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-5.5164963883646931E-2"/>
                  <c:y val="0.1028248921911900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5"/>
              <c:layout>
                <c:manualLayout>
                  <c:x val="-0.10397952322075443"/>
                  <c:y val="-0.1797285464577888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pPr>
              <a:solidFill>
                <a:srgbClr val="FFFFCC"/>
              </a:solidFill>
            </c:spPr>
            <c:txPr>
              <a:bodyPr/>
              <a:lstStyle/>
              <a:p>
                <a:pPr>
                  <a:defRPr sz="900" baseline="0"/>
                </a:pPr>
                <a:endParaRPr lang="zh-CN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Sheet1!$B$1:$T$1</c:f>
              <c:strCache>
                <c:ptCount val="19"/>
                <c:pt idx="0">
                  <c:v>一般公共服务</c:v>
                </c:pt>
                <c:pt idx="1">
                  <c:v>国防</c:v>
                </c:pt>
                <c:pt idx="2">
                  <c:v>公共安全</c:v>
                </c:pt>
                <c:pt idx="3">
                  <c:v>科学技术</c:v>
                </c:pt>
                <c:pt idx="4">
                  <c:v>教育</c:v>
                </c:pt>
                <c:pt idx="5">
                  <c:v>文化体育与传媒</c:v>
                </c:pt>
                <c:pt idx="6">
                  <c:v>社会保障与就业</c:v>
                </c:pt>
                <c:pt idx="7">
                  <c:v>卫生健康</c:v>
                </c:pt>
                <c:pt idx="8">
                  <c:v>节能环保</c:v>
                </c:pt>
                <c:pt idx="9">
                  <c:v>城乡社区事务</c:v>
                </c:pt>
                <c:pt idx="10">
                  <c:v>农林水事务</c:v>
                </c:pt>
                <c:pt idx="11">
                  <c:v>交通运输</c:v>
                </c:pt>
                <c:pt idx="12">
                  <c:v>资源勘探事务</c:v>
                </c:pt>
                <c:pt idx="13">
                  <c:v>商业服务业等事务</c:v>
                </c:pt>
                <c:pt idx="14">
                  <c:v>其他支出</c:v>
                </c:pt>
                <c:pt idx="15">
                  <c:v>住房保障支出</c:v>
                </c:pt>
                <c:pt idx="16">
                  <c:v>自然资源气象</c:v>
                </c:pt>
                <c:pt idx="17">
                  <c:v>粮油物资储备管理等事务</c:v>
                </c:pt>
                <c:pt idx="18">
                  <c:v>债务付息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29467</c:v>
                </c:pt>
                <c:pt idx="1">
                  <c:v>175</c:v>
                </c:pt>
                <c:pt idx="2">
                  <c:v>45279</c:v>
                </c:pt>
                <c:pt idx="3">
                  <c:v>7797</c:v>
                </c:pt>
                <c:pt idx="4">
                  <c:v>125796</c:v>
                </c:pt>
                <c:pt idx="5">
                  <c:v>3870</c:v>
                </c:pt>
                <c:pt idx="6">
                  <c:v>72161</c:v>
                </c:pt>
                <c:pt idx="7">
                  <c:v>17757</c:v>
                </c:pt>
                <c:pt idx="8">
                  <c:v>11473</c:v>
                </c:pt>
                <c:pt idx="9">
                  <c:v>43224</c:v>
                </c:pt>
                <c:pt idx="10">
                  <c:v>111731</c:v>
                </c:pt>
                <c:pt idx="11">
                  <c:v>92</c:v>
                </c:pt>
                <c:pt idx="12">
                  <c:v>890</c:v>
                </c:pt>
                <c:pt idx="13">
                  <c:v>2636</c:v>
                </c:pt>
                <c:pt idx="14">
                  <c:v>2158</c:v>
                </c:pt>
                <c:pt idx="15">
                  <c:v>5001</c:v>
                </c:pt>
                <c:pt idx="16">
                  <c:v>486</c:v>
                </c:pt>
                <c:pt idx="17">
                  <c:v>215</c:v>
                </c:pt>
                <c:pt idx="18">
                  <c:v>1000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chemeClr val="tx2">
        <a:lumMod val="40000"/>
        <a:lumOff val="60000"/>
      </a:schemeClr>
    </a:solidFill>
    <a:ln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zh-CN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  <c:spPr>
        <a:solidFill>
          <a:schemeClr val="accent1">
            <a:lumMod val="40000"/>
            <a:lumOff val="60000"/>
          </a:schemeClr>
        </a:solidFill>
        <a:ln>
          <a:noFill/>
        </a:ln>
      </c:spPr>
    </c:sideWall>
    <c:backWall>
      <c:thickness val="0"/>
      <c:spPr>
        <a:solidFill>
          <a:schemeClr val="accent1">
            <a:lumMod val="40000"/>
            <a:lumOff val="60000"/>
          </a:schemeClr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explosion val="25"/>
          <c:dPt>
            <c:idx val="1"/>
            <c:bubble3D val="0"/>
            <c:explosion val="0"/>
          </c:dPt>
          <c:dLbls>
            <c:dLbl>
              <c:idx val="0"/>
              <c:layout>
                <c:manualLayout>
                  <c:x val="0.28836836042976743"/>
                  <c:y val="5.325365355583540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5439868577578878E-2"/>
                  <c:y val="5.773551575742773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3.0275873789157658E-2"/>
                  <c:y val="7.710045790815528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20473611661851621"/>
                  <c:y val="8.547334924423230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4.5150777016182329E-2"/>
                  <c:y val="-3.865346187335175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2029048886874753"/>
                  <c:y val="-8.810253133632758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36995222719462223"/>
                  <c:y val="-8.815765571069726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numFmt formatCode="0.00%" sourceLinked="0"/>
              <c:spPr>
                <a:solidFill>
                  <a:srgbClr val="FFFFCC"/>
                </a:solidFill>
              </c:spPr>
              <c:txPr>
                <a:bodyPr/>
                <a:lstStyle/>
                <a:p>
                  <a:pPr>
                    <a:defRPr sz="800" baseline="0"/>
                  </a:pPr>
                  <a:endParaRPr lang="zh-CN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0.17604014426254291"/>
                  <c:y val="3.018285005543757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6.9133858267716536E-2"/>
                  <c:y val="-6.130481899786390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pPr>
              <a:solidFill>
                <a:srgbClr val="FFFFCC"/>
              </a:solidFill>
            </c:sp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水库扶持基金</c:v>
                </c:pt>
                <c:pt idx="1">
                  <c:v>国有土地支出</c:v>
                </c:pt>
                <c:pt idx="2">
                  <c:v>棚户区改造</c:v>
                </c:pt>
                <c:pt idx="3">
                  <c:v>污水处理费</c:v>
                </c:pt>
                <c:pt idx="4">
                  <c:v>城市基本设施配套</c:v>
                </c:pt>
                <c:pt idx="5">
                  <c:v>彩票公益基金</c:v>
                </c:pt>
                <c:pt idx="6">
                  <c:v>债务支出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410</c:v>
                </c:pt>
                <c:pt idx="1">
                  <c:v>111688</c:v>
                </c:pt>
                <c:pt idx="2">
                  <c:v>234000</c:v>
                </c:pt>
                <c:pt idx="3">
                  <c:v>1377</c:v>
                </c:pt>
                <c:pt idx="4">
                  <c:v>5797</c:v>
                </c:pt>
                <c:pt idx="5">
                  <c:v>252</c:v>
                </c:pt>
                <c:pt idx="6">
                  <c:v>13744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solidFill>
      <a:schemeClr val="tx2">
        <a:lumMod val="40000"/>
        <a:lumOff val="60000"/>
      </a:schemeClr>
    </a:solidFill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0.712</cdr:x>
      <cdr:y>0.111</cdr:y>
    </cdr:from>
    <cdr:to>
      <cdr:x>0.85925</cdr:x>
      <cdr:y>0.19575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82517" y="348901"/>
          <a:ext cx="761588" cy="2663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18288" rIns="27432" bIns="18288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zh-CN" altLang="en-US" sz="1000" b="0" i="0" strike="noStrike">
              <a:solidFill>
                <a:srgbClr val="000000"/>
              </a:solidFill>
              <a:latin typeface="宋体"/>
              <a:ea typeface="宋体"/>
            </a:rPr>
            <a:t>单位</a:t>
          </a:r>
          <a:r>
            <a:rPr lang="en-US" altLang="zh-CN" sz="1000" b="0" i="0" strike="noStrike">
              <a:solidFill>
                <a:srgbClr val="000000"/>
              </a:solidFill>
              <a:latin typeface="宋体"/>
              <a:ea typeface="宋体"/>
            </a:rPr>
            <a:t>(</a:t>
          </a:r>
          <a:r>
            <a:rPr lang="zh-CN" altLang="en-US" sz="1000" b="0" i="0" strike="noStrike">
              <a:solidFill>
                <a:srgbClr val="000000"/>
              </a:solidFill>
              <a:latin typeface="宋体"/>
              <a:ea typeface="宋体"/>
            </a:rPr>
            <a:t>万元</a:t>
          </a:r>
          <a:r>
            <a:rPr lang="en-US" altLang="zh-CN" sz="1000" b="0" i="0" strike="noStrike">
              <a:solidFill>
                <a:srgbClr val="000000"/>
              </a:solidFill>
              <a:latin typeface="宋体"/>
              <a:ea typeface="宋体"/>
            </a:rPr>
            <a:t>)</a:t>
          </a:r>
        </a:p>
      </cdr:txBody>
    </cdr:sp>
  </cdr:relSizeAnchor>
  <cdr:relSizeAnchor xmlns:cdr="http://schemas.openxmlformats.org/drawingml/2006/chartDrawing">
    <cdr:from>
      <cdr:x>0.39075</cdr:x>
      <cdr:y>0.40025</cdr:y>
    </cdr:from>
    <cdr:to>
      <cdr:x>0.40175</cdr:x>
      <cdr:y>0.45775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20988" y="1258086"/>
          <a:ext cx="56893" cy="18073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0.506</cdr:x>
      <cdr:y>0.501</cdr:y>
    </cdr:from>
    <cdr:to>
      <cdr:x>0.516</cdr:x>
      <cdr:y>0.5415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58052" y="2238080"/>
          <a:ext cx="56484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0.499</cdr:x>
      <cdr:y>0.4915</cdr:y>
    </cdr:from>
    <cdr:to>
      <cdr:x>0.50625</cdr:x>
      <cdr:y>0.5555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7407" y="1390417"/>
          <a:ext cx="38464" cy="18105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0.499</cdr:x>
      <cdr:y>0.4915</cdr:y>
    </cdr:from>
    <cdr:to>
      <cdr:x>0.50625</cdr:x>
      <cdr:y>0.5555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7407" y="1390417"/>
          <a:ext cx="38464" cy="18105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0.499</cdr:x>
      <cdr:y>0.4915</cdr:y>
    </cdr:from>
    <cdr:to>
      <cdr:x>0.50625</cdr:x>
      <cdr:y>0.5555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7407" y="1390417"/>
          <a:ext cx="38464" cy="18105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0.499</cdr:x>
      <cdr:y>0.4915</cdr:y>
    </cdr:from>
    <cdr:to>
      <cdr:x>0.50975</cdr:x>
      <cdr:y>0.5555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7407" y="1390417"/>
          <a:ext cx="57033" cy="18105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0.6735</cdr:x>
      <cdr:y>0.094</cdr:y>
    </cdr:from>
    <cdr:to>
      <cdr:x>0.819</cdr:x>
      <cdr:y>0.19175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73204" y="265919"/>
          <a:ext cx="771939" cy="2765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18288" rIns="27432" bIns="18288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zh-CN" altLang="en-US" sz="1000" b="0" i="0" strike="noStrike">
              <a:solidFill>
                <a:srgbClr val="000000"/>
              </a:solidFill>
              <a:latin typeface="宋体"/>
              <a:ea typeface="宋体"/>
            </a:rPr>
            <a:t>单位</a:t>
          </a:r>
          <a:r>
            <a:rPr lang="en-US" altLang="zh-CN" sz="1000" b="0" i="0" strike="noStrike">
              <a:solidFill>
                <a:srgbClr val="000000"/>
              </a:solidFill>
              <a:latin typeface="宋体"/>
              <a:ea typeface="宋体"/>
            </a:rPr>
            <a:t>(</a:t>
          </a:r>
          <a:r>
            <a:rPr lang="zh-CN" altLang="en-US" sz="1000" b="0" i="0" strike="noStrike">
              <a:solidFill>
                <a:srgbClr val="000000"/>
              </a:solidFill>
              <a:latin typeface="宋体"/>
              <a:ea typeface="宋体"/>
            </a:rPr>
            <a:t>万元</a:t>
          </a:r>
          <a:r>
            <a:rPr lang="en-US" altLang="zh-CN" sz="1000" b="0" i="0" strike="noStrike">
              <a:solidFill>
                <a:srgbClr val="000000"/>
              </a:solidFill>
              <a:latin typeface="宋体"/>
              <a:ea typeface="宋体"/>
            </a:rPr>
            <a:t>)</a:t>
          </a:r>
        </a:p>
      </cdr:txBody>
    </cdr:sp>
  </cdr:relSizeAnchor>
</c:userShap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8</Pages>
  <Words>1048</Words>
  <Characters>5976</Characters>
  <Application>Microsoft Office Word</Application>
  <DocSecurity>0</DocSecurity>
  <Lines>49</Lines>
  <Paragraphs>14</Paragraphs>
  <ScaleCrop>false</ScaleCrop>
  <Company>番茄花园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米东区二○○八年财政收支总决算说明</dc:title>
  <dc:subject/>
  <dc:creator>番茄花园</dc:creator>
  <cp:keywords/>
  <dc:description/>
  <cp:lastModifiedBy>微软用户</cp:lastModifiedBy>
  <cp:revision>86</cp:revision>
  <cp:lastPrinted>2018-05-11T10:27:00Z</cp:lastPrinted>
  <dcterms:created xsi:type="dcterms:W3CDTF">2016-03-10T07:03:00Z</dcterms:created>
  <dcterms:modified xsi:type="dcterms:W3CDTF">2020-04-24T13:22:00Z</dcterms:modified>
</cp:coreProperties>
</file>