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11" w:rsidRDefault="003F6B11" w:rsidP="003F6B11">
      <w:pPr>
        <w:shd w:val="clear" w:color="auto" w:fill="FFFFFF"/>
        <w:autoSpaceDE w:val="0"/>
        <w:autoSpaceDN w:val="0"/>
        <w:adjustRightInd w:val="0"/>
        <w:spacing w:before="240" w:after="240"/>
        <w:jc w:val="center"/>
        <w:rPr>
          <w:rFonts w:ascii="Times New Roman" w:hAnsi="Times New Roman" w:cs="Times New Roman"/>
          <w:kern w:val="36"/>
          <w:sz w:val="40"/>
          <w:szCs w:val="40"/>
          <w:lang w:val="zh-CN"/>
        </w:rPr>
      </w:pPr>
    </w:p>
    <w:p w:rsidR="003F6B11" w:rsidRDefault="003F6B11" w:rsidP="003F6B11">
      <w:pPr>
        <w:shd w:val="clear" w:color="auto" w:fill="FFFFFF"/>
        <w:autoSpaceDE w:val="0"/>
        <w:autoSpaceDN w:val="0"/>
        <w:adjustRightInd w:val="0"/>
        <w:spacing w:before="240" w:after="240"/>
        <w:jc w:val="center"/>
        <w:rPr>
          <w:rFonts w:ascii="Times New Roman" w:hAnsi="Times New Roman" w:cs="Times New Roman"/>
          <w:kern w:val="36"/>
          <w:sz w:val="40"/>
          <w:szCs w:val="40"/>
          <w:lang w:val="zh-CN"/>
        </w:rPr>
      </w:pPr>
    </w:p>
    <w:p w:rsidR="003F6B11" w:rsidRPr="003F3F02" w:rsidRDefault="003F6B11" w:rsidP="003F6B11">
      <w:pPr>
        <w:autoSpaceDE w:val="0"/>
        <w:autoSpaceDN w:val="0"/>
        <w:adjustRightInd w:val="0"/>
        <w:jc w:val="center"/>
        <w:rPr>
          <w:rFonts w:ascii="方正小标宋_GBK" w:eastAsia="方正小标宋_GBK" w:hAnsi="Times New Roman" w:cs="方正小标宋_GBK"/>
          <w:sz w:val="44"/>
          <w:szCs w:val="44"/>
        </w:rPr>
      </w:pPr>
      <w:r w:rsidRPr="003F3F02">
        <w:rPr>
          <w:rFonts w:ascii="方正小标宋_GBK" w:eastAsia="方正小标宋_GBK" w:hAnsi="Times New Roman" w:cs="方正小标宋_GBK" w:hint="eastAsia"/>
          <w:sz w:val="44"/>
          <w:szCs w:val="44"/>
        </w:rPr>
        <w:t>乌鲁木齐市米东区第</w:t>
      </w:r>
      <w:r w:rsidRPr="003F3F02">
        <w:rPr>
          <w:rFonts w:ascii="方正小标宋_GBK" w:eastAsia="方正小标宋_GBK" w:hAnsi="Times New Roman" w:cs="方正小标宋_GBK"/>
          <w:sz w:val="44"/>
          <w:szCs w:val="44"/>
        </w:rPr>
        <w:t>98</w:t>
      </w:r>
      <w:r w:rsidRPr="003F3F02">
        <w:rPr>
          <w:rFonts w:ascii="方正小标宋_GBK" w:eastAsia="方正小标宋_GBK" w:hAnsi="Times New Roman" w:cs="方正小标宋_GBK" w:hint="eastAsia"/>
          <w:sz w:val="44"/>
          <w:szCs w:val="44"/>
        </w:rPr>
        <w:t>小学</w:t>
      </w:r>
    </w:p>
    <w:p w:rsidR="003F6B11" w:rsidRPr="003F3F02" w:rsidRDefault="003F6B11" w:rsidP="003F6B11">
      <w:pPr>
        <w:autoSpaceDE w:val="0"/>
        <w:autoSpaceDN w:val="0"/>
        <w:adjustRightInd w:val="0"/>
        <w:jc w:val="center"/>
        <w:rPr>
          <w:rFonts w:ascii="Times New Roman" w:eastAsia="方正小标宋_GBK" w:hAnsi="Times New Roman" w:cs="Times New Roman"/>
          <w:kern w:val="36"/>
          <w:sz w:val="40"/>
          <w:szCs w:val="40"/>
          <w:lang w:val="zh-CN"/>
        </w:rPr>
      </w:pPr>
      <w:r w:rsidRPr="003F3F02">
        <w:rPr>
          <w:rFonts w:ascii="方正小标宋_GBK" w:eastAsia="方正小标宋_GBK" w:hAnsi="Times New Roman" w:cs="方正小标宋_GBK"/>
          <w:sz w:val="44"/>
          <w:szCs w:val="44"/>
        </w:rPr>
        <w:t>2020</w:t>
      </w:r>
      <w:r w:rsidRPr="003F3F02">
        <w:rPr>
          <w:rFonts w:ascii="方正小标宋_GBK" w:eastAsia="方正小标宋_GBK" w:hAnsi="Times New Roman" w:cs="方正小标宋_GBK" w:hint="eastAsia"/>
          <w:sz w:val="44"/>
          <w:szCs w:val="44"/>
        </w:rPr>
        <w:t>年度部门决算公开说明</w:t>
      </w:r>
    </w:p>
    <w:p w:rsidR="003F6B11" w:rsidRPr="003F3F02" w:rsidRDefault="003F6B11" w:rsidP="003F6B11">
      <w:pPr>
        <w:shd w:val="clear" w:color="auto" w:fill="FFFFFF"/>
        <w:autoSpaceDE w:val="0"/>
        <w:autoSpaceDN w:val="0"/>
        <w:adjustRightInd w:val="0"/>
        <w:spacing w:before="240" w:after="240"/>
        <w:jc w:val="center"/>
        <w:rPr>
          <w:rFonts w:ascii="Times New Roman" w:eastAsia="宋体" w:hAnsi="Times New Roman" w:cs="Times New Roman"/>
          <w:kern w:val="36"/>
          <w:sz w:val="40"/>
          <w:szCs w:val="40"/>
          <w:lang w:val="zh-CN"/>
        </w:rPr>
      </w:pPr>
    </w:p>
    <w:p w:rsidR="003F6B11" w:rsidRPr="003F3F02" w:rsidRDefault="003F6B11" w:rsidP="003F6B11">
      <w:pPr>
        <w:autoSpaceDE w:val="0"/>
        <w:autoSpaceDN w:val="0"/>
        <w:adjustRightInd w:val="0"/>
        <w:spacing w:line="540" w:lineRule="exact"/>
        <w:jc w:val="center"/>
        <w:rPr>
          <w:rFonts w:ascii="Times New Roman" w:eastAsia="仿宋_GB2312" w:hAnsi="Times New Roman" w:cs="Times New Roman"/>
          <w:b/>
          <w:bCs/>
          <w:kern w:val="0"/>
          <w:sz w:val="24"/>
          <w:szCs w:val="24"/>
        </w:rPr>
      </w:pPr>
      <w:r w:rsidRPr="003F3F02">
        <w:rPr>
          <w:rFonts w:ascii="Times New Roman" w:eastAsia="宋体" w:hAnsi="Times New Roman" w:cs="Times New Roman"/>
          <w:b/>
          <w:bCs/>
          <w:kern w:val="36"/>
          <w:sz w:val="36"/>
          <w:szCs w:val="36"/>
        </w:rPr>
        <w:br w:type="page"/>
      </w:r>
      <w:r w:rsidRPr="003F3F02">
        <w:rPr>
          <w:rFonts w:ascii="仿宋_GB2312" w:eastAsia="仿宋_GB2312" w:hAnsi="Times New Roman" w:cs="仿宋_GB2312" w:hint="eastAsia"/>
          <w:b/>
          <w:bCs/>
          <w:kern w:val="0"/>
          <w:sz w:val="36"/>
          <w:szCs w:val="36"/>
        </w:rPr>
        <w:lastRenderedPageBreak/>
        <w:t>目</w:t>
      </w:r>
      <w:r w:rsidRPr="003F3F02">
        <w:rPr>
          <w:rFonts w:ascii="仿宋_GB2312" w:eastAsia="仿宋_GB2312" w:hAnsi="Times New Roman" w:cs="仿宋_GB2312"/>
          <w:b/>
          <w:bCs/>
          <w:kern w:val="0"/>
          <w:sz w:val="36"/>
          <w:szCs w:val="36"/>
        </w:rPr>
        <w:t xml:space="preserve">  </w:t>
      </w:r>
      <w:r w:rsidRPr="003F3F02">
        <w:rPr>
          <w:rFonts w:ascii="仿宋_GB2312" w:eastAsia="仿宋_GB2312" w:hAnsi="Times New Roman" w:cs="仿宋_GB2312" w:hint="eastAsia"/>
          <w:b/>
          <w:bCs/>
          <w:kern w:val="0"/>
          <w:sz w:val="36"/>
          <w:szCs w:val="36"/>
        </w:rPr>
        <w:t>录</w:t>
      </w:r>
    </w:p>
    <w:p w:rsidR="003F6B11" w:rsidRPr="003F3F02" w:rsidRDefault="003F6B11" w:rsidP="003F6B11">
      <w:pPr>
        <w:autoSpaceDE w:val="0"/>
        <w:autoSpaceDN w:val="0"/>
        <w:adjustRightInd w:val="0"/>
        <w:spacing w:line="540" w:lineRule="exact"/>
        <w:rPr>
          <w:rFonts w:ascii="Times New Roman" w:eastAsia="仿宋_GB2312" w:hAnsi="Times New Roman" w:cs="Times New Roman"/>
          <w:kern w:val="0"/>
          <w:sz w:val="32"/>
          <w:szCs w:val="32"/>
        </w:rPr>
      </w:pPr>
      <w:r w:rsidRPr="003F3F02">
        <w:rPr>
          <w:rFonts w:ascii="仿宋_GB2312" w:eastAsia="仿宋_GB2312" w:hAnsi="Times New Roman" w:cs="仿宋_GB2312" w:hint="eastAsia"/>
          <w:b/>
          <w:bCs/>
          <w:kern w:val="0"/>
          <w:sz w:val="32"/>
          <w:szCs w:val="32"/>
        </w:rPr>
        <w:t>第一部分</w:t>
      </w:r>
      <w:r w:rsidRPr="003F3F02">
        <w:rPr>
          <w:rFonts w:ascii="仿宋_GB2312" w:eastAsia="仿宋_GB2312" w:hAnsi="Times New Roman" w:cs="仿宋_GB2312"/>
          <w:b/>
          <w:bCs/>
          <w:kern w:val="0"/>
          <w:sz w:val="32"/>
          <w:szCs w:val="32"/>
        </w:rPr>
        <w:t xml:space="preserve"> </w:t>
      </w:r>
      <w:r w:rsidRPr="003F3F02">
        <w:rPr>
          <w:rFonts w:ascii="仿宋_GB2312" w:eastAsia="仿宋_GB2312" w:hAnsi="Times New Roman" w:cs="仿宋_GB2312" w:hint="eastAsia"/>
          <w:b/>
          <w:bCs/>
          <w:kern w:val="0"/>
          <w:sz w:val="32"/>
          <w:szCs w:val="32"/>
        </w:rPr>
        <w:t>部门单位概况</w:t>
      </w:r>
    </w:p>
    <w:p w:rsidR="003F6B11" w:rsidRPr="003F3F02" w:rsidRDefault="003F6B11" w:rsidP="003F6B11">
      <w:pPr>
        <w:autoSpaceDE w:val="0"/>
        <w:autoSpaceDN w:val="0"/>
        <w:adjustRightInd w:val="0"/>
        <w:spacing w:line="540" w:lineRule="exact"/>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一、主要职能</w:t>
      </w:r>
    </w:p>
    <w:p w:rsidR="003F6B11" w:rsidRPr="003F3F02" w:rsidRDefault="003F6B11" w:rsidP="003F6B11">
      <w:pPr>
        <w:autoSpaceDE w:val="0"/>
        <w:autoSpaceDN w:val="0"/>
        <w:adjustRightInd w:val="0"/>
        <w:spacing w:line="540" w:lineRule="exact"/>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二、</w:t>
      </w:r>
      <w:r w:rsidRPr="003F3F02">
        <w:rPr>
          <w:rFonts w:ascii="仿宋_GB2312" w:eastAsia="仿宋_GB2312" w:hAnsi="Times New Roman" w:cs="仿宋_GB2312" w:hint="eastAsia"/>
          <w:sz w:val="32"/>
          <w:szCs w:val="32"/>
        </w:rPr>
        <w:t>机构设置及人员情况</w:t>
      </w:r>
    </w:p>
    <w:p w:rsidR="003F6B11" w:rsidRPr="003F3F02" w:rsidRDefault="003F6B11" w:rsidP="003F6B11">
      <w:pPr>
        <w:autoSpaceDE w:val="0"/>
        <w:autoSpaceDN w:val="0"/>
        <w:adjustRightInd w:val="0"/>
        <w:spacing w:line="540" w:lineRule="exact"/>
        <w:rPr>
          <w:rFonts w:ascii="Times New Roman" w:eastAsia="仿宋_GB2312" w:hAnsi="Times New Roman" w:cs="Times New Roman"/>
          <w:kern w:val="0"/>
          <w:sz w:val="32"/>
          <w:szCs w:val="32"/>
        </w:rPr>
      </w:pPr>
      <w:r w:rsidRPr="003F3F02">
        <w:rPr>
          <w:rFonts w:ascii="仿宋_GB2312" w:eastAsia="仿宋_GB2312" w:hAnsi="Times New Roman" w:cs="仿宋_GB2312" w:hint="eastAsia"/>
          <w:b/>
          <w:bCs/>
          <w:kern w:val="0"/>
          <w:sz w:val="32"/>
          <w:szCs w:val="32"/>
        </w:rPr>
        <w:t>第二部分</w:t>
      </w:r>
      <w:r w:rsidRPr="003F3F02">
        <w:rPr>
          <w:rFonts w:ascii="仿宋_GB2312" w:eastAsia="仿宋_GB2312" w:hAnsi="Times New Roman" w:cs="仿宋_GB2312"/>
          <w:b/>
          <w:bCs/>
          <w:kern w:val="0"/>
          <w:sz w:val="32"/>
          <w:szCs w:val="32"/>
        </w:rPr>
        <w:t xml:space="preserve"> </w:t>
      </w:r>
      <w:r w:rsidRPr="003F3F02">
        <w:rPr>
          <w:rFonts w:ascii="仿宋_GB2312" w:eastAsia="仿宋_GB2312" w:hAnsi="Times New Roman" w:cs="仿宋_GB2312" w:hint="eastAsia"/>
          <w:b/>
          <w:bCs/>
          <w:kern w:val="0"/>
          <w:sz w:val="32"/>
          <w:szCs w:val="32"/>
        </w:rPr>
        <w:t>部门决算情况说明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一、收入支出决算总体情况说明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二、收入决算情况说明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三、支出决算情况说明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四、财政拨款收入支出决算总体情况说明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五、一般公共预算财政拨款支出决算情况说明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六、一般公共预算财政拨款基本支出决算情况说明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七、一般公共预算财政拨款</w:t>
      </w:r>
      <w:r w:rsidRPr="003F3F02">
        <w:rPr>
          <w:rFonts w:ascii="Times New Roman" w:eastAsia="仿宋_GB2312" w:hAnsi="Times New Roman" w:cs="Times New Roman"/>
          <w:sz w:val="32"/>
          <w:szCs w:val="32"/>
        </w:rPr>
        <w:t>“</w:t>
      </w:r>
      <w:r w:rsidRPr="003F3F02">
        <w:rPr>
          <w:rFonts w:ascii="仿宋_GB2312" w:eastAsia="仿宋_GB2312" w:hAnsi="Times New Roman" w:cs="仿宋_GB2312" w:hint="eastAsia"/>
          <w:sz w:val="32"/>
          <w:szCs w:val="32"/>
        </w:rPr>
        <w:t>三公</w:t>
      </w:r>
      <w:r w:rsidRPr="003F3F02">
        <w:rPr>
          <w:rFonts w:ascii="Times New Roman" w:eastAsia="仿宋_GB2312" w:hAnsi="Times New Roman" w:cs="Times New Roman"/>
          <w:sz w:val="32"/>
          <w:szCs w:val="32"/>
        </w:rPr>
        <w:t>”</w:t>
      </w:r>
      <w:r w:rsidRPr="003F3F02">
        <w:rPr>
          <w:rFonts w:ascii="仿宋_GB2312" w:eastAsia="仿宋_GB2312" w:hAnsi="Times New Roman" w:cs="仿宋_GB2312" w:hint="eastAsia"/>
          <w:sz w:val="32"/>
          <w:szCs w:val="32"/>
        </w:rPr>
        <w:t>经费支出决算情况说明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八、政府性基金预算</w:t>
      </w:r>
      <w:r w:rsidRPr="003F3F02">
        <w:rPr>
          <w:rFonts w:ascii="仿宋_GB2312" w:eastAsia="仿宋_GB2312" w:hAnsi="Times New Roman" w:cs="仿宋_GB2312" w:hint="eastAsia"/>
          <w:sz w:val="32"/>
          <w:szCs w:val="32"/>
          <w:lang w:val="zh-CN"/>
        </w:rPr>
        <w:t>财政拨款</w:t>
      </w:r>
      <w:r w:rsidRPr="003F3F02">
        <w:rPr>
          <w:rFonts w:ascii="仿宋_GB2312" w:eastAsia="仿宋_GB2312" w:hAnsi="Times New Roman" w:cs="仿宋_GB2312" w:hint="eastAsia"/>
          <w:sz w:val="32"/>
          <w:szCs w:val="32"/>
        </w:rPr>
        <w:t>收入支出决算情况说明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九、国有资本经营预算财政拨款收入支出决算情况说明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十、其他重要事项的情况说明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（一）机关运行经费支出情况</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（二）政府采购情况</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（三）国有资产占用情况说明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十</w:t>
      </w:r>
      <w:r w:rsidRPr="003F3F02">
        <w:rPr>
          <w:rFonts w:ascii="仿宋_GB2312" w:eastAsia="仿宋_GB2312" w:hAnsi="Times New Roman" w:cs="仿宋_GB2312" w:hint="eastAsia"/>
          <w:sz w:val="32"/>
          <w:szCs w:val="32"/>
          <w:lang w:val="zh-CN"/>
        </w:rPr>
        <w:t>一</w:t>
      </w:r>
      <w:r w:rsidRPr="003F3F02">
        <w:rPr>
          <w:rFonts w:ascii="仿宋_GB2312" w:eastAsia="仿宋_GB2312" w:hAnsi="Times New Roman" w:cs="仿宋_GB2312" w:hint="eastAsia"/>
          <w:sz w:val="32"/>
          <w:szCs w:val="32"/>
        </w:rPr>
        <w:t>、预算绩效的情况说明</w:t>
      </w:r>
    </w:p>
    <w:p w:rsidR="003F6B11" w:rsidRPr="003F3F02" w:rsidRDefault="003F6B11" w:rsidP="003F6B11">
      <w:pPr>
        <w:autoSpaceDE w:val="0"/>
        <w:autoSpaceDN w:val="0"/>
        <w:adjustRightInd w:val="0"/>
        <w:spacing w:line="540" w:lineRule="exact"/>
        <w:rPr>
          <w:rFonts w:ascii="Times New Roman" w:eastAsia="仿宋_GB2312" w:hAnsi="Times New Roman" w:cs="Times New Roman"/>
          <w:b/>
          <w:bCs/>
          <w:kern w:val="0"/>
          <w:sz w:val="32"/>
          <w:szCs w:val="32"/>
        </w:rPr>
      </w:pPr>
      <w:r w:rsidRPr="003F3F02">
        <w:rPr>
          <w:rFonts w:ascii="仿宋_GB2312" w:eastAsia="仿宋_GB2312" w:hAnsi="Times New Roman" w:cs="仿宋_GB2312" w:hint="eastAsia"/>
          <w:b/>
          <w:bCs/>
          <w:kern w:val="0"/>
          <w:sz w:val="32"/>
          <w:szCs w:val="32"/>
        </w:rPr>
        <w:t>第三部分</w:t>
      </w:r>
      <w:r w:rsidRPr="003F3F02">
        <w:rPr>
          <w:rFonts w:ascii="仿宋_GB2312" w:eastAsia="仿宋_GB2312" w:hAnsi="Times New Roman" w:cs="仿宋_GB2312"/>
          <w:b/>
          <w:bCs/>
          <w:kern w:val="0"/>
          <w:sz w:val="32"/>
          <w:szCs w:val="32"/>
        </w:rPr>
        <w:t xml:space="preserve"> </w:t>
      </w:r>
      <w:r w:rsidRPr="003F3F02">
        <w:rPr>
          <w:rFonts w:ascii="仿宋_GB2312" w:eastAsia="仿宋_GB2312" w:hAnsi="Times New Roman" w:cs="仿宋_GB2312" w:hint="eastAsia"/>
          <w:b/>
          <w:bCs/>
          <w:kern w:val="0"/>
          <w:sz w:val="32"/>
          <w:szCs w:val="32"/>
        </w:rPr>
        <w:t>专业名词解释</w:t>
      </w:r>
    </w:p>
    <w:p w:rsidR="003F6B11" w:rsidRPr="003F3F02" w:rsidRDefault="003F6B11" w:rsidP="003F6B11">
      <w:pPr>
        <w:autoSpaceDE w:val="0"/>
        <w:autoSpaceDN w:val="0"/>
        <w:adjustRightInd w:val="0"/>
        <w:spacing w:line="540" w:lineRule="exact"/>
        <w:rPr>
          <w:rFonts w:ascii="Times New Roman" w:eastAsia="仿宋_GB2312" w:hAnsi="Times New Roman" w:cs="Times New Roman"/>
          <w:b/>
          <w:bCs/>
          <w:kern w:val="0"/>
          <w:sz w:val="32"/>
          <w:szCs w:val="32"/>
        </w:rPr>
      </w:pPr>
      <w:r w:rsidRPr="003F3F02">
        <w:rPr>
          <w:rFonts w:ascii="仿宋_GB2312" w:eastAsia="仿宋_GB2312" w:hAnsi="Times New Roman" w:cs="仿宋_GB2312" w:hint="eastAsia"/>
          <w:b/>
          <w:bCs/>
          <w:kern w:val="0"/>
          <w:sz w:val="32"/>
          <w:szCs w:val="32"/>
        </w:rPr>
        <w:t>第四部分</w:t>
      </w:r>
      <w:r w:rsidRPr="003F3F02">
        <w:rPr>
          <w:rFonts w:ascii="仿宋_GB2312" w:eastAsia="仿宋_GB2312" w:hAnsi="Times New Roman" w:cs="仿宋_GB2312"/>
          <w:b/>
          <w:bCs/>
          <w:kern w:val="0"/>
          <w:sz w:val="32"/>
          <w:szCs w:val="32"/>
        </w:rPr>
        <w:t xml:space="preserve"> </w:t>
      </w:r>
      <w:r w:rsidRPr="003F3F02">
        <w:rPr>
          <w:rFonts w:ascii="仿宋_GB2312" w:eastAsia="仿宋_GB2312" w:hAnsi="Times New Roman" w:cs="仿宋_GB2312" w:hint="eastAsia"/>
          <w:b/>
          <w:bCs/>
          <w:kern w:val="0"/>
          <w:sz w:val="32"/>
          <w:szCs w:val="32"/>
        </w:rPr>
        <w:t>部</w:t>
      </w:r>
      <w:r w:rsidRPr="003F3F02">
        <w:rPr>
          <w:rFonts w:ascii="仿宋_GB2312" w:eastAsia="仿宋_GB2312" w:hAnsi="Times New Roman" w:cs="仿宋_GB2312" w:hint="eastAsia"/>
          <w:b/>
          <w:bCs/>
          <w:sz w:val="32"/>
          <w:szCs w:val="32"/>
        </w:rPr>
        <w:t>门决算报表（见附表）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一、《收入支出决算总表》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二、《收入决算表》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三、《支出决算表》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lastRenderedPageBreak/>
        <w:t>四、《财政拨款收入支出决算总表》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五、《一般公共预算财政拨款支出决算表》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六、《一般公共预算财政拨款基本支出决算表》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七、《一般公共预算财政拨款</w:t>
      </w:r>
      <w:r w:rsidRPr="003F3F02">
        <w:rPr>
          <w:rFonts w:ascii="Times New Roman" w:eastAsia="仿宋_GB2312" w:hAnsi="Times New Roman" w:cs="Times New Roman"/>
          <w:sz w:val="32"/>
          <w:szCs w:val="32"/>
        </w:rPr>
        <w:t>“</w:t>
      </w:r>
      <w:r w:rsidRPr="003F3F02">
        <w:rPr>
          <w:rFonts w:ascii="仿宋_GB2312" w:eastAsia="仿宋_GB2312" w:hAnsi="Times New Roman" w:cs="仿宋_GB2312" w:hint="eastAsia"/>
          <w:sz w:val="32"/>
          <w:szCs w:val="32"/>
        </w:rPr>
        <w:t>三公</w:t>
      </w:r>
      <w:r w:rsidRPr="003F3F02">
        <w:rPr>
          <w:rFonts w:ascii="Times New Roman" w:eastAsia="仿宋_GB2312" w:hAnsi="Times New Roman" w:cs="Times New Roman"/>
          <w:sz w:val="32"/>
          <w:szCs w:val="32"/>
        </w:rPr>
        <w:t>”</w:t>
      </w:r>
      <w:r w:rsidRPr="003F3F02">
        <w:rPr>
          <w:rFonts w:ascii="仿宋_GB2312" w:eastAsia="仿宋_GB2312" w:hAnsi="Times New Roman" w:cs="仿宋_GB2312" w:hint="eastAsia"/>
          <w:sz w:val="32"/>
          <w:szCs w:val="32"/>
        </w:rPr>
        <w:t>经费支出决算表》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八、《政府性基金预算财政拨款收入支出决算表》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sz w:val="32"/>
          <w:szCs w:val="32"/>
        </w:rPr>
      </w:pPr>
      <w:r w:rsidRPr="003F3F02">
        <w:rPr>
          <w:rFonts w:ascii="仿宋_GB2312" w:eastAsia="仿宋_GB2312" w:hAnsi="Times New Roman" w:cs="仿宋_GB2312" w:hint="eastAsia"/>
          <w:sz w:val="32"/>
          <w:szCs w:val="32"/>
        </w:rPr>
        <w:t>九、《国有资本经营预算财政拨款收入支出决算表》</w:t>
      </w:r>
    </w:p>
    <w:p w:rsidR="003F6B11" w:rsidRPr="003F3F02" w:rsidRDefault="003F6B11" w:rsidP="003F6B11">
      <w:pPr>
        <w:autoSpaceDE w:val="0"/>
        <w:autoSpaceDN w:val="0"/>
        <w:adjustRightInd w:val="0"/>
        <w:spacing w:line="540" w:lineRule="exact"/>
        <w:rPr>
          <w:rFonts w:ascii="Times New Roman" w:eastAsia="仿宋_GB2312" w:hAnsi="Times New Roman" w:cs="Times New Roman"/>
          <w:b/>
          <w:bCs/>
          <w:kern w:val="0"/>
          <w:sz w:val="28"/>
          <w:szCs w:val="28"/>
        </w:rPr>
      </w:pPr>
    </w:p>
    <w:p w:rsidR="003F6B11" w:rsidRPr="003F3F02" w:rsidRDefault="003F6B11" w:rsidP="003F6B11">
      <w:pPr>
        <w:shd w:val="clear" w:color="auto" w:fill="FFFFFF"/>
        <w:autoSpaceDE w:val="0"/>
        <w:autoSpaceDN w:val="0"/>
        <w:adjustRightInd w:val="0"/>
        <w:spacing w:line="360" w:lineRule="auto"/>
        <w:jc w:val="center"/>
        <w:rPr>
          <w:rFonts w:ascii="Times New Roman" w:eastAsia="黑体" w:hAnsi="Times New Roman" w:cs="Times New Roman"/>
          <w:kern w:val="0"/>
          <w:sz w:val="28"/>
          <w:szCs w:val="28"/>
          <w:rtl/>
        </w:rPr>
      </w:pPr>
      <w:r w:rsidRPr="003F3F02">
        <w:rPr>
          <w:rFonts w:ascii="黑体" w:eastAsia="黑体" w:hAnsi="Times New Roman" w:cs="黑体"/>
          <w:kern w:val="0"/>
          <w:sz w:val="32"/>
          <w:szCs w:val="32"/>
        </w:rPr>
        <w:br w:type="page"/>
      </w:r>
      <w:r w:rsidRPr="003F3F02">
        <w:rPr>
          <w:rFonts w:ascii="黑体" w:eastAsia="黑体" w:hAnsi="Times New Roman" w:cs="黑体" w:hint="eastAsia"/>
          <w:kern w:val="0"/>
          <w:sz w:val="32"/>
          <w:szCs w:val="32"/>
        </w:rPr>
        <w:lastRenderedPageBreak/>
        <w:t>第一部分</w:t>
      </w:r>
      <w:r w:rsidRPr="003F3F02">
        <w:rPr>
          <w:rFonts w:ascii="黑体" w:eastAsia="黑体" w:hAnsi="Times New Roman" w:cs="黑体"/>
          <w:kern w:val="0"/>
          <w:sz w:val="32"/>
          <w:szCs w:val="32"/>
        </w:rPr>
        <w:t xml:space="preserve"> </w:t>
      </w:r>
      <w:r w:rsidRPr="003F3F02">
        <w:rPr>
          <w:rFonts w:ascii="黑体" w:eastAsia="黑体" w:hAnsi="Times New Roman" w:cs="黑体" w:hint="eastAsia"/>
          <w:kern w:val="0"/>
          <w:sz w:val="32"/>
          <w:szCs w:val="32"/>
        </w:rPr>
        <w:t>部门单位概况</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一、主要职能</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kern w:val="0"/>
          <w:sz w:val="32"/>
          <w:szCs w:val="32"/>
        </w:rPr>
        <w:t>1</w:t>
      </w:r>
      <w:r w:rsidRPr="003F3F02">
        <w:rPr>
          <w:rFonts w:ascii="仿宋_GB2312" w:eastAsia="仿宋_GB2312" w:hAnsi="Times New Roman" w:cs="仿宋_GB2312" w:hint="eastAsia"/>
          <w:kern w:val="0"/>
          <w:sz w:val="32"/>
          <w:szCs w:val="32"/>
        </w:rPr>
        <w:t>、全面贯彻党和国家的路线、方针、政策、法规，全面实施素质教育，认真执行上级党委和教育行政部门的指示，依法治校，努力提高学校的办学水平和办学效益；</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2、全面规划，统一安排学校的各项工作，组织制定和实施学校发展规划、工作计划；</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kern w:val="0"/>
          <w:sz w:val="32"/>
          <w:szCs w:val="32"/>
        </w:rPr>
        <w:t>3</w:t>
      </w:r>
      <w:r w:rsidRPr="003F3F02">
        <w:rPr>
          <w:rFonts w:ascii="仿宋_GB2312" w:eastAsia="仿宋_GB2312" w:hAnsi="Times New Roman" w:cs="仿宋_GB2312" w:hint="eastAsia"/>
          <w:kern w:val="0"/>
          <w:sz w:val="32"/>
          <w:szCs w:val="32"/>
        </w:rPr>
        <w:t>、负责健全学校行政指挥系统，健全各项规章制度，保证学校正常的工作秩序；</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kern w:val="0"/>
          <w:sz w:val="32"/>
          <w:szCs w:val="32"/>
        </w:rPr>
        <w:t>4</w:t>
      </w:r>
      <w:r w:rsidRPr="003F3F02">
        <w:rPr>
          <w:rFonts w:ascii="仿宋_GB2312" w:eastAsia="仿宋_GB2312" w:hAnsi="Times New Roman" w:cs="仿宋_GB2312" w:hint="eastAsia"/>
          <w:kern w:val="0"/>
          <w:sz w:val="32"/>
          <w:szCs w:val="32"/>
        </w:rPr>
        <w:t>按照学校经费使用计划，负责教育教学及办公用品、维修设备的采购、发放和管理工作；</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5、根据预算安排，拟定收支计划，并组织实施、管理和监督；</w:t>
      </w:r>
      <w:r w:rsidRPr="003F3F02">
        <w:rPr>
          <w:rFonts w:ascii="仿宋_GB2312" w:eastAsia="仿宋_GB2312" w:hAnsi="Times New Roman" w:cs="仿宋_GB2312"/>
          <w:kern w:val="0"/>
          <w:sz w:val="32"/>
          <w:szCs w:val="32"/>
        </w:rPr>
        <w:t xml:space="preserve"> </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kern w:val="0"/>
          <w:sz w:val="32"/>
          <w:szCs w:val="32"/>
        </w:rPr>
        <w:t>6</w:t>
      </w:r>
      <w:r w:rsidRPr="003F3F02">
        <w:rPr>
          <w:rFonts w:ascii="仿宋_GB2312" w:eastAsia="仿宋_GB2312" w:hAnsi="Times New Roman" w:cs="仿宋_GB2312" w:hint="eastAsia"/>
          <w:kern w:val="0"/>
          <w:sz w:val="32"/>
          <w:szCs w:val="32"/>
        </w:rPr>
        <w:t>、规范会计行为；组织执行国家统一的会计制度和自治区相关补充规定；组织管理会计人员的业务培训；</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7、负责维护学校、师生的合法权益，有权拒绝任何组织和个人对教育教学活动进行非法干涉；</w:t>
      </w:r>
    </w:p>
    <w:p w:rsidR="003F6B11" w:rsidRPr="003F3F02" w:rsidRDefault="003F6B11" w:rsidP="003F6B11">
      <w:pPr>
        <w:shd w:val="clear" w:color="auto" w:fill="FFFFFF"/>
        <w:autoSpaceDE w:val="0"/>
        <w:autoSpaceDN w:val="0"/>
        <w:adjustRightInd w:val="0"/>
        <w:spacing w:before="100" w:line="520" w:lineRule="exact"/>
        <w:ind w:firstLine="48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8、依法接受各级教育行政部门的检查指导和人民群众的监督。</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二、机构设置及人员情况</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乌鲁木齐市米东区第</w:t>
      </w:r>
      <w:r w:rsidRPr="003F3F02">
        <w:rPr>
          <w:rFonts w:ascii="仿宋_GB2312" w:eastAsia="仿宋_GB2312" w:hAnsi="Times New Roman" w:cs="仿宋_GB2312"/>
          <w:kern w:val="0"/>
          <w:sz w:val="32"/>
          <w:szCs w:val="32"/>
        </w:rPr>
        <w:t>98</w:t>
      </w:r>
      <w:r w:rsidRPr="003F3F02">
        <w:rPr>
          <w:rFonts w:ascii="仿宋_GB2312" w:eastAsia="仿宋_GB2312" w:hAnsi="Times New Roman" w:cs="仿宋_GB2312" w:hint="eastAsia"/>
          <w:kern w:val="0"/>
          <w:sz w:val="32"/>
          <w:szCs w:val="32"/>
        </w:rPr>
        <w:t>小学</w:t>
      </w: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年度，实有人数</w:t>
      </w:r>
      <w:r w:rsidRPr="003F3F02">
        <w:rPr>
          <w:rFonts w:ascii="仿宋_GB2312" w:eastAsia="仿宋_GB2312" w:hAnsi="Times New Roman" w:cs="仿宋_GB2312"/>
          <w:kern w:val="0"/>
          <w:sz w:val="32"/>
          <w:szCs w:val="32"/>
        </w:rPr>
        <w:t>36</w:t>
      </w:r>
      <w:r w:rsidRPr="003F3F02">
        <w:rPr>
          <w:rFonts w:ascii="仿宋_GB2312" w:eastAsia="仿宋_GB2312" w:hAnsi="Times New Roman" w:cs="仿宋_GB2312" w:hint="eastAsia"/>
          <w:kern w:val="0"/>
          <w:sz w:val="32"/>
          <w:szCs w:val="32"/>
        </w:rPr>
        <w:t>人，其中：在职人员</w:t>
      </w:r>
      <w:r w:rsidRPr="003F3F02">
        <w:rPr>
          <w:rFonts w:ascii="仿宋_GB2312" w:eastAsia="仿宋_GB2312" w:hAnsi="Times New Roman" w:cs="仿宋_GB2312"/>
          <w:kern w:val="0"/>
          <w:sz w:val="32"/>
          <w:szCs w:val="32"/>
        </w:rPr>
        <w:t>31</w:t>
      </w:r>
      <w:r w:rsidRPr="003F3F02">
        <w:rPr>
          <w:rFonts w:ascii="仿宋_GB2312" w:eastAsia="仿宋_GB2312" w:hAnsi="Times New Roman" w:cs="仿宋_GB2312" w:hint="eastAsia"/>
          <w:kern w:val="0"/>
          <w:sz w:val="32"/>
          <w:szCs w:val="32"/>
        </w:rPr>
        <w:t>人，离休人员</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人，退休人员</w:t>
      </w:r>
      <w:r w:rsidRPr="003F3F02">
        <w:rPr>
          <w:rFonts w:ascii="仿宋_GB2312" w:eastAsia="仿宋_GB2312" w:hAnsi="Times New Roman" w:cs="仿宋_GB2312"/>
          <w:kern w:val="0"/>
          <w:sz w:val="32"/>
          <w:szCs w:val="32"/>
        </w:rPr>
        <w:t>5</w:t>
      </w:r>
      <w:r w:rsidRPr="003F3F02">
        <w:rPr>
          <w:rFonts w:ascii="仿宋_GB2312" w:eastAsia="仿宋_GB2312" w:hAnsi="Times New Roman" w:cs="仿宋_GB2312" w:hint="eastAsia"/>
          <w:kern w:val="0"/>
          <w:sz w:val="32"/>
          <w:szCs w:val="32"/>
        </w:rPr>
        <w:t>人。</w:t>
      </w:r>
    </w:p>
    <w:p w:rsidR="003F6B11" w:rsidRPr="003F3F02" w:rsidRDefault="003F6B11" w:rsidP="003F6B11">
      <w:pPr>
        <w:shd w:val="clear" w:color="auto" w:fill="FFFFFF"/>
        <w:autoSpaceDE w:val="0"/>
        <w:autoSpaceDN w:val="0"/>
        <w:adjustRightInd w:val="0"/>
        <w:spacing w:before="100" w:line="360" w:lineRule="auto"/>
        <w:ind w:firstLine="640"/>
        <w:rPr>
          <w:rFonts w:ascii="Times New Roman" w:eastAsia="仿宋_GB2312" w:hAnsi="Times New Roman" w:cs="Times New Roman"/>
          <w:kern w:val="0"/>
          <w:sz w:val="28"/>
          <w:szCs w:val="28"/>
          <w:lang w:val="zh-CN"/>
        </w:rPr>
      </w:pPr>
      <w:r w:rsidRPr="003F3F02">
        <w:rPr>
          <w:rFonts w:ascii="仿宋_GB2312" w:eastAsia="仿宋_GB2312" w:hAnsi="Times New Roman" w:cs="仿宋_GB2312" w:hint="eastAsia"/>
          <w:kern w:val="0"/>
          <w:sz w:val="32"/>
          <w:szCs w:val="32"/>
        </w:rPr>
        <w:lastRenderedPageBreak/>
        <w:t>从部门决算单位构成看，乌鲁木齐市米东区第</w:t>
      </w:r>
      <w:r w:rsidRPr="003F3F02">
        <w:rPr>
          <w:rFonts w:ascii="仿宋_GB2312" w:eastAsia="仿宋_GB2312" w:hAnsi="Times New Roman" w:cs="仿宋_GB2312"/>
          <w:kern w:val="0"/>
          <w:sz w:val="32"/>
          <w:szCs w:val="32"/>
        </w:rPr>
        <w:t>98</w:t>
      </w:r>
      <w:r w:rsidRPr="003F3F02">
        <w:rPr>
          <w:rFonts w:ascii="仿宋_GB2312" w:eastAsia="仿宋_GB2312" w:hAnsi="Times New Roman" w:cs="仿宋_GB2312" w:hint="eastAsia"/>
          <w:kern w:val="0"/>
          <w:sz w:val="32"/>
          <w:szCs w:val="32"/>
        </w:rPr>
        <w:t>小学部门决算包括：乌鲁木齐市米东区第</w:t>
      </w:r>
      <w:r w:rsidRPr="003F3F02">
        <w:rPr>
          <w:rFonts w:ascii="仿宋_GB2312" w:eastAsia="仿宋_GB2312" w:hAnsi="Times New Roman" w:cs="仿宋_GB2312"/>
          <w:kern w:val="0"/>
          <w:sz w:val="32"/>
          <w:szCs w:val="32"/>
        </w:rPr>
        <w:t>98</w:t>
      </w:r>
      <w:r w:rsidRPr="003F3F02">
        <w:rPr>
          <w:rFonts w:ascii="仿宋_GB2312" w:eastAsia="仿宋_GB2312" w:hAnsi="Times New Roman" w:cs="仿宋_GB2312" w:hint="eastAsia"/>
          <w:kern w:val="0"/>
          <w:sz w:val="32"/>
          <w:szCs w:val="32"/>
        </w:rPr>
        <w:t>小学</w:t>
      </w:r>
      <w:r w:rsidRPr="003F3F02">
        <w:rPr>
          <w:rFonts w:ascii="仿宋_GB2312" w:eastAsia="仿宋_GB2312" w:hAnsi="Times New Roman" w:cs="仿宋_GB2312" w:hint="eastAsia"/>
          <w:kern w:val="0"/>
          <w:sz w:val="32"/>
          <w:szCs w:val="32"/>
          <w:lang w:val="zh-CN"/>
        </w:rPr>
        <w:t>决算。单位无下属预算单位，下设</w:t>
      </w:r>
      <w:r w:rsidRPr="003F3F02">
        <w:rPr>
          <w:rFonts w:ascii="仿宋_GB2312" w:eastAsia="仿宋_GB2312" w:hAnsi="Times New Roman" w:cs="仿宋_GB2312" w:hint="eastAsia"/>
          <w:kern w:val="0"/>
          <w:sz w:val="32"/>
          <w:szCs w:val="32"/>
        </w:rPr>
        <w:t>10个科室，分别是：教研室、美术室、音乐室、舞蹈室、体育器材室、计算机室、图书室、阅览室、广播室、多媒体教室等科室</w:t>
      </w:r>
      <w:r w:rsidRPr="003F3F02">
        <w:rPr>
          <w:rFonts w:ascii="仿宋_GB2312" w:eastAsia="仿宋_GB2312" w:hAnsi="Times New Roman" w:cs="仿宋_GB2312" w:hint="eastAsia"/>
          <w:kern w:val="0"/>
          <w:sz w:val="32"/>
          <w:szCs w:val="32"/>
          <w:lang w:val="zh-CN"/>
        </w:rPr>
        <w:t>。</w:t>
      </w:r>
    </w:p>
    <w:p w:rsidR="003F6B11" w:rsidRPr="003F3F02" w:rsidRDefault="003F6B11" w:rsidP="003F6B11">
      <w:pPr>
        <w:shd w:val="clear" w:color="auto" w:fill="FFFFFF"/>
        <w:autoSpaceDE w:val="0"/>
        <w:autoSpaceDN w:val="0"/>
        <w:adjustRightInd w:val="0"/>
        <w:spacing w:before="100" w:after="240"/>
        <w:jc w:val="center"/>
        <w:rPr>
          <w:rFonts w:ascii="Times New Roman" w:eastAsia="黑体" w:hAnsi="Times New Roman" w:cs="Times New Roman"/>
          <w:kern w:val="0"/>
          <w:sz w:val="28"/>
          <w:szCs w:val="28"/>
          <w:rtl/>
        </w:rPr>
      </w:pPr>
      <w:r w:rsidRPr="003F3F02">
        <w:rPr>
          <w:rFonts w:ascii="黑体" w:eastAsia="黑体" w:hAnsi="Times New Roman" w:cs="黑体" w:hint="eastAsia"/>
          <w:kern w:val="0"/>
          <w:sz w:val="32"/>
          <w:szCs w:val="32"/>
        </w:rPr>
        <w:t>第二部分</w:t>
      </w:r>
      <w:r w:rsidRPr="003F3F02">
        <w:rPr>
          <w:rFonts w:ascii="黑体" w:eastAsia="黑体" w:hAnsi="Times New Roman" w:cs="黑体"/>
          <w:kern w:val="0"/>
          <w:sz w:val="32"/>
          <w:szCs w:val="32"/>
        </w:rPr>
        <w:t xml:space="preserve"> </w:t>
      </w:r>
      <w:r w:rsidRPr="003F3F02">
        <w:rPr>
          <w:rFonts w:ascii="黑体" w:eastAsia="黑体" w:hAnsi="Times New Roman" w:cs="黑体" w:hint="eastAsia"/>
          <w:kern w:val="0"/>
          <w:sz w:val="32"/>
          <w:szCs w:val="32"/>
        </w:rPr>
        <w:t>部门决算情况说明</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一、收入支出决算总体情况说明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年度本年收入</w:t>
      </w:r>
      <w:r w:rsidRPr="003F3F02">
        <w:rPr>
          <w:rFonts w:ascii="仿宋_GB2312" w:eastAsia="仿宋_GB2312" w:hAnsi="Times New Roman" w:cs="仿宋_GB2312"/>
          <w:kern w:val="0"/>
          <w:sz w:val="32"/>
          <w:szCs w:val="32"/>
        </w:rPr>
        <w:t>669.76</w:t>
      </w:r>
      <w:r w:rsidRPr="003F3F02">
        <w:rPr>
          <w:rFonts w:ascii="仿宋_GB2312" w:eastAsia="仿宋_GB2312" w:hAnsi="Times New Roman" w:cs="仿宋_GB2312" w:hint="eastAsia"/>
          <w:kern w:val="0"/>
          <w:sz w:val="32"/>
          <w:szCs w:val="32"/>
        </w:rPr>
        <w:t>万元，与上年相比，增加</w:t>
      </w:r>
      <w:r w:rsidRPr="003F3F02">
        <w:rPr>
          <w:rFonts w:ascii="仿宋_GB2312" w:eastAsia="仿宋_GB2312" w:hAnsi="Times New Roman" w:cs="仿宋_GB2312"/>
          <w:kern w:val="0"/>
          <w:sz w:val="32"/>
          <w:szCs w:val="32"/>
        </w:rPr>
        <w:t>76.13</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12.82%</w:t>
      </w:r>
      <w:r w:rsidRPr="003F3F02">
        <w:rPr>
          <w:rFonts w:ascii="仿宋_GB2312" w:eastAsia="仿宋_GB2312" w:hAnsi="Times New Roman" w:cs="仿宋_GB2312" w:hint="eastAsia"/>
          <w:kern w:val="0"/>
          <w:sz w:val="32"/>
          <w:szCs w:val="32"/>
        </w:rPr>
        <w:t>，主要原因是</w:t>
      </w:r>
      <w:r w:rsidRPr="003F3F02">
        <w:rPr>
          <w:rFonts w:ascii="仿宋_GB2312" w:eastAsia="仿宋_GB2312" w:hAnsi="Times New Roman" w:cs="仿宋_GB2312"/>
          <w:kern w:val="0"/>
          <w:sz w:val="32"/>
          <w:szCs w:val="32"/>
        </w:rPr>
        <w:t>:</w:t>
      </w:r>
      <w:r w:rsidRPr="003F3F02">
        <w:rPr>
          <w:rFonts w:ascii="仿宋_GB2312" w:eastAsia="仿宋_GB2312" w:hAnsi="Times New Roman" w:cs="仿宋_GB2312" w:hint="eastAsia"/>
          <w:kern w:val="0"/>
          <w:sz w:val="32"/>
          <w:szCs w:val="32"/>
        </w:rPr>
        <w:t>非寄宿制贫困生补助拨款增加，生均公用经费标准提高，新增教师及在职人员工资增加、疫情补助经费增加、代课教师工资标准提高。本年支出</w:t>
      </w:r>
      <w:r w:rsidRPr="003F3F02">
        <w:rPr>
          <w:rFonts w:ascii="仿宋_GB2312" w:eastAsia="仿宋_GB2312" w:hAnsi="Times New Roman" w:cs="仿宋_GB2312"/>
          <w:kern w:val="0"/>
          <w:sz w:val="32"/>
          <w:szCs w:val="32"/>
        </w:rPr>
        <w:t>660.33</w:t>
      </w:r>
      <w:r w:rsidRPr="003F3F02">
        <w:rPr>
          <w:rFonts w:ascii="仿宋_GB2312" w:eastAsia="仿宋_GB2312" w:hAnsi="Times New Roman" w:cs="仿宋_GB2312" w:hint="eastAsia"/>
          <w:kern w:val="0"/>
          <w:sz w:val="32"/>
          <w:szCs w:val="32"/>
        </w:rPr>
        <w:t>万元，与上年相比，增加</w:t>
      </w:r>
      <w:r w:rsidRPr="003F3F02">
        <w:rPr>
          <w:rFonts w:ascii="仿宋_GB2312" w:eastAsia="仿宋_GB2312" w:hAnsi="Times New Roman" w:cs="仿宋_GB2312"/>
          <w:kern w:val="0"/>
          <w:sz w:val="32"/>
          <w:szCs w:val="32"/>
        </w:rPr>
        <w:t>73.50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12.52%</w:t>
      </w:r>
      <w:r w:rsidRPr="003F3F02">
        <w:rPr>
          <w:rFonts w:ascii="仿宋_GB2312" w:eastAsia="仿宋_GB2312" w:hAnsi="Times New Roman" w:cs="仿宋_GB2312" w:hint="eastAsia"/>
          <w:kern w:val="0"/>
          <w:sz w:val="32"/>
          <w:szCs w:val="32"/>
        </w:rPr>
        <w:t>，主要原因是</w:t>
      </w:r>
      <w:r w:rsidRPr="003F3F02">
        <w:rPr>
          <w:rFonts w:ascii="仿宋_GB2312" w:eastAsia="仿宋_GB2312" w:hAnsi="Times New Roman" w:cs="仿宋_GB2312"/>
          <w:kern w:val="0"/>
          <w:sz w:val="32"/>
          <w:szCs w:val="32"/>
        </w:rPr>
        <w:t>:</w:t>
      </w:r>
      <w:r w:rsidRPr="003F3F02">
        <w:rPr>
          <w:rFonts w:ascii="仿宋_GB2312" w:eastAsia="仿宋_GB2312" w:hAnsi="Times New Roman" w:cs="仿宋_GB2312" w:hint="eastAsia"/>
          <w:kern w:val="0"/>
          <w:sz w:val="32"/>
          <w:szCs w:val="32"/>
        </w:rPr>
        <w:t>非寄宿制贫困生补助开支增加，疫情公用经费支出增加，在职教师及代课教师人员工资增加。</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rPr>
      </w:pPr>
      <w:r w:rsidRPr="003F3F02">
        <w:rPr>
          <w:rFonts w:ascii="黑体" w:eastAsia="黑体" w:hAnsi="Times New Roman" w:cs="黑体" w:hint="eastAsia"/>
          <w:sz w:val="32"/>
          <w:szCs w:val="32"/>
          <w:lang w:val="zh-CN"/>
        </w:rPr>
        <w:t>二、收入决算情况说明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年度本年收入</w:t>
      </w:r>
      <w:r w:rsidRPr="003F3F02">
        <w:rPr>
          <w:rFonts w:ascii="仿宋_GB2312" w:eastAsia="仿宋_GB2312" w:hAnsi="Times New Roman" w:cs="仿宋_GB2312"/>
          <w:kern w:val="0"/>
          <w:sz w:val="32"/>
          <w:szCs w:val="32"/>
        </w:rPr>
        <w:t>669.76</w:t>
      </w:r>
      <w:r w:rsidRPr="003F3F02">
        <w:rPr>
          <w:rFonts w:ascii="仿宋_GB2312" w:eastAsia="仿宋_GB2312" w:hAnsi="Times New Roman" w:cs="仿宋_GB2312" w:hint="eastAsia"/>
          <w:kern w:val="0"/>
          <w:sz w:val="32"/>
          <w:szCs w:val="32"/>
        </w:rPr>
        <w:t>万元，其中：财政拨款收入</w:t>
      </w:r>
      <w:r w:rsidRPr="003F3F02">
        <w:rPr>
          <w:rFonts w:ascii="仿宋_GB2312" w:eastAsia="仿宋_GB2312" w:hAnsi="Times New Roman" w:cs="仿宋_GB2312"/>
          <w:kern w:val="0"/>
          <w:sz w:val="32"/>
          <w:szCs w:val="32"/>
        </w:rPr>
        <w:t>669.76</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100.00%</w:t>
      </w:r>
      <w:r w:rsidRPr="003F3F02">
        <w:rPr>
          <w:rFonts w:ascii="仿宋_GB2312" w:eastAsia="仿宋_GB2312" w:hAnsi="Times New Roman" w:cs="仿宋_GB2312" w:hint="eastAsia"/>
          <w:kern w:val="0"/>
          <w:sz w:val="32"/>
          <w:szCs w:val="32"/>
        </w:rPr>
        <w:t>；上级补助收入</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；事业收入</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；经营收入</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；附属单位上缴收入</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；其他收入</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rPr>
      </w:pPr>
      <w:r w:rsidRPr="003F3F02">
        <w:rPr>
          <w:rFonts w:ascii="黑体" w:eastAsia="黑体" w:hAnsi="Times New Roman" w:cs="黑体" w:hint="eastAsia"/>
          <w:sz w:val="32"/>
          <w:szCs w:val="32"/>
          <w:lang w:val="zh-CN"/>
        </w:rPr>
        <w:t>三、支出决算情况说明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lastRenderedPageBreak/>
        <w:t>2020</w:t>
      </w:r>
      <w:r w:rsidRPr="003F3F02">
        <w:rPr>
          <w:rFonts w:ascii="仿宋_GB2312" w:eastAsia="仿宋_GB2312" w:hAnsi="Times New Roman" w:cs="仿宋_GB2312" w:hint="eastAsia"/>
          <w:kern w:val="0"/>
          <w:sz w:val="32"/>
          <w:szCs w:val="32"/>
        </w:rPr>
        <w:t>年度本年支出</w:t>
      </w:r>
      <w:r w:rsidRPr="003F3F02">
        <w:rPr>
          <w:rFonts w:ascii="仿宋_GB2312" w:eastAsia="仿宋_GB2312" w:hAnsi="Times New Roman" w:cs="仿宋_GB2312"/>
          <w:kern w:val="0"/>
          <w:sz w:val="32"/>
          <w:szCs w:val="32"/>
        </w:rPr>
        <w:t>660.33</w:t>
      </w:r>
      <w:r w:rsidRPr="003F3F02">
        <w:rPr>
          <w:rFonts w:ascii="仿宋_GB2312" w:eastAsia="仿宋_GB2312" w:hAnsi="Times New Roman" w:cs="仿宋_GB2312" w:hint="eastAsia"/>
          <w:kern w:val="0"/>
          <w:sz w:val="32"/>
          <w:szCs w:val="32"/>
        </w:rPr>
        <w:t>万元，其中：基本支出</w:t>
      </w:r>
      <w:r w:rsidRPr="003F3F02">
        <w:rPr>
          <w:rFonts w:ascii="仿宋_GB2312" w:eastAsia="仿宋_GB2312" w:hAnsi="Times New Roman" w:cs="仿宋_GB2312"/>
          <w:kern w:val="0"/>
          <w:sz w:val="32"/>
          <w:szCs w:val="32"/>
        </w:rPr>
        <w:t>588.81</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89.17%</w:t>
      </w:r>
      <w:r w:rsidRPr="003F3F02">
        <w:rPr>
          <w:rFonts w:ascii="仿宋_GB2312" w:eastAsia="仿宋_GB2312" w:hAnsi="Times New Roman" w:cs="仿宋_GB2312" w:hint="eastAsia"/>
          <w:kern w:val="0"/>
          <w:sz w:val="32"/>
          <w:szCs w:val="32"/>
        </w:rPr>
        <w:t>；项目支出</w:t>
      </w:r>
      <w:r w:rsidRPr="003F3F02">
        <w:rPr>
          <w:rFonts w:ascii="仿宋_GB2312" w:eastAsia="仿宋_GB2312" w:hAnsi="Times New Roman" w:cs="仿宋_GB2312"/>
          <w:kern w:val="0"/>
          <w:sz w:val="32"/>
          <w:szCs w:val="32"/>
        </w:rPr>
        <w:t>71.52</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10.83%</w:t>
      </w:r>
      <w:r w:rsidRPr="003F3F02">
        <w:rPr>
          <w:rFonts w:ascii="仿宋_GB2312" w:eastAsia="仿宋_GB2312" w:hAnsi="Times New Roman" w:cs="仿宋_GB2312" w:hint="eastAsia"/>
          <w:kern w:val="0"/>
          <w:sz w:val="32"/>
          <w:szCs w:val="32"/>
        </w:rPr>
        <w:t>；上缴上级支出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；经营支出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；对附属单位补助支出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四、财政拨款收入支出决算总体情况说明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年度财政拨款收入</w:t>
      </w:r>
      <w:r w:rsidRPr="003F3F02">
        <w:rPr>
          <w:rFonts w:ascii="仿宋_GB2312" w:eastAsia="仿宋_GB2312" w:hAnsi="Times New Roman" w:cs="仿宋_GB2312"/>
          <w:kern w:val="0"/>
          <w:sz w:val="32"/>
          <w:szCs w:val="32"/>
        </w:rPr>
        <w:t>669.76</w:t>
      </w:r>
      <w:r w:rsidRPr="003F3F02">
        <w:rPr>
          <w:rFonts w:ascii="仿宋_GB2312" w:eastAsia="仿宋_GB2312" w:hAnsi="Times New Roman" w:cs="仿宋_GB2312" w:hint="eastAsia"/>
          <w:kern w:val="0"/>
          <w:sz w:val="32"/>
          <w:szCs w:val="32"/>
        </w:rPr>
        <w:t>万元，与上年相比，增加</w:t>
      </w:r>
      <w:r w:rsidRPr="003F3F02">
        <w:rPr>
          <w:rFonts w:ascii="仿宋_GB2312" w:eastAsia="仿宋_GB2312" w:hAnsi="Times New Roman" w:cs="仿宋_GB2312"/>
          <w:kern w:val="0"/>
          <w:sz w:val="32"/>
          <w:szCs w:val="32"/>
        </w:rPr>
        <w:t>76.13</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12.82%</w:t>
      </w:r>
      <w:r w:rsidRPr="003F3F02">
        <w:rPr>
          <w:rFonts w:ascii="仿宋_GB2312" w:eastAsia="仿宋_GB2312" w:hAnsi="Times New Roman" w:cs="仿宋_GB2312" w:hint="eastAsia"/>
          <w:kern w:val="0"/>
          <w:sz w:val="32"/>
          <w:szCs w:val="32"/>
        </w:rPr>
        <w:t>，主要原因是：非寄宿制贫困生补助拨款增加，生均公用经费标准提高，新增教师及在职人员工资增加、疫情补助经费增加、代课教师工资标准提高。财政拨款支出</w:t>
      </w:r>
      <w:r w:rsidRPr="003F3F02">
        <w:rPr>
          <w:rFonts w:ascii="仿宋_GB2312" w:eastAsia="仿宋_GB2312" w:hAnsi="Times New Roman" w:cs="仿宋_GB2312"/>
          <w:kern w:val="0"/>
          <w:sz w:val="32"/>
          <w:szCs w:val="32"/>
        </w:rPr>
        <w:t>660.33</w:t>
      </w:r>
      <w:r w:rsidRPr="003F3F02">
        <w:rPr>
          <w:rFonts w:ascii="仿宋_GB2312" w:eastAsia="仿宋_GB2312" w:hAnsi="Times New Roman" w:cs="仿宋_GB2312" w:hint="eastAsia"/>
          <w:kern w:val="0"/>
          <w:sz w:val="32"/>
          <w:szCs w:val="32"/>
        </w:rPr>
        <w:t>万元，与上年相比，增加</w:t>
      </w:r>
      <w:r w:rsidRPr="003F3F02">
        <w:rPr>
          <w:rFonts w:ascii="仿宋_GB2312" w:eastAsia="仿宋_GB2312" w:hAnsi="Times New Roman" w:cs="仿宋_GB2312"/>
          <w:kern w:val="0"/>
          <w:sz w:val="32"/>
          <w:szCs w:val="32"/>
        </w:rPr>
        <w:t>73.50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12.52%</w:t>
      </w:r>
      <w:r w:rsidRPr="003F3F02">
        <w:rPr>
          <w:rFonts w:ascii="仿宋_GB2312" w:eastAsia="仿宋_GB2312" w:hAnsi="Times New Roman" w:cs="仿宋_GB2312" w:hint="eastAsia"/>
          <w:kern w:val="0"/>
          <w:sz w:val="32"/>
          <w:szCs w:val="32"/>
        </w:rPr>
        <w:t>，主要原因是：非寄宿制贫困生补助拨款增加，生均公用经费标准提高，新增教师及在职人员工资增加、疫情补助经费增加、代课教师工资标准提高。</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与年初预算数相比情况</w:t>
      </w:r>
      <w:r w:rsidRPr="003F3F02">
        <w:rPr>
          <w:rFonts w:ascii="仿宋_GB2312" w:eastAsia="仿宋_GB2312" w:hAnsi="Times New Roman" w:cs="仿宋_GB2312"/>
          <w:kern w:val="0"/>
          <w:sz w:val="32"/>
          <w:szCs w:val="32"/>
        </w:rPr>
        <w:t>:</w:t>
      </w:r>
      <w:r w:rsidRPr="003F3F02">
        <w:rPr>
          <w:rFonts w:ascii="仿宋_GB2312" w:eastAsia="仿宋_GB2312" w:hAnsi="Times New Roman" w:cs="仿宋_GB2312" w:hint="eastAsia"/>
          <w:kern w:val="0"/>
          <w:sz w:val="32"/>
          <w:szCs w:val="32"/>
        </w:rPr>
        <w:t>财政拨款收入年初预算数</w:t>
      </w:r>
      <w:r w:rsidRPr="003F3F02">
        <w:rPr>
          <w:rFonts w:ascii="仿宋_GB2312" w:eastAsia="仿宋_GB2312" w:hAnsi="Times New Roman" w:cs="仿宋_GB2312"/>
          <w:kern w:val="0"/>
          <w:sz w:val="32"/>
          <w:szCs w:val="32"/>
        </w:rPr>
        <w:t>523.47</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669.76</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27.95%</w:t>
      </w:r>
      <w:r w:rsidRPr="003F3F02">
        <w:rPr>
          <w:rFonts w:ascii="仿宋_GB2312" w:eastAsia="仿宋_GB2312" w:hAnsi="Times New Roman" w:cs="仿宋_GB2312" w:hint="eastAsia"/>
          <w:kern w:val="0"/>
          <w:sz w:val="32"/>
          <w:szCs w:val="32"/>
        </w:rPr>
        <w:t>，主要原因是：城乡保障机制资金、贫困生生活补助费、疫情补助经费、代课金、新增教师工资及在职教师调标工资。财政拨款支出年初预算数</w:t>
      </w:r>
      <w:r w:rsidRPr="003F3F02">
        <w:rPr>
          <w:rFonts w:ascii="仿宋_GB2312" w:eastAsia="仿宋_GB2312" w:hAnsi="Times New Roman" w:cs="仿宋_GB2312"/>
          <w:kern w:val="0"/>
          <w:sz w:val="32"/>
          <w:szCs w:val="32"/>
        </w:rPr>
        <w:t>523.47</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660.33</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26.14%</w:t>
      </w:r>
      <w:r w:rsidRPr="003F3F02">
        <w:rPr>
          <w:rFonts w:ascii="仿宋_GB2312" w:eastAsia="仿宋_GB2312" w:hAnsi="Times New Roman" w:cs="仿宋_GB2312" w:hint="eastAsia"/>
          <w:kern w:val="0"/>
          <w:sz w:val="32"/>
          <w:szCs w:val="32"/>
        </w:rPr>
        <w:t>，主要原因是</w:t>
      </w:r>
      <w:r w:rsidRPr="003F3F02">
        <w:rPr>
          <w:rFonts w:ascii="仿宋_GB2312" w:eastAsia="仿宋_GB2312" w:hAnsi="Times New Roman" w:cs="仿宋_GB2312"/>
          <w:kern w:val="0"/>
          <w:sz w:val="32"/>
          <w:szCs w:val="32"/>
        </w:rPr>
        <w:t>:</w:t>
      </w:r>
      <w:r w:rsidRPr="003F3F02">
        <w:rPr>
          <w:rFonts w:ascii="仿宋_GB2312" w:eastAsia="仿宋_GB2312" w:hAnsi="Times New Roman" w:cs="仿宋_GB2312" w:hint="eastAsia"/>
          <w:kern w:val="0"/>
          <w:sz w:val="32"/>
          <w:szCs w:val="32"/>
        </w:rPr>
        <w:t>非寄宿制贫困生补助支出增加，新增教师及在职人员工资支出增加、疫情补助经费支出增加、代课教师工资支出增加。</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lastRenderedPageBreak/>
        <w:t>五、一般公共预算财政拨款支出决算情况说明</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年度一般公共预算财政拨款支出</w:t>
      </w:r>
      <w:r w:rsidRPr="003F3F02">
        <w:rPr>
          <w:rFonts w:ascii="仿宋_GB2312" w:eastAsia="仿宋_GB2312" w:hAnsi="Times New Roman" w:cs="仿宋_GB2312"/>
          <w:kern w:val="0"/>
          <w:sz w:val="32"/>
          <w:szCs w:val="32"/>
        </w:rPr>
        <w:t>660.33</w:t>
      </w:r>
      <w:r w:rsidRPr="003F3F02">
        <w:rPr>
          <w:rFonts w:ascii="仿宋_GB2312" w:eastAsia="仿宋_GB2312" w:hAnsi="Times New Roman" w:cs="仿宋_GB2312" w:hint="eastAsia"/>
          <w:kern w:val="0"/>
          <w:sz w:val="32"/>
          <w:szCs w:val="32"/>
        </w:rPr>
        <w:t>万元。按功能分类科目项级科目公开，其中：</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2050202小学教育609.39万元；</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2050299其他普通教育支出10.00万元；</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2080208基层政权建设和社区治理0.54万元；</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2080505机关事业单位基本养老保险缴费支出40.40万元。</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六、一般公共预算财政拨款基本支出决算情况说明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年度一般公共预算财政拨款基本支出</w:t>
      </w:r>
      <w:r w:rsidRPr="003F3F02">
        <w:rPr>
          <w:rFonts w:ascii="仿宋_GB2312" w:eastAsia="仿宋_GB2312" w:hAnsi="Times New Roman" w:cs="仿宋_GB2312"/>
          <w:kern w:val="0"/>
          <w:sz w:val="32"/>
          <w:szCs w:val="32"/>
        </w:rPr>
        <w:t>588.81</w:t>
      </w:r>
      <w:r w:rsidRPr="003F3F02">
        <w:rPr>
          <w:rFonts w:ascii="仿宋_GB2312" w:eastAsia="仿宋_GB2312" w:hAnsi="Times New Roman" w:cs="仿宋_GB2312" w:hint="eastAsia"/>
          <w:kern w:val="0"/>
          <w:sz w:val="32"/>
          <w:szCs w:val="32"/>
        </w:rPr>
        <w:t>万元，其中：</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人员经费</w:t>
      </w:r>
      <w:r w:rsidRPr="003F3F02">
        <w:rPr>
          <w:rFonts w:ascii="仿宋_GB2312" w:eastAsia="仿宋_GB2312" w:hAnsi="Times New Roman" w:cs="仿宋_GB2312"/>
          <w:kern w:val="0"/>
          <w:sz w:val="32"/>
          <w:szCs w:val="32"/>
        </w:rPr>
        <w:t>428.10</w:t>
      </w:r>
      <w:r w:rsidRPr="003F3F02">
        <w:rPr>
          <w:rFonts w:ascii="仿宋_GB2312" w:eastAsia="仿宋_GB2312" w:hAnsi="Times New Roman" w:cs="仿宋_GB2312" w:hint="eastAsia"/>
          <w:kern w:val="0"/>
          <w:sz w:val="32"/>
          <w:szCs w:val="32"/>
        </w:rPr>
        <w:t>万元，包括：基本工资、津贴补贴、奖金、绩效工资、机关事业单位基本养老保险缴费、职工基本医疗保险缴费、公务员医疗补助缴费、其他社会保障缴费、住房公积金、退休费、助学金、奖励金、其他对个人和家庭的补助。</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公用经费</w:t>
      </w:r>
      <w:r w:rsidRPr="003F3F02">
        <w:rPr>
          <w:rFonts w:ascii="仿宋_GB2312" w:eastAsia="仿宋_GB2312" w:hAnsi="Times New Roman" w:cs="仿宋_GB2312"/>
          <w:kern w:val="0"/>
          <w:sz w:val="32"/>
          <w:szCs w:val="32"/>
        </w:rPr>
        <w:t>160.71</w:t>
      </w:r>
      <w:r w:rsidRPr="003F3F02">
        <w:rPr>
          <w:rFonts w:ascii="仿宋_GB2312" w:eastAsia="仿宋_GB2312" w:hAnsi="Times New Roman" w:cs="仿宋_GB2312" w:hint="eastAsia"/>
          <w:kern w:val="0"/>
          <w:sz w:val="32"/>
          <w:szCs w:val="32"/>
        </w:rPr>
        <w:t>万元，包括：办公费、印刷</w:t>
      </w:r>
      <w:bookmarkStart w:id="0" w:name="_GoBack"/>
      <w:bookmarkEnd w:id="0"/>
      <w:r w:rsidRPr="003F3F02">
        <w:rPr>
          <w:rFonts w:ascii="仿宋_GB2312" w:eastAsia="仿宋_GB2312" w:hAnsi="Times New Roman" w:cs="仿宋_GB2312" w:hint="eastAsia"/>
          <w:kern w:val="0"/>
          <w:sz w:val="32"/>
          <w:szCs w:val="32"/>
        </w:rPr>
        <w:t>费、手续费、水费、电费、邮电费、取暖费、物业管理费、维修（护）费、培训费、专用材料费、劳务费、工会经费、福利费、其他商品和服务支出、办公设备购置。</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rPr>
      </w:pPr>
      <w:r w:rsidRPr="003F3F02">
        <w:rPr>
          <w:rFonts w:ascii="黑体" w:eastAsia="黑体" w:hAnsi="Times New Roman" w:cs="黑体" w:hint="eastAsia"/>
          <w:sz w:val="32"/>
          <w:szCs w:val="32"/>
          <w:lang w:val="zh-CN"/>
        </w:rPr>
        <w:t>七、一般公共预算财政拨款</w:t>
      </w:r>
      <w:r w:rsidRPr="003F3F02">
        <w:rPr>
          <w:rFonts w:ascii="Times New Roman" w:eastAsia="黑体" w:hAnsi="Times New Roman" w:cs="Times New Roman"/>
          <w:sz w:val="32"/>
          <w:szCs w:val="32"/>
        </w:rPr>
        <w:t>“</w:t>
      </w:r>
      <w:r w:rsidRPr="003F3F02">
        <w:rPr>
          <w:rFonts w:ascii="黑体" w:eastAsia="黑体" w:hAnsi="Times New Roman" w:cs="黑体" w:hint="eastAsia"/>
          <w:sz w:val="32"/>
          <w:szCs w:val="32"/>
          <w:lang w:val="zh-CN"/>
        </w:rPr>
        <w:t>三公</w:t>
      </w:r>
      <w:r w:rsidRPr="003F3F02">
        <w:rPr>
          <w:rFonts w:ascii="Times New Roman" w:eastAsia="黑体" w:hAnsi="Times New Roman" w:cs="Times New Roman"/>
          <w:sz w:val="32"/>
          <w:szCs w:val="32"/>
        </w:rPr>
        <w:t>”</w:t>
      </w:r>
      <w:r w:rsidRPr="003F3F02">
        <w:rPr>
          <w:rFonts w:ascii="黑体" w:eastAsia="黑体" w:hAnsi="Times New Roman" w:cs="黑体" w:hint="eastAsia"/>
          <w:sz w:val="32"/>
          <w:szCs w:val="32"/>
          <w:lang w:val="zh-CN"/>
        </w:rPr>
        <w:t>经费支出决算情况说明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年度一般公共预算</w:t>
      </w:r>
      <w:r w:rsidRPr="003F3F02">
        <w:rPr>
          <w:rFonts w:ascii="Times New Roman" w:eastAsia="仿宋_GB2312" w:hAnsi="Times New Roman" w:cs="Times New Roman"/>
          <w:kern w:val="0"/>
          <w:sz w:val="32"/>
          <w:szCs w:val="32"/>
        </w:rPr>
        <w:t>“</w:t>
      </w:r>
      <w:r w:rsidRPr="003F3F02">
        <w:rPr>
          <w:rFonts w:ascii="仿宋_GB2312" w:eastAsia="仿宋_GB2312" w:hAnsi="Times New Roman" w:cs="仿宋_GB2312" w:hint="eastAsia"/>
          <w:kern w:val="0"/>
          <w:sz w:val="32"/>
          <w:szCs w:val="32"/>
        </w:rPr>
        <w:t>三公</w:t>
      </w:r>
      <w:r w:rsidRPr="003F3F02">
        <w:rPr>
          <w:rFonts w:ascii="Times New Roman" w:eastAsia="仿宋_GB2312" w:hAnsi="Times New Roman" w:cs="Times New Roman"/>
          <w:kern w:val="0"/>
          <w:sz w:val="32"/>
          <w:szCs w:val="32"/>
        </w:rPr>
        <w:t>”</w:t>
      </w:r>
      <w:r w:rsidRPr="003F3F02">
        <w:rPr>
          <w:rFonts w:ascii="仿宋_GB2312" w:eastAsia="仿宋_GB2312" w:hAnsi="Times New Roman" w:cs="仿宋_GB2312" w:hint="eastAsia"/>
          <w:kern w:val="0"/>
          <w:sz w:val="32"/>
          <w:szCs w:val="32"/>
        </w:rPr>
        <w:t>经费支出决算</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万元，比上年增加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w:t>
      </w:r>
      <w:r w:rsidRPr="003F3F02">
        <w:rPr>
          <w:rFonts w:ascii="仿宋_GB2312" w:eastAsia="仿宋_GB2312" w:hAnsi="Times New Roman" w:cs="仿宋_GB2312" w:hint="eastAsia"/>
          <w:kern w:val="0"/>
          <w:sz w:val="32"/>
          <w:szCs w:val="32"/>
        </w:rPr>
        <w:lastRenderedPageBreak/>
        <w:t>其中，因公出国（境）费支出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，比上年增加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，主要原因是本单位无此项支出；公务用车购置及运行维护费支出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，比上年增加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，主要原因是本单位无此项支出；公务接待费支出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，比上年增加</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，主要原因是本单位无此项支出。具体情况如下：</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因公出国（境）费支出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万元，开支内容包括：本单位无此项支出。单位全年安排的因公出国（境）团组</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个，因公出国（境）</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人次。</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公务用车购置及运行维护费</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万元，其中，公务用车购置费</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万元，公务用车运行维护费</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万元。公务用车运行维护费开支内容包括本单位无此项支出。公务用车购置数</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辆，公务用车保有量</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公务接待费</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万元，开支内容包括：本单位无此项支出。单位全年安排的国内公务接待</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批次，</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人次。</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与年初预算</w:t>
      </w:r>
      <w:r w:rsidRPr="003F3F02">
        <w:rPr>
          <w:rFonts w:ascii="仿宋_GB2312" w:eastAsia="仿宋_GB2312" w:hAnsi="Times New Roman" w:cs="仿宋_GB2312" w:hint="eastAsia"/>
          <w:kern w:val="0"/>
          <w:sz w:val="32"/>
          <w:szCs w:val="32"/>
          <w:lang w:val="zh-CN"/>
        </w:rPr>
        <w:t>数</w:t>
      </w:r>
      <w:r w:rsidRPr="003F3F02">
        <w:rPr>
          <w:rFonts w:ascii="仿宋_GB2312" w:eastAsia="仿宋_GB2312" w:hAnsi="Times New Roman" w:cs="仿宋_GB2312" w:hint="eastAsia"/>
          <w:kern w:val="0"/>
          <w:sz w:val="32"/>
          <w:szCs w:val="32"/>
        </w:rPr>
        <w:t>相比情况</w:t>
      </w:r>
      <w:r w:rsidRPr="003F3F02">
        <w:rPr>
          <w:rFonts w:ascii="仿宋_GB2312" w:eastAsia="仿宋_GB2312" w:hAnsi="Times New Roman" w:cs="仿宋_GB2312"/>
          <w:kern w:val="0"/>
          <w:sz w:val="32"/>
          <w:szCs w:val="32"/>
        </w:rPr>
        <w:t>:</w:t>
      </w:r>
      <w:r w:rsidRPr="003F3F02">
        <w:rPr>
          <w:rFonts w:ascii="仿宋_GB2312" w:eastAsia="仿宋_GB2312" w:hAnsi="Times New Roman" w:cs="仿宋_GB2312" w:hint="eastAsia"/>
          <w:kern w:val="0"/>
          <w:sz w:val="32"/>
          <w:szCs w:val="32"/>
        </w:rPr>
        <w:t>一般公共预算</w:t>
      </w:r>
      <w:r w:rsidRPr="003F3F02">
        <w:rPr>
          <w:rFonts w:ascii="Times New Roman" w:eastAsia="仿宋_GB2312" w:hAnsi="Times New Roman" w:cs="Times New Roman"/>
          <w:kern w:val="0"/>
          <w:sz w:val="32"/>
          <w:szCs w:val="32"/>
        </w:rPr>
        <w:t>“</w:t>
      </w:r>
      <w:r w:rsidRPr="003F3F02">
        <w:rPr>
          <w:rFonts w:ascii="仿宋_GB2312" w:eastAsia="仿宋_GB2312" w:hAnsi="Times New Roman" w:cs="仿宋_GB2312" w:hint="eastAsia"/>
          <w:kern w:val="0"/>
          <w:sz w:val="32"/>
          <w:szCs w:val="32"/>
        </w:rPr>
        <w:t>三公</w:t>
      </w:r>
      <w:r w:rsidRPr="003F3F02">
        <w:rPr>
          <w:rFonts w:ascii="Times New Roman" w:eastAsia="仿宋_GB2312" w:hAnsi="Times New Roman" w:cs="Times New Roman"/>
          <w:kern w:val="0"/>
          <w:sz w:val="32"/>
          <w:szCs w:val="32"/>
        </w:rPr>
        <w:t>”</w:t>
      </w:r>
      <w:r w:rsidRPr="003F3F02">
        <w:rPr>
          <w:rFonts w:ascii="仿宋_GB2312" w:eastAsia="仿宋_GB2312" w:hAnsi="Times New Roman" w:cs="仿宋_GB2312" w:hint="eastAsia"/>
          <w:kern w:val="0"/>
          <w:sz w:val="32"/>
          <w:szCs w:val="32"/>
        </w:rPr>
        <w:t>经费支出年初预算数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，主要原因是：本单位无此项支出。其中：因公出国（境）费预算数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，主要原因是：本单位无此项支出；公务用车购置费预算数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w:t>
      </w:r>
      <w:r w:rsidRPr="003F3F02">
        <w:rPr>
          <w:rFonts w:ascii="仿宋_GB2312" w:eastAsia="仿宋_GB2312" w:hAnsi="Times New Roman" w:cs="仿宋_GB2312" w:hint="eastAsia"/>
          <w:kern w:val="0"/>
          <w:sz w:val="32"/>
          <w:szCs w:val="32"/>
        </w:rPr>
        <w:lastRenderedPageBreak/>
        <w:t>项支出；公务用车运行费预算数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，主要原因是：本单位无此项支出；公务接待费预算数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万元，决算数</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万元，预决算差异率</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，主要原因是：本单位无此项支出。</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八、政府性基金预算财政拨款收入支出决算情况说明</w:t>
      </w:r>
    </w:p>
    <w:p w:rsidR="003F6B11" w:rsidRPr="003F3F02" w:rsidRDefault="003F6B11" w:rsidP="003F6B11">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sidRPr="003F3F02">
        <w:rPr>
          <w:rFonts w:ascii="仿宋_GB2312" w:eastAsia="仿宋_GB2312" w:hAnsi="Times New Roman" w:cs="仿宋_GB2312" w:hint="eastAsia"/>
          <w:kern w:val="0"/>
          <w:sz w:val="32"/>
          <w:szCs w:val="32"/>
        </w:rPr>
        <w:t>我单位本年度无政府性基金预算财政拨款收入支出，政府性基金预算财政拨款收入支出决算表为空表。</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九、国有资本经营预算财政拨款收入支出决算情况说明</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我单位本年度无国有资本经营预算财政拨款收入支出，国有资本经营预算财政拨款收入支出决算表为空表。</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十、其他重要事项的情况说明</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（一）机关运行经费支出情况</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年度乌鲁木齐市米东区第</w:t>
      </w:r>
      <w:r w:rsidRPr="003F3F02">
        <w:rPr>
          <w:rFonts w:ascii="仿宋_GB2312" w:eastAsia="仿宋_GB2312" w:hAnsi="Times New Roman" w:cs="仿宋_GB2312"/>
          <w:kern w:val="0"/>
          <w:sz w:val="32"/>
          <w:szCs w:val="32"/>
        </w:rPr>
        <w:t>98</w:t>
      </w:r>
      <w:r w:rsidRPr="003F3F02">
        <w:rPr>
          <w:rFonts w:ascii="仿宋_GB2312" w:eastAsia="仿宋_GB2312" w:hAnsi="Times New Roman" w:cs="仿宋_GB2312" w:hint="eastAsia"/>
          <w:kern w:val="0"/>
          <w:sz w:val="32"/>
          <w:szCs w:val="32"/>
        </w:rPr>
        <w:t>小学单位日常公用经费</w:t>
      </w:r>
      <w:r w:rsidRPr="003F3F02">
        <w:rPr>
          <w:rFonts w:ascii="仿宋_GB2312" w:eastAsia="仿宋_GB2312" w:hAnsi="Times New Roman" w:cs="仿宋_GB2312"/>
          <w:kern w:val="0"/>
          <w:sz w:val="32"/>
          <w:szCs w:val="32"/>
        </w:rPr>
        <w:t xml:space="preserve"> 160.71</w:t>
      </w:r>
      <w:r w:rsidRPr="003F3F02">
        <w:rPr>
          <w:rFonts w:ascii="仿宋_GB2312" w:eastAsia="仿宋_GB2312" w:hAnsi="Times New Roman" w:cs="仿宋_GB2312" w:hint="eastAsia"/>
          <w:kern w:val="0"/>
          <w:sz w:val="32"/>
          <w:szCs w:val="32"/>
        </w:rPr>
        <w:t>万元，比上年增加</w:t>
      </w:r>
      <w:r w:rsidRPr="003F3F02">
        <w:rPr>
          <w:rFonts w:ascii="仿宋_GB2312" w:eastAsia="仿宋_GB2312" w:hAnsi="Times New Roman" w:cs="仿宋_GB2312"/>
          <w:kern w:val="0"/>
          <w:sz w:val="32"/>
          <w:szCs w:val="32"/>
        </w:rPr>
        <w:t>39.24</w:t>
      </w:r>
      <w:r w:rsidRPr="003F3F02">
        <w:rPr>
          <w:rFonts w:ascii="仿宋_GB2312" w:eastAsia="仿宋_GB2312" w:hAnsi="Times New Roman" w:cs="仿宋_GB2312" w:hint="eastAsia"/>
          <w:kern w:val="0"/>
          <w:sz w:val="32"/>
          <w:szCs w:val="32"/>
        </w:rPr>
        <w:t>万元，增长</w:t>
      </w:r>
      <w:r w:rsidRPr="003F3F02">
        <w:rPr>
          <w:rFonts w:ascii="仿宋_GB2312" w:eastAsia="仿宋_GB2312" w:hAnsi="Times New Roman" w:cs="仿宋_GB2312"/>
          <w:kern w:val="0"/>
          <w:sz w:val="32"/>
          <w:szCs w:val="32"/>
        </w:rPr>
        <w:t>32.30%</w:t>
      </w:r>
      <w:r w:rsidRPr="003F3F02">
        <w:rPr>
          <w:rFonts w:ascii="仿宋_GB2312" w:eastAsia="仿宋_GB2312" w:hAnsi="Times New Roman" w:cs="仿宋_GB2312" w:hint="eastAsia"/>
          <w:kern w:val="0"/>
          <w:sz w:val="32"/>
          <w:szCs w:val="32"/>
        </w:rPr>
        <w:t>，主要原因是疫情补助经费支出增加、代课教师劳务费支出增加。</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rPr>
      </w:pPr>
      <w:r w:rsidRPr="003F3F02">
        <w:rPr>
          <w:rFonts w:ascii="黑体" w:eastAsia="黑体" w:hAnsi="Times New Roman" w:cs="黑体" w:hint="eastAsia"/>
          <w:sz w:val="32"/>
          <w:szCs w:val="32"/>
        </w:rPr>
        <w:t>（</w:t>
      </w:r>
      <w:r w:rsidRPr="003F3F02">
        <w:rPr>
          <w:rFonts w:ascii="黑体" w:eastAsia="黑体" w:hAnsi="Times New Roman" w:cs="黑体" w:hint="eastAsia"/>
          <w:sz w:val="32"/>
          <w:szCs w:val="32"/>
          <w:lang w:val="zh-CN"/>
        </w:rPr>
        <w:t>二</w:t>
      </w:r>
      <w:r w:rsidRPr="003F3F02">
        <w:rPr>
          <w:rFonts w:ascii="黑体" w:eastAsia="黑体" w:hAnsi="Times New Roman" w:cs="黑体" w:hint="eastAsia"/>
          <w:sz w:val="32"/>
          <w:szCs w:val="32"/>
        </w:rPr>
        <w:t>）</w:t>
      </w:r>
      <w:r w:rsidRPr="003F3F02">
        <w:rPr>
          <w:rFonts w:ascii="黑体" w:eastAsia="黑体" w:hAnsi="Times New Roman" w:cs="黑体" w:hint="eastAsia"/>
          <w:sz w:val="32"/>
          <w:szCs w:val="32"/>
          <w:lang w:val="zh-CN"/>
        </w:rPr>
        <w:t>政府采购情况</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年度政府采购支出总额</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万元，其中：政府采购货物支出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万元、政府采购工程支出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万元、政府采购服务支出</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w:t>
      </w:r>
    </w:p>
    <w:p w:rsidR="003F6B11" w:rsidRPr="003F3F02"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授予中小企业合同金额</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万元，占政府采购支出总额的</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，其中：授予小微企业合同金额</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万元，占政府采购支</w:t>
      </w:r>
      <w:r w:rsidRPr="003F3F02">
        <w:rPr>
          <w:rFonts w:ascii="仿宋_GB2312" w:eastAsia="仿宋_GB2312" w:hAnsi="Times New Roman" w:cs="仿宋_GB2312" w:hint="eastAsia"/>
          <w:kern w:val="0"/>
          <w:sz w:val="32"/>
          <w:szCs w:val="32"/>
        </w:rPr>
        <w:lastRenderedPageBreak/>
        <w:t>出总额的</w:t>
      </w:r>
      <w:r w:rsidRPr="003F3F02">
        <w:rPr>
          <w:rFonts w:ascii="仿宋_GB2312" w:eastAsia="仿宋_GB2312" w:hAnsi="Times New Roman" w:cs="仿宋_GB2312"/>
          <w:kern w:val="0"/>
          <w:sz w:val="32"/>
          <w:szCs w:val="32"/>
        </w:rPr>
        <w:t>0.00%</w:t>
      </w:r>
      <w:r w:rsidRPr="003F3F02">
        <w:rPr>
          <w:rFonts w:ascii="仿宋_GB2312" w:eastAsia="仿宋_GB2312" w:hAnsi="Times New Roman" w:cs="仿宋_GB2312" w:hint="eastAsia"/>
          <w:kern w:val="0"/>
          <w:sz w:val="32"/>
          <w:szCs w:val="32"/>
        </w:rPr>
        <w:t>。</w:t>
      </w:r>
    </w:p>
    <w:p w:rsidR="003F6B11" w:rsidRPr="003F3F02" w:rsidRDefault="003F6B11" w:rsidP="003F6B11">
      <w:pPr>
        <w:autoSpaceDE w:val="0"/>
        <w:autoSpaceDN w:val="0"/>
        <w:adjustRightInd w:val="0"/>
        <w:spacing w:line="360" w:lineRule="auto"/>
        <w:ind w:firstLine="640"/>
        <w:rPr>
          <w:rFonts w:ascii="Times New Roman" w:eastAsia="黑体" w:hAnsi="Times New Roman" w:cs="Times New Roman"/>
          <w:sz w:val="32"/>
          <w:szCs w:val="32"/>
          <w:lang w:val="zh-CN"/>
        </w:rPr>
      </w:pPr>
      <w:r w:rsidRPr="003F3F02">
        <w:rPr>
          <w:rFonts w:ascii="黑体" w:eastAsia="黑体" w:hAnsi="Times New Roman" w:cs="黑体" w:hint="eastAsia"/>
          <w:sz w:val="32"/>
          <w:szCs w:val="32"/>
          <w:lang w:val="zh-CN"/>
        </w:rPr>
        <w:t>（三）国有资产占用情况说明</w:t>
      </w:r>
    </w:p>
    <w:p w:rsidR="003F6B11" w:rsidRDefault="003F6B11"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3F3F02">
        <w:rPr>
          <w:rFonts w:ascii="仿宋_GB2312" w:eastAsia="仿宋_GB2312" w:hAnsi="Times New Roman" w:cs="仿宋_GB2312" w:hint="eastAsia"/>
          <w:kern w:val="0"/>
          <w:sz w:val="32"/>
          <w:szCs w:val="32"/>
        </w:rPr>
        <w:t>截止</w:t>
      </w:r>
      <w:r w:rsidRPr="003F3F02">
        <w:rPr>
          <w:rFonts w:ascii="仿宋_GB2312" w:eastAsia="仿宋_GB2312" w:hAnsi="Times New Roman" w:cs="仿宋_GB2312"/>
          <w:kern w:val="0"/>
          <w:sz w:val="32"/>
          <w:szCs w:val="32"/>
        </w:rPr>
        <w:t>2020</w:t>
      </w:r>
      <w:r w:rsidRPr="003F3F02">
        <w:rPr>
          <w:rFonts w:ascii="仿宋_GB2312" w:eastAsia="仿宋_GB2312" w:hAnsi="Times New Roman" w:cs="仿宋_GB2312" w:hint="eastAsia"/>
          <w:kern w:val="0"/>
          <w:sz w:val="32"/>
          <w:szCs w:val="32"/>
        </w:rPr>
        <w:t>年</w:t>
      </w:r>
      <w:r w:rsidRPr="003F3F02">
        <w:rPr>
          <w:rFonts w:ascii="仿宋_GB2312" w:eastAsia="仿宋_GB2312" w:hAnsi="Times New Roman" w:cs="仿宋_GB2312"/>
          <w:kern w:val="0"/>
          <w:sz w:val="32"/>
          <w:szCs w:val="32"/>
        </w:rPr>
        <w:t>12</w:t>
      </w:r>
      <w:r w:rsidRPr="003F3F02">
        <w:rPr>
          <w:rFonts w:ascii="仿宋_GB2312" w:eastAsia="仿宋_GB2312" w:hAnsi="Times New Roman" w:cs="仿宋_GB2312" w:hint="eastAsia"/>
          <w:kern w:val="0"/>
          <w:sz w:val="32"/>
          <w:szCs w:val="32"/>
        </w:rPr>
        <w:t>月</w:t>
      </w:r>
      <w:r w:rsidRPr="003F3F02">
        <w:rPr>
          <w:rFonts w:ascii="仿宋_GB2312" w:eastAsia="仿宋_GB2312" w:hAnsi="Times New Roman" w:cs="仿宋_GB2312"/>
          <w:kern w:val="0"/>
          <w:sz w:val="32"/>
          <w:szCs w:val="32"/>
        </w:rPr>
        <w:t>31</w:t>
      </w:r>
      <w:r w:rsidRPr="003F3F02">
        <w:rPr>
          <w:rFonts w:ascii="仿宋_GB2312" w:eastAsia="仿宋_GB2312" w:hAnsi="Times New Roman" w:cs="仿宋_GB2312" w:hint="eastAsia"/>
          <w:kern w:val="0"/>
          <w:sz w:val="32"/>
          <w:szCs w:val="32"/>
        </w:rPr>
        <w:t>日，单位共有房屋</w:t>
      </w:r>
      <w:r w:rsidRPr="003F3F02">
        <w:rPr>
          <w:rFonts w:ascii="仿宋_GB2312" w:eastAsia="仿宋_GB2312" w:hAnsi="Times New Roman" w:cs="仿宋_GB2312"/>
          <w:kern w:val="0"/>
          <w:sz w:val="32"/>
          <w:szCs w:val="32"/>
        </w:rPr>
        <w:t>2,491.86</w:t>
      </w:r>
      <w:r w:rsidRPr="003F3F02">
        <w:rPr>
          <w:rFonts w:ascii="仿宋_GB2312" w:eastAsia="仿宋_GB2312" w:hAnsi="Times New Roman" w:cs="仿宋_GB2312" w:hint="eastAsia"/>
          <w:kern w:val="0"/>
          <w:sz w:val="32"/>
          <w:szCs w:val="32"/>
        </w:rPr>
        <w:t>（平方米），价值</w:t>
      </w:r>
      <w:r w:rsidRPr="003F3F02">
        <w:rPr>
          <w:rFonts w:ascii="仿宋_GB2312" w:eastAsia="仿宋_GB2312" w:hAnsi="Times New Roman" w:cs="仿宋_GB2312"/>
          <w:kern w:val="0"/>
          <w:sz w:val="32"/>
          <w:szCs w:val="32"/>
        </w:rPr>
        <w:t>407.29</w:t>
      </w:r>
      <w:r w:rsidRPr="003F3F02">
        <w:rPr>
          <w:rFonts w:ascii="仿宋_GB2312" w:eastAsia="仿宋_GB2312" w:hAnsi="Times New Roman" w:cs="仿宋_GB2312" w:hint="eastAsia"/>
          <w:kern w:val="0"/>
          <w:sz w:val="32"/>
          <w:szCs w:val="32"/>
        </w:rPr>
        <w:t>万元。车辆</w:t>
      </w:r>
      <w:r w:rsidRPr="003F3F02">
        <w:rPr>
          <w:rFonts w:ascii="仿宋_GB2312" w:eastAsia="仿宋_GB2312" w:hAnsi="Times New Roman" w:cs="仿宋_GB2312"/>
          <w:kern w:val="0"/>
          <w:sz w:val="32"/>
          <w:szCs w:val="32"/>
        </w:rPr>
        <w:t>1</w:t>
      </w:r>
      <w:r w:rsidRPr="003F3F02">
        <w:rPr>
          <w:rFonts w:ascii="仿宋_GB2312" w:eastAsia="仿宋_GB2312" w:hAnsi="Times New Roman" w:cs="仿宋_GB2312" w:hint="eastAsia"/>
          <w:kern w:val="0"/>
          <w:sz w:val="32"/>
          <w:szCs w:val="32"/>
        </w:rPr>
        <w:t>辆，价值</w:t>
      </w:r>
      <w:r w:rsidRPr="003F3F02">
        <w:rPr>
          <w:rFonts w:ascii="仿宋_GB2312" w:eastAsia="仿宋_GB2312" w:hAnsi="Times New Roman" w:cs="仿宋_GB2312"/>
          <w:kern w:val="0"/>
          <w:sz w:val="32"/>
          <w:szCs w:val="32"/>
        </w:rPr>
        <w:t>3.73</w:t>
      </w:r>
      <w:r w:rsidRPr="003F3F02">
        <w:rPr>
          <w:rFonts w:ascii="仿宋_GB2312" w:eastAsia="仿宋_GB2312" w:hAnsi="Times New Roman" w:cs="仿宋_GB2312" w:hint="eastAsia"/>
          <w:kern w:val="0"/>
          <w:sz w:val="32"/>
          <w:szCs w:val="32"/>
        </w:rPr>
        <w:t>万元，其中：副部（省）级及以上领导用车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辆、主要领导干部用车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辆、机要通信用车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辆、应急保障用车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辆、执法执勤用车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辆、特种专业技术用车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辆、离退休干部用车</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辆、其他用车</w:t>
      </w:r>
      <w:r w:rsidRPr="003F3F02">
        <w:rPr>
          <w:rFonts w:ascii="仿宋_GB2312" w:eastAsia="仿宋_GB2312" w:hAnsi="Times New Roman" w:cs="仿宋_GB2312"/>
          <w:kern w:val="0"/>
          <w:sz w:val="32"/>
          <w:szCs w:val="32"/>
        </w:rPr>
        <w:t>1</w:t>
      </w:r>
      <w:r w:rsidRPr="003F3F02">
        <w:rPr>
          <w:rFonts w:ascii="仿宋_GB2312" w:eastAsia="仿宋_GB2312" w:hAnsi="Times New Roman" w:cs="仿宋_GB2312" w:hint="eastAsia"/>
          <w:kern w:val="0"/>
          <w:sz w:val="32"/>
          <w:szCs w:val="32"/>
        </w:rPr>
        <w:t>辆，其他用车主要是：已调配给社区使用；单位价值</w:t>
      </w:r>
      <w:r w:rsidRPr="003F3F02">
        <w:rPr>
          <w:rFonts w:ascii="仿宋_GB2312" w:eastAsia="仿宋_GB2312" w:hAnsi="Times New Roman" w:cs="仿宋_GB2312"/>
          <w:kern w:val="0"/>
          <w:sz w:val="32"/>
          <w:szCs w:val="32"/>
        </w:rPr>
        <w:t>50</w:t>
      </w:r>
      <w:r w:rsidRPr="003F3F02">
        <w:rPr>
          <w:rFonts w:ascii="仿宋_GB2312" w:eastAsia="仿宋_GB2312" w:hAnsi="Times New Roman" w:cs="仿宋_GB2312" w:hint="eastAsia"/>
          <w:kern w:val="0"/>
          <w:sz w:val="32"/>
          <w:szCs w:val="32"/>
        </w:rPr>
        <w:t>万元以上通用设备</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台（套）、单位价值</w:t>
      </w:r>
      <w:r w:rsidRPr="003F3F02">
        <w:rPr>
          <w:rFonts w:ascii="仿宋_GB2312" w:eastAsia="仿宋_GB2312" w:hAnsi="Times New Roman" w:cs="仿宋_GB2312"/>
          <w:kern w:val="0"/>
          <w:sz w:val="32"/>
          <w:szCs w:val="32"/>
        </w:rPr>
        <w:t>100</w:t>
      </w:r>
      <w:r w:rsidRPr="003F3F02">
        <w:rPr>
          <w:rFonts w:ascii="仿宋_GB2312" w:eastAsia="仿宋_GB2312" w:hAnsi="Times New Roman" w:cs="仿宋_GB2312" w:hint="eastAsia"/>
          <w:kern w:val="0"/>
          <w:sz w:val="32"/>
          <w:szCs w:val="32"/>
        </w:rPr>
        <w:t>万元以上专用设备</w:t>
      </w:r>
      <w:r w:rsidRPr="003F3F02">
        <w:rPr>
          <w:rFonts w:ascii="仿宋_GB2312" w:eastAsia="仿宋_GB2312" w:hAnsi="Times New Roman" w:cs="仿宋_GB2312"/>
          <w:kern w:val="0"/>
          <w:sz w:val="32"/>
          <w:szCs w:val="32"/>
        </w:rPr>
        <w:t>0</w:t>
      </w:r>
      <w:r w:rsidRPr="003F3F02">
        <w:rPr>
          <w:rFonts w:ascii="仿宋_GB2312" w:eastAsia="仿宋_GB2312" w:hAnsi="Times New Roman" w:cs="仿宋_GB2312" w:hint="eastAsia"/>
          <w:kern w:val="0"/>
          <w:sz w:val="32"/>
          <w:szCs w:val="32"/>
        </w:rPr>
        <w:t>台（套）。</w:t>
      </w:r>
    </w:p>
    <w:p w:rsidR="00D52037" w:rsidRPr="003F6B11" w:rsidRDefault="00D52037" w:rsidP="003F6B11">
      <w:pPr>
        <w:shd w:val="clear" w:color="auto" w:fill="FFFFFF"/>
        <w:autoSpaceDE w:val="0"/>
        <w:autoSpaceDN w:val="0"/>
        <w:adjustRightInd w:val="0"/>
        <w:spacing w:line="360" w:lineRule="auto"/>
        <w:ind w:firstLine="640"/>
        <w:rPr>
          <w:rFonts w:ascii="Times New Roman" w:eastAsia="仿宋_GB2312" w:hAnsi="Times New Roman" w:cs="Times New Roman"/>
          <w:kern w:val="0"/>
          <w:sz w:val="32"/>
          <w:szCs w:val="32"/>
        </w:rPr>
      </w:pPr>
      <w:r w:rsidRPr="00445CBE">
        <w:rPr>
          <w:rFonts w:ascii="黑体" w:eastAsia="黑体" w:hAnsi="Times New Roman" w:cs="黑体" w:hint="eastAsia"/>
          <w:kern w:val="0"/>
          <w:sz w:val="32"/>
          <w:szCs w:val="32"/>
          <w:lang w:val="zh-CN"/>
        </w:rPr>
        <w:t>十</w:t>
      </w:r>
      <w:r w:rsidRPr="00445CBE">
        <w:rPr>
          <w:rFonts w:ascii="黑体" w:eastAsia="黑体" w:hAnsi="Times New Roman" w:cs="黑体" w:hint="eastAsia"/>
          <w:kern w:val="0"/>
          <w:sz w:val="32"/>
          <w:szCs w:val="32"/>
        </w:rPr>
        <w:t>一、预算绩效的情况说明</w:t>
      </w:r>
    </w:p>
    <w:p w:rsidR="00D52037" w:rsidRPr="00445CBE" w:rsidRDefault="00D52037" w:rsidP="00D9731B">
      <w:pPr>
        <w:shd w:val="clear" w:color="auto" w:fill="FFFFFF"/>
        <w:autoSpaceDE w:val="0"/>
        <w:autoSpaceDN w:val="0"/>
        <w:adjustRightInd w:val="0"/>
        <w:spacing w:before="100" w:line="520" w:lineRule="exact"/>
        <w:ind w:left="118" w:firstLine="480"/>
        <w:rPr>
          <w:rFonts w:ascii="仿宋_GB2312" w:eastAsia="仿宋_GB2312" w:hAnsi="Times New Roman" w:cs="仿宋_GB2312"/>
          <w:kern w:val="0"/>
          <w:sz w:val="32"/>
          <w:szCs w:val="32"/>
        </w:rPr>
      </w:pPr>
      <w:r w:rsidRPr="00445CBE">
        <w:rPr>
          <w:rFonts w:ascii="仿宋_GB2312" w:eastAsia="仿宋_GB2312" w:hAnsi="Times New Roman" w:cs="仿宋_GB2312" w:hint="eastAsia"/>
          <w:kern w:val="0"/>
          <w:sz w:val="32"/>
          <w:szCs w:val="32"/>
        </w:rPr>
        <w:t>根据预算绩效管理要求，我单位</w:t>
      </w:r>
      <w:r w:rsidRPr="00445CBE">
        <w:rPr>
          <w:rFonts w:ascii="仿宋_GB2312" w:eastAsia="仿宋_GB2312" w:hAnsi="Times New Roman" w:cs="仿宋_GB2312"/>
          <w:kern w:val="0"/>
          <w:sz w:val="32"/>
          <w:szCs w:val="32"/>
        </w:rPr>
        <w:t>2020</w:t>
      </w:r>
      <w:r w:rsidRPr="00445CBE">
        <w:rPr>
          <w:rFonts w:ascii="仿宋_GB2312" w:eastAsia="仿宋_GB2312" w:hAnsi="Times New Roman" w:cs="仿宋_GB2312" w:hint="eastAsia"/>
          <w:kern w:val="0"/>
          <w:sz w:val="32"/>
          <w:szCs w:val="32"/>
        </w:rPr>
        <w:t>年度开展预算绩效评价项目</w:t>
      </w:r>
      <w:r w:rsidR="008309B3" w:rsidRPr="00445CBE">
        <w:rPr>
          <w:rFonts w:ascii="仿宋_GB2312" w:eastAsia="仿宋_GB2312" w:hAnsi="Times New Roman" w:cs="仿宋_GB2312"/>
          <w:kern w:val="0"/>
          <w:sz w:val="32"/>
          <w:szCs w:val="32"/>
        </w:rPr>
        <w:t>3</w:t>
      </w:r>
      <w:r w:rsidRPr="00445CBE">
        <w:rPr>
          <w:rFonts w:ascii="仿宋_GB2312" w:eastAsia="仿宋_GB2312" w:hAnsi="Times New Roman" w:cs="仿宋_GB2312" w:hint="eastAsia"/>
          <w:kern w:val="0"/>
          <w:sz w:val="32"/>
          <w:szCs w:val="32"/>
        </w:rPr>
        <w:t>个，共涉及资金</w:t>
      </w:r>
      <w:r w:rsidR="008309B3" w:rsidRPr="00445CBE">
        <w:rPr>
          <w:rFonts w:ascii="仿宋_GB2312" w:eastAsia="仿宋_GB2312" w:hAnsi="Times New Roman" w:cs="仿宋_GB2312"/>
          <w:kern w:val="0"/>
          <w:sz w:val="32"/>
          <w:szCs w:val="32"/>
        </w:rPr>
        <w:t>71.52</w:t>
      </w:r>
      <w:r w:rsidRPr="00445CBE">
        <w:rPr>
          <w:rFonts w:ascii="仿宋_GB2312" w:eastAsia="仿宋_GB2312" w:hAnsi="Times New Roman" w:cs="仿宋_GB2312" w:hint="eastAsia"/>
          <w:kern w:val="0"/>
          <w:sz w:val="32"/>
          <w:szCs w:val="32"/>
        </w:rPr>
        <w:t>万元。预算绩效管理取得的成效：一是</w:t>
      </w:r>
      <w:r w:rsidR="008309B3" w:rsidRPr="00445CBE">
        <w:rPr>
          <w:rFonts w:ascii="仿宋_GB2312" w:eastAsia="仿宋_GB2312" w:hAnsi="Times New Roman" w:cs="仿宋_GB2312" w:hint="eastAsia"/>
          <w:kern w:val="0"/>
          <w:sz w:val="32"/>
          <w:szCs w:val="32"/>
        </w:rPr>
        <w:t>使我校的各项教育教学工作能有序开展，保障教师的各项教学需要，提升了学校的社会影响力</w:t>
      </w:r>
      <w:r w:rsidRPr="00445CBE">
        <w:rPr>
          <w:rFonts w:ascii="仿宋_GB2312" w:eastAsia="仿宋_GB2312" w:hAnsi="Times New Roman" w:cs="仿宋_GB2312" w:hint="eastAsia"/>
          <w:kern w:val="0"/>
          <w:sz w:val="32"/>
          <w:szCs w:val="32"/>
        </w:rPr>
        <w:t>；二是</w:t>
      </w:r>
      <w:r w:rsidR="008309B3" w:rsidRPr="00445CBE">
        <w:rPr>
          <w:rFonts w:ascii="仿宋_GB2312" w:eastAsia="仿宋_GB2312" w:hAnsi="Times New Roman" w:cs="仿宋_GB2312" w:hint="eastAsia"/>
          <w:kern w:val="0"/>
          <w:sz w:val="32"/>
          <w:szCs w:val="32"/>
        </w:rPr>
        <w:t>办学条件进一步改善，优化教育资源配置</w:t>
      </w:r>
      <w:r w:rsidR="00D9731B" w:rsidRPr="00445CBE">
        <w:rPr>
          <w:rFonts w:ascii="仿宋_GB2312" w:eastAsia="仿宋_GB2312" w:hAnsi="Times New Roman" w:cs="仿宋_GB2312" w:hint="eastAsia"/>
          <w:kern w:val="0"/>
          <w:sz w:val="32"/>
          <w:szCs w:val="32"/>
        </w:rPr>
        <w:t>；三是教师业务水平进一步提升；四是群众满意度进一步提高</w:t>
      </w:r>
      <w:r w:rsidRPr="00445CBE">
        <w:rPr>
          <w:rFonts w:ascii="仿宋_GB2312" w:eastAsia="仿宋_GB2312" w:hAnsi="Times New Roman" w:cs="仿宋_GB2312" w:hint="eastAsia"/>
          <w:kern w:val="0"/>
          <w:sz w:val="32"/>
          <w:szCs w:val="32"/>
        </w:rPr>
        <w:t>。发现的问题及原因：一是</w:t>
      </w:r>
      <w:r w:rsidR="00D9731B" w:rsidRPr="00445CBE">
        <w:rPr>
          <w:rFonts w:ascii="仿宋_GB2312" w:eastAsia="仿宋_GB2312" w:hAnsi="Times New Roman" w:cs="仿宋_GB2312" w:hint="eastAsia"/>
          <w:kern w:val="0"/>
          <w:sz w:val="32"/>
          <w:szCs w:val="32"/>
        </w:rPr>
        <w:t>义务教育薄弱学校改造地方资金配套存在困难</w:t>
      </w:r>
      <w:r w:rsidRPr="00445CBE">
        <w:rPr>
          <w:rFonts w:ascii="仿宋_GB2312" w:eastAsia="仿宋_GB2312" w:hAnsi="Times New Roman" w:cs="仿宋_GB2312" w:hint="eastAsia"/>
          <w:kern w:val="0"/>
          <w:sz w:val="32"/>
          <w:szCs w:val="32"/>
        </w:rPr>
        <w:t>；二是</w:t>
      </w:r>
      <w:r w:rsidR="00D9731B" w:rsidRPr="00445CBE">
        <w:rPr>
          <w:rFonts w:ascii="仿宋_GB2312" w:eastAsia="仿宋_GB2312" w:hAnsi="Times New Roman" w:cs="仿宋_GB2312" w:hint="eastAsia"/>
          <w:kern w:val="0"/>
          <w:sz w:val="32"/>
          <w:szCs w:val="32"/>
        </w:rPr>
        <w:t>学校无任何收费同时公用经费用途明确不能用于人员经费支出，教师值班加班相关支出没有明确支出渠道，既要满足实际需要同时又要避开政策红线，导致学校工作开展十分困难</w:t>
      </w:r>
      <w:r w:rsidRPr="00445CBE">
        <w:rPr>
          <w:rFonts w:ascii="仿宋_GB2312" w:eastAsia="仿宋_GB2312" w:hAnsi="Times New Roman" w:cs="仿宋_GB2312" w:hint="eastAsia"/>
          <w:kern w:val="0"/>
          <w:sz w:val="32"/>
          <w:szCs w:val="32"/>
        </w:rPr>
        <w:t>。下一步改进措施</w:t>
      </w:r>
      <w:r w:rsidRPr="00445CBE">
        <w:rPr>
          <w:rFonts w:ascii="仿宋_GB2312" w:eastAsia="仿宋_GB2312" w:hAnsi="Times New Roman" w:cs="仿宋_GB2312"/>
          <w:kern w:val="0"/>
          <w:sz w:val="32"/>
          <w:szCs w:val="32"/>
        </w:rPr>
        <w:t>:</w:t>
      </w:r>
      <w:r w:rsidRPr="00445CBE">
        <w:rPr>
          <w:rFonts w:ascii="仿宋_GB2312" w:eastAsia="仿宋_GB2312" w:hAnsi="Times New Roman" w:cs="仿宋_GB2312" w:hint="eastAsia"/>
          <w:kern w:val="0"/>
          <w:sz w:val="32"/>
          <w:szCs w:val="32"/>
        </w:rPr>
        <w:t>一是</w:t>
      </w:r>
      <w:r w:rsidR="00D9731B" w:rsidRPr="00445CBE">
        <w:rPr>
          <w:rFonts w:ascii="仿宋_GB2312" w:eastAsia="仿宋_GB2312" w:hAnsi="Times New Roman" w:cs="仿宋_GB2312" w:hint="eastAsia"/>
          <w:kern w:val="0"/>
          <w:sz w:val="32"/>
          <w:szCs w:val="32"/>
        </w:rPr>
        <w:t>加强预算管理，严格执行《预算法》。应严格《预算法》执行部门预算，按照财政批复的部门预算和绩效目标的项目和用途使</w:t>
      </w:r>
      <w:r w:rsidR="00D9731B" w:rsidRPr="00445CBE">
        <w:rPr>
          <w:rFonts w:ascii="仿宋_GB2312" w:eastAsia="仿宋_GB2312" w:hAnsi="Times New Roman" w:cs="仿宋_GB2312" w:hint="eastAsia"/>
          <w:kern w:val="0"/>
          <w:sz w:val="32"/>
          <w:szCs w:val="32"/>
        </w:rPr>
        <w:lastRenderedPageBreak/>
        <w:t>用资金，不得擅自调剂使用</w:t>
      </w:r>
      <w:r w:rsidRPr="00445CBE">
        <w:rPr>
          <w:rFonts w:ascii="仿宋_GB2312" w:eastAsia="仿宋_GB2312" w:hAnsi="Times New Roman" w:cs="仿宋_GB2312" w:hint="eastAsia"/>
          <w:kern w:val="0"/>
          <w:sz w:val="32"/>
          <w:szCs w:val="32"/>
        </w:rPr>
        <w:t>；二是</w:t>
      </w:r>
      <w:r w:rsidR="00D9731B" w:rsidRPr="00445CBE">
        <w:rPr>
          <w:rFonts w:ascii="仿宋_GB2312" w:eastAsia="仿宋_GB2312" w:hAnsi="Times New Roman" w:cs="仿宋_GB2312" w:hint="eastAsia"/>
          <w:kern w:val="0"/>
          <w:sz w:val="32"/>
          <w:szCs w:val="32"/>
        </w:rPr>
        <w:t>加强项目资金管理，严格规范项目资金使用。严格规范专项资金的审批程序，切实做好专项资金专款专用，严禁专项资金挪作他用。设置专项资金科目进行核算，真实反馈专项资金使用情况，严禁专项资金在项目间自行调剂；三是规范账务处理，提高财务信息质量严格按照财务管理规定执行财务核算，并结合实际情况，完整、准确地披露相关信息，做到收入与支出明细核算</w:t>
      </w:r>
      <w:r w:rsidRPr="00445CBE">
        <w:rPr>
          <w:rFonts w:ascii="仿宋_GB2312" w:eastAsia="仿宋_GB2312" w:hAnsi="Times New Roman" w:cs="仿宋_GB2312" w:hint="eastAsia"/>
          <w:kern w:val="0"/>
          <w:sz w:val="32"/>
          <w:szCs w:val="32"/>
        </w:rPr>
        <w:t>。</w:t>
      </w:r>
    </w:p>
    <w:tbl>
      <w:tblPr>
        <w:tblW w:w="4994" w:type="pct"/>
        <w:tblInd w:w="5" w:type="dxa"/>
        <w:tblCellMar>
          <w:left w:w="0" w:type="dxa"/>
          <w:right w:w="0" w:type="dxa"/>
        </w:tblCellMar>
        <w:tblLook w:val="04A0" w:firstRow="1" w:lastRow="0" w:firstColumn="1" w:lastColumn="0" w:noHBand="0" w:noVBand="1"/>
      </w:tblPr>
      <w:tblGrid>
        <w:gridCol w:w="603"/>
        <w:gridCol w:w="603"/>
        <w:gridCol w:w="603"/>
        <w:gridCol w:w="602"/>
        <w:gridCol w:w="602"/>
        <w:gridCol w:w="601"/>
        <w:gridCol w:w="746"/>
        <w:gridCol w:w="654"/>
        <w:gridCol w:w="602"/>
        <w:gridCol w:w="604"/>
        <w:gridCol w:w="602"/>
        <w:gridCol w:w="604"/>
        <w:gridCol w:w="602"/>
        <w:gridCol w:w="602"/>
      </w:tblGrid>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eastAsia="宋体" w:hAnsi="宋体"/>
                <w:b/>
                <w:color w:val="000000"/>
                <w:sz w:val="32"/>
                <w:szCs w:val="32"/>
              </w:rPr>
            </w:pPr>
            <w:r w:rsidRPr="00AF3B20">
              <w:rPr>
                <w:rFonts w:ascii="宋体" w:hAnsi="宋体" w:hint="eastAsia"/>
                <w:b/>
                <w:color w:val="000000"/>
                <w:kern w:val="0"/>
                <w:sz w:val="32"/>
                <w:szCs w:val="32"/>
              </w:rPr>
              <w:t>项目支出绩效自评表</w:t>
            </w:r>
          </w:p>
        </w:tc>
      </w:tr>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32"/>
                <w:szCs w:val="32"/>
              </w:rPr>
            </w:pPr>
            <w:r w:rsidRPr="00AF3B20">
              <w:rPr>
                <w:rFonts w:ascii="宋体" w:hAnsi="宋体" w:hint="eastAsia"/>
                <w:color w:val="000000"/>
                <w:kern w:val="0"/>
                <w:sz w:val="32"/>
                <w:szCs w:val="32"/>
              </w:rPr>
              <w:t>（   2020 年度）</w:t>
            </w:r>
          </w:p>
        </w:tc>
      </w:tr>
      <w:tr w:rsidR="00D9731B" w:rsidRPr="00AF3B20" w:rsidTr="00D94A1D">
        <w:trPr>
          <w:trHeight w:val="288"/>
        </w:trPr>
        <w:tc>
          <w:tcPr>
            <w:tcW w:w="5000" w:type="pct"/>
            <w:gridSpan w:val="14"/>
            <w:tcBorders>
              <w:top w:val="nil"/>
              <w:left w:val="nil"/>
              <w:bottom w:val="nil"/>
              <w:right w:val="nil"/>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项目名称</w:t>
            </w:r>
          </w:p>
        </w:tc>
        <w:tc>
          <w:tcPr>
            <w:tcW w:w="4302" w:type="pct"/>
            <w:gridSpan w:val="1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城乡义务教育经费保障机制-公用经费补助</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主管部门</w:t>
            </w:r>
          </w:p>
        </w:tc>
        <w:tc>
          <w:tcPr>
            <w:tcW w:w="1826"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实施单位</w:t>
            </w:r>
          </w:p>
        </w:tc>
        <w:tc>
          <w:tcPr>
            <w:tcW w:w="1748"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r>
      <w:tr w:rsidR="00D9731B" w:rsidRPr="00AF3B20" w:rsidTr="00D94A1D">
        <w:trPr>
          <w:trHeight w:val="41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项目资金</w:t>
            </w: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olor w:val="000000"/>
                <w:sz w:val="20"/>
                <w:szCs w:val="20"/>
              </w:rPr>
            </w:pP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s="Arial"/>
                <w:color w:val="000000"/>
                <w:sz w:val="20"/>
                <w:szCs w:val="20"/>
              </w:rPr>
            </w:pPr>
          </w:p>
        </w:tc>
        <w:tc>
          <w:tcPr>
            <w:tcW w:w="349"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s="宋体"/>
                <w:color w:val="000000"/>
                <w:sz w:val="18"/>
                <w:szCs w:val="18"/>
              </w:rPr>
            </w:pPr>
            <w:r w:rsidRPr="00AF3B20">
              <w:rPr>
                <w:rFonts w:ascii="宋体" w:hAnsi="宋体" w:hint="eastAsia"/>
                <w:color w:val="000000"/>
                <w:kern w:val="0"/>
                <w:sz w:val="18"/>
                <w:szCs w:val="18"/>
              </w:rPr>
              <w:t>年初预算数</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全年预算数</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全年执行数</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执行率</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（万元）</w:t>
            </w: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年度资金总额</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100.00%</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r>
      <w:tr w:rsidR="00D9731B" w:rsidRPr="00AF3B20" w:rsidTr="00D94A1D">
        <w:trPr>
          <w:trHeight w:val="39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其中：当年财政拨款</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上年结转资金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其他资金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年度总体目标</w:t>
            </w: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预期目标</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实际完成情况</w:t>
            </w:r>
          </w:p>
        </w:tc>
      </w:tr>
      <w:tr w:rsidR="00D9731B" w:rsidRPr="00AF3B20" w:rsidTr="00D94A1D">
        <w:trPr>
          <w:trHeight w:val="70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项目资金来源主要为财政拨款，计划总投资57.20万元。2020年在编职工31人，退休教师5人，在校生899人。该资金保障我校的各项工作的有序开展。</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项目资金来源主要为财政拨款，计划总投资57.20万元。2020年在编职工31人，退休教师5人，在校生899人。该资金保障我校的各项工作的有序开展。</w:t>
            </w:r>
          </w:p>
        </w:tc>
      </w:tr>
      <w:tr w:rsidR="00D9731B" w:rsidRPr="00AF3B20" w:rsidTr="00D94A1D">
        <w:trPr>
          <w:trHeight w:val="430"/>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一级指标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二级指标</w:t>
            </w:r>
          </w:p>
        </w:tc>
        <w:tc>
          <w:tcPr>
            <w:tcW w:w="1046" w:type="pct"/>
            <w:gridSpan w:val="3"/>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三级指标</w:t>
            </w:r>
          </w:p>
        </w:tc>
        <w:tc>
          <w:tcPr>
            <w:tcW w:w="431"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年度指标值</w:t>
            </w:r>
          </w:p>
        </w:tc>
        <w:tc>
          <w:tcPr>
            <w:tcW w:w="379"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c>
          <w:tcPr>
            <w:tcW w:w="700"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偏差原因分析及改进措施</w:t>
            </w:r>
          </w:p>
        </w:tc>
      </w:tr>
      <w:tr w:rsidR="00D9731B" w:rsidRPr="00AF3B20" w:rsidTr="00D94A1D">
        <w:trPr>
          <w:trHeight w:val="288"/>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431"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79"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700"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r>
      <w:tr w:rsidR="00D9731B" w:rsidRPr="00AF3B20" w:rsidTr="00D94A1D">
        <w:trPr>
          <w:trHeight w:val="1205"/>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年度绩效指标完成情况</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产出指标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数量指标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学校建筑面积</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=2491.86平方米</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2491.86平方米</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学生总数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教师数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=31人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31人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质量指标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资金使用合规率</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时效指标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资金使用时效</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=9个月</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9个月</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8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成本指标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预算成本</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=57.20万元</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57.20万元</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效益指标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经济效益指标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社会效益指标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提高社会服务发展能力</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显著提高</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生态效益指标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4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可持续影响指标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保障教育教学工作正常开展</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长期保障</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2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满意度指标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服务对象满意度指标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师生及家长满意度</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≥95%</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98%</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10"/>
        </w:trPr>
        <w:tc>
          <w:tcPr>
            <w:tcW w:w="2903" w:type="pct"/>
            <w:gridSpan w:val="8"/>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总分</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b/>
                <w:color w:val="000000"/>
                <w:sz w:val="32"/>
                <w:szCs w:val="32"/>
              </w:rPr>
            </w:pPr>
            <w:r w:rsidRPr="00AF3B20">
              <w:rPr>
                <w:rFonts w:ascii="宋体" w:hAnsi="宋体" w:hint="eastAsia"/>
                <w:b/>
                <w:color w:val="000000"/>
                <w:kern w:val="0"/>
                <w:sz w:val="32"/>
                <w:szCs w:val="32"/>
              </w:rPr>
              <w:t>项目支出绩效自评表</w:t>
            </w:r>
          </w:p>
        </w:tc>
      </w:tr>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32"/>
                <w:szCs w:val="32"/>
              </w:rPr>
            </w:pPr>
            <w:r w:rsidRPr="00AF3B20">
              <w:rPr>
                <w:rFonts w:ascii="宋体" w:hAnsi="宋体" w:hint="eastAsia"/>
                <w:color w:val="000000"/>
                <w:kern w:val="0"/>
                <w:sz w:val="32"/>
                <w:szCs w:val="32"/>
              </w:rPr>
              <w:t>（   2020 年度）</w:t>
            </w:r>
          </w:p>
        </w:tc>
      </w:tr>
      <w:tr w:rsidR="00D9731B" w:rsidRPr="00AF3B20" w:rsidTr="00D94A1D">
        <w:trPr>
          <w:trHeight w:val="288"/>
        </w:trPr>
        <w:tc>
          <w:tcPr>
            <w:tcW w:w="5000" w:type="pct"/>
            <w:gridSpan w:val="14"/>
            <w:tcBorders>
              <w:top w:val="nil"/>
              <w:left w:val="nil"/>
              <w:bottom w:val="nil"/>
              <w:right w:val="nil"/>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项目名称</w:t>
            </w:r>
          </w:p>
        </w:tc>
        <w:tc>
          <w:tcPr>
            <w:tcW w:w="4302" w:type="pct"/>
            <w:gridSpan w:val="1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非寄宿生家庭困难补助费</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主管部门</w:t>
            </w:r>
          </w:p>
        </w:tc>
        <w:tc>
          <w:tcPr>
            <w:tcW w:w="1826"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实施单位</w:t>
            </w:r>
          </w:p>
        </w:tc>
        <w:tc>
          <w:tcPr>
            <w:tcW w:w="1748"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r>
      <w:tr w:rsidR="00D9731B" w:rsidRPr="00AF3B20" w:rsidTr="00D94A1D">
        <w:trPr>
          <w:trHeight w:val="41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项目资金</w:t>
            </w: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olor w:val="000000"/>
                <w:sz w:val="20"/>
                <w:szCs w:val="20"/>
              </w:rPr>
            </w:pP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s="Arial"/>
                <w:color w:val="000000"/>
                <w:sz w:val="20"/>
                <w:szCs w:val="20"/>
              </w:rPr>
            </w:pPr>
          </w:p>
        </w:tc>
        <w:tc>
          <w:tcPr>
            <w:tcW w:w="349"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s="宋体"/>
                <w:color w:val="000000"/>
                <w:sz w:val="18"/>
                <w:szCs w:val="18"/>
              </w:rPr>
            </w:pPr>
            <w:r w:rsidRPr="00AF3B20">
              <w:rPr>
                <w:rFonts w:ascii="宋体" w:hAnsi="宋体" w:hint="eastAsia"/>
                <w:color w:val="000000"/>
                <w:kern w:val="0"/>
                <w:sz w:val="18"/>
                <w:szCs w:val="18"/>
              </w:rPr>
              <w:t>年初预算数</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全年预算数</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全年执行数</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执行率</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（万元）</w:t>
            </w: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年度资金总额</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6.02</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4.32</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71.76%</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7.1</w:t>
            </w:r>
          </w:p>
        </w:tc>
      </w:tr>
      <w:tr w:rsidR="00D9731B" w:rsidRPr="00AF3B20" w:rsidTr="00D94A1D">
        <w:trPr>
          <w:trHeight w:val="39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其中：当年财政拨款</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6.02</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4.32</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上年结转资金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其他资金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年度总体目标</w:t>
            </w: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预期目标</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实际完成情况</w:t>
            </w:r>
          </w:p>
        </w:tc>
      </w:tr>
      <w:tr w:rsidR="00D9731B" w:rsidRPr="00AF3B20" w:rsidTr="00D94A1D">
        <w:trPr>
          <w:trHeight w:val="73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在校学生899人，其中其中2020年春季贫困生73人，2020年秋季贫困生84人，为了保障这部分学生的学习生活能够有序开展，申请每生每年625元的生活补助。</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在校学生899人，其中其中2020年春季贫困生73人，2020年秋季贫困生84人，为了保障这部分学生的学习生活能够有序开展，申请每生每年625元的生活补助。</w:t>
            </w:r>
          </w:p>
        </w:tc>
      </w:tr>
      <w:tr w:rsidR="00D9731B" w:rsidRPr="00AF3B20" w:rsidTr="00D94A1D">
        <w:trPr>
          <w:trHeight w:val="430"/>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一级指标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二级指标</w:t>
            </w:r>
          </w:p>
        </w:tc>
        <w:tc>
          <w:tcPr>
            <w:tcW w:w="1046" w:type="pct"/>
            <w:gridSpan w:val="3"/>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三级指标</w:t>
            </w:r>
          </w:p>
        </w:tc>
        <w:tc>
          <w:tcPr>
            <w:tcW w:w="431"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年度指标值</w:t>
            </w:r>
          </w:p>
        </w:tc>
        <w:tc>
          <w:tcPr>
            <w:tcW w:w="379"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c>
          <w:tcPr>
            <w:tcW w:w="700"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偏差原因分析及改进措施</w:t>
            </w:r>
          </w:p>
        </w:tc>
      </w:tr>
      <w:tr w:rsidR="00D9731B" w:rsidRPr="00AF3B20" w:rsidTr="00D94A1D">
        <w:trPr>
          <w:trHeight w:val="288"/>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431"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79"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700"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r>
      <w:tr w:rsidR="00D9731B" w:rsidRPr="00AF3B20" w:rsidTr="00D94A1D">
        <w:trPr>
          <w:trHeight w:val="1165"/>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年度绩效指标完成情况</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产出指标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数量指标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学生总数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春季学期困难学生数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=73人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73人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秋季学期困难学生数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=84人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84人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质量指标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资金使用合规率</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时效指标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项目完成时间</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=8个月</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8个月</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8.33</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246"/>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成本指标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项目总成本</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=6.02万元</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4.32万元</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8.35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6</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按学校实际困难学生数发放补助，故资金未执行完毕。</w:t>
            </w: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效益指标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经济效益指标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8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社会效益指标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保障非寄宿贫困学生享受教育资助，平等享受教育资源</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有效保障</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生态效益指标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4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可持续影响指标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改善学校办学水平，提升教育质量</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长期改善</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2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满意度指标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服务对象满意度指标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师生及家长满意度</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≥95%</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98%</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10"/>
        </w:trPr>
        <w:tc>
          <w:tcPr>
            <w:tcW w:w="2903" w:type="pct"/>
            <w:gridSpan w:val="8"/>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总分</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94.75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b/>
                <w:color w:val="000000"/>
                <w:sz w:val="32"/>
                <w:szCs w:val="32"/>
              </w:rPr>
            </w:pPr>
            <w:r w:rsidRPr="00AF3B20">
              <w:rPr>
                <w:rFonts w:ascii="宋体" w:hAnsi="宋体" w:hint="eastAsia"/>
                <w:b/>
                <w:color w:val="000000"/>
                <w:kern w:val="0"/>
                <w:sz w:val="32"/>
                <w:szCs w:val="32"/>
              </w:rPr>
              <w:t>项目支出绩效自评表</w:t>
            </w:r>
          </w:p>
        </w:tc>
      </w:tr>
      <w:tr w:rsidR="00D9731B" w:rsidRPr="00AF3B20" w:rsidTr="00D94A1D">
        <w:trPr>
          <w:trHeight w:val="408"/>
        </w:trPr>
        <w:tc>
          <w:tcPr>
            <w:tcW w:w="5000" w:type="pct"/>
            <w:gridSpan w:val="14"/>
            <w:tcBorders>
              <w:top w:val="nil"/>
              <w:left w:val="nil"/>
              <w:bottom w:val="nil"/>
              <w:right w:val="nil"/>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32"/>
                <w:szCs w:val="32"/>
              </w:rPr>
            </w:pPr>
            <w:r w:rsidRPr="00AF3B20">
              <w:rPr>
                <w:rFonts w:ascii="宋体" w:hAnsi="宋体" w:hint="eastAsia"/>
                <w:color w:val="000000"/>
                <w:kern w:val="0"/>
                <w:sz w:val="32"/>
                <w:szCs w:val="32"/>
              </w:rPr>
              <w:t>（   2020 年度）</w:t>
            </w:r>
          </w:p>
        </w:tc>
      </w:tr>
      <w:tr w:rsidR="00D9731B" w:rsidRPr="00AF3B20" w:rsidTr="00D94A1D">
        <w:trPr>
          <w:trHeight w:val="288"/>
        </w:trPr>
        <w:tc>
          <w:tcPr>
            <w:tcW w:w="5000" w:type="pct"/>
            <w:gridSpan w:val="14"/>
            <w:tcBorders>
              <w:top w:val="nil"/>
              <w:left w:val="nil"/>
              <w:bottom w:val="nil"/>
              <w:right w:val="nil"/>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项目名称</w:t>
            </w:r>
          </w:p>
        </w:tc>
        <w:tc>
          <w:tcPr>
            <w:tcW w:w="4302" w:type="pct"/>
            <w:gridSpan w:val="1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乌鲁木齐市防疫补助资金</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主管部门</w:t>
            </w:r>
          </w:p>
        </w:tc>
        <w:tc>
          <w:tcPr>
            <w:tcW w:w="1826"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实施单位</w:t>
            </w:r>
          </w:p>
        </w:tc>
        <w:tc>
          <w:tcPr>
            <w:tcW w:w="1748" w:type="pct"/>
            <w:gridSpan w:val="5"/>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第98小学</w:t>
            </w:r>
          </w:p>
        </w:tc>
      </w:tr>
      <w:tr w:rsidR="00D9731B" w:rsidRPr="00AF3B20" w:rsidTr="00D94A1D">
        <w:trPr>
          <w:trHeight w:val="41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项目资金</w:t>
            </w: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olor w:val="000000"/>
                <w:sz w:val="20"/>
                <w:szCs w:val="20"/>
              </w:rPr>
            </w:pPr>
          </w:p>
        </w:tc>
        <w:tc>
          <w:tcPr>
            <w:tcW w:w="349" w:type="pct"/>
            <w:tcBorders>
              <w:top w:val="nil"/>
              <w:left w:val="nil"/>
              <w:bottom w:val="nil"/>
              <w:right w:val="nil"/>
            </w:tcBorders>
            <w:noWrap/>
            <w:tcMar>
              <w:top w:w="12" w:type="dxa"/>
              <w:left w:w="12" w:type="dxa"/>
              <w:bottom w:w="0" w:type="dxa"/>
              <w:right w:w="12" w:type="dxa"/>
            </w:tcMar>
            <w:vAlign w:val="bottom"/>
          </w:tcPr>
          <w:p w:rsidR="00D9731B" w:rsidRPr="00AF3B20" w:rsidRDefault="00D9731B">
            <w:pPr>
              <w:rPr>
                <w:rFonts w:ascii="Arial" w:hAnsi="Arial" w:cs="Arial"/>
                <w:color w:val="000000"/>
                <w:sz w:val="20"/>
                <w:szCs w:val="20"/>
              </w:rPr>
            </w:pPr>
          </w:p>
        </w:tc>
        <w:tc>
          <w:tcPr>
            <w:tcW w:w="349"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s="宋体"/>
                <w:color w:val="000000"/>
                <w:sz w:val="18"/>
                <w:szCs w:val="18"/>
              </w:rPr>
            </w:pPr>
            <w:r w:rsidRPr="00AF3B20">
              <w:rPr>
                <w:rFonts w:ascii="宋体" w:hAnsi="宋体" w:hint="eastAsia"/>
                <w:color w:val="000000"/>
                <w:kern w:val="0"/>
                <w:sz w:val="18"/>
                <w:szCs w:val="18"/>
              </w:rPr>
              <w:t>年初预算数</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全年预算数</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全年执行数</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执行率</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（万元）</w:t>
            </w: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年度资金总额</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100.00%</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r>
      <w:tr w:rsidR="00D9731B" w:rsidRPr="00AF3B20" w:rsidTr="00D94A1D">
        <w:trPr>
          <w:trHeight w:val="390"/>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其中：当年财政拨款</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上年结转资金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288"/>
        </w:trPr>
        <w:tc>
          <w:tcPr>
            <w:tcW w:w="698" w:type="pct"/>
            <w:gridSpan w:val="2"/>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22"/>
              </w:rPr>
            </w:pPr>
          </w:p>
        </w:tc>
        <w:tc>
          <w:tcPr>
            <w:tcW w:w="69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 xml:space="preserve">  其他资金</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8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728"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0.00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c>
          <w:tcPr>
            <w:tcW w:w="35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w:t>
            </w:r>
          </w:p>
        </w:tc>
      </w:tr>
      <w:tr w:rsidR="00D9731B" w:rsidRPr="00AF3B20" w:rsidTr="00D94A1D">
        <w:trPr>
          <w:trHeight w:val="451"/>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年度总体目标</w:t>
            </w: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预期目标</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实际完成情况</w:t>
            </w:r>
          </w:p>
        </w:tc>
      </w:tr>
      <w:tr w:rsidR="00D9731B" w:rsidRPr="00AF3B20" w:rsidTr="00D94A1D">
        <w:trPr>
          <w:trHeight w:val="619"/>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2175" w:type="pct"/>
            <w:gridSpan w:val="6"/>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乌财教科【2020】5号上级专项资金，主要用于2020年疫情期间的物资配备等，有效满足学校疫情期间各项防控工作的顺利开展。</w:t>
            </w:r>
          </w:p>
        </w:tc>
        <w:tc>
          <w:tcPr>
            <w:tcW w:w="2476" w:type="pct"/>
            <w:gridSpan w:val="7"/>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乌财教科【2020】5号上级专项资金，主要用于2020年疫情期间的物资配备等，有效满足学校疫情期间各项防控工作的顺利开展。</w:t>
            </w:r>
          </w:p>
        </w:tc>
      </w:tr>
      <w:tr w:rsidR="00D9731B" w:rsidRPr="00AF3B20" w:rsidTr="00D94A1D">
        <w:trPr>
          <w:trHeight w:val="430"/>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一级指标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二级指标</w:t>
            </w:r>
          </w:p>
        </w:tc>
        <w:tc>
          <w:tcPr>
            <w:tcW w:w="1046" w:type="pct"/>
            <w:gridSpan w:val="3"/>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三级指标</w:t>
            </w:r>
          </w:p>
        </w:tc>
        <w:tc>
          <w:tcPr>
            <w:tcW w:w="431"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年度指标值</w:t>
            </w:r>
          </w:p>
        </w:tc>
        <w:tc>
          <w:tcPr>
            <w:tcW w:w="379" w:type="pct"/>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实际完成值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分值</w:t>
            </w:r>
          </w:p>
        </w:tc>
        <w:tc>
          <w:tcPr>
            <w:tcW w:w="699"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得分</w:t>
            </w:r>
          </w:p>
        </w:tc>
        <w:tc>
          <w:tcPr>
            <w:tcW w:w="700" w:type="pct"/>
            <w:gridSpan w:val="2"/>
            <w:vMerge w:val="restar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偏差原因分析及改进措施</w:t>
            </w:r>
          </w:p>
        </w:tc>
      </w:tr>
      <w:tr w:rsidR="00D9731B" w:rsidRPr="00AF3B20" w:rsidTr="00D94A1D">
        <w:trPr>
          <w:trHeight w:val="288"/>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431"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79" w:type="pct"/>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699"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700" w:type="pct"/>
            <w:gridSpan w:val="2"/>
            <w:vMerge/>
            <w:tcBorders>
              <w:top w:val="single" w:sz="4" w:space="0" w:color="000000"/>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r>
      <w:tr w:rsidR="00D9731B" w:rsidRPr="00AF3B20" w:rsidTr="00D94A1D">
        <w:trPr>
          <w:trHeight w:val="1165"/>
        </w:trPr>
        <w:tc>
          <w:tcPr>
            <w:tcW w:w="349" w:type="pct"/>
            <w:vMerge w:val="restart"/>
            <w:tcBorders>
              <w:top w:val="nil"/>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年度绩效指标完成情况</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产出指标</w:t>
            </w: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数量指标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在编教师数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=31人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31人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在校学生数</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899人</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质量指标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资金使用合规率</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840"/>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时效指标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项目完成时间</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=8个月</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8个月</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962"/>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成本指标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项目总成本</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=10万元</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10万元</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val="restart"/>
            <w:tcBorders>
              <w:top w:val="nil"/>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效益指标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经济效益指标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社会效益指标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开展学校各类疫情防控工作</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有效开展</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0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生态效益指标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043"/>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vMerge/>
            <w:tcBorders>
              <w:top w:val="nil"/>
              <w:left w:val="nil"/>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可持续影响指标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保障校园师生健康</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长期保障</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达成年度指标</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15</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24"/>
        </w:trPr>
        <w:tc>
          <w:tcPr>
            <w:tcW w:w="349" w:type="pct"/>
            <w:vMerge/>
            <w:tcBorders>
              <w:top w:val="nil"/>
              <w:left w:val="single" w:sz="4" w:space="0" w:color="000000"/>
              <w:bottom w:val="single" w:sz="4" w:space="0" w:color="000000"/>
              <w:right w:val="single" w:sz="4" w:space="0" w:color="000000"/>
            </w:tcBorders>
            <w:vAlign w:val="center"/>
            <w:hideMark/>
          </w:tcPr>
          <w:p w:rsidR="00D9731B" w:rsidRPr="00AF3B20" w:rsidRDefault="00D9731B">
            <w:pPr>
              <w:widowControl/>
              <w:jc w:val="left"/>
              <w:rPr>
                <w:rFonts w:ascii="宋体" w:eastAsia="宋体" w:hAnsi="宋体" w:cs="宋体"/>
                <w:color w:val="000000"/>
                <w:sz w:val="18"/>
                <w:szCs w:val="18"/>
              </w:rPr>
            </w:pP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满意度指标</w:t>
            </w:r>
          </w:p>
        </w:tc>
        <w:tc>
          <w:tcPr>
            <w:tcW w:w="34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服务对象满意度指标</w:t>
            </w:r>
          </w:p>
        </w:tc>
        <w:tc>
          <w:tcPr>
            <w:tcW w:w="1046" w:type="pct"/>
            <w:gridSpan w:val="3"/>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师生及家长满意度</w:t>
            </w:r>
          </w:p>
        </w:tc>
        <w:tc>
          <w:tcPr>
            <w:tcW w:w="431"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≥95%</w:t>
            </w:r>
          </w:p>
        </w:tc>
        <w:tc>
          <w:tcPr>
            <w:tcW w:w="379" w:type="pct"/>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98%</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tcPr>
          <w:p w:rsidR="00D9731B" w:rsidRPr="00AF3B20" w:rsidRDefault="00D9731B">
            <w:pPr>
              <w:jc w:val="center"/>
              <w:rPr>
                <w:rFonts w:ascii="宋体" w:hAnsi="宋体"/>
                <w:color w:val="000000"/>
                <w:sz w:val="18"/>
                <w:szCs w:val="18"/>
              </w:rPr>
            </w:pPr>
          </w:p>
        </w:tc>
      </w:tr>
      <w:tr w:rsidR="00D9731B" w:rsidRPr="00AF3B20" w:rsidTr="00D94A1D">
        <w:trPr>
          <w:trHeight w:val="1110"/>
        </w:trPr>
        <w:tc>
          <w:tcPr>
            <w:tcW w:w="2903" w:type="pct"/>
            <w:gridSpan w:val="8"/>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总分</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699"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widowControl/>
              <w:jc w:val="center"/>
              <w:textAlignment w:val="center"/>
              <w:rPr>
                <w:rFonts w:ascii="宋体" w:hAnsi="宋体"/>
                <w:color w:val="000000"/>
                <w:sz w:val="18"/>
                <w:szCs w:val="18"/>
              </w:rPr>
            </w:pPr>
            <w:r w:rsidRPr="00AF3B20">
              <w:rPr>
                <w:rFonts w:ascii="宋体" w:hAnsi="宋体" w:hint="eastAsia"/>
                <w:color w:val="000000"/>
                <w:kern w:val="0"/>
                <w:sz w:val="18"/>
                <w:szCs w:val="18"/>
              </w:rPr>
              <w:t>100</w:t>
            </w:r>
          </w:p>
        </w:tc>
        <w:tc>
          <w:tcPr>
            <w:tcW w:w="700" w:type="pct"/>
            <w:gridSpan w:val="2"/>
            <w:tcBorders>
              <w:top w:val="single" w:sz="4" w:space="0" w:color="000000"/>
              <w:left w:val="nil"/>
              <w:bottom w:val="single" w:sz="4" w:space="0" w:color="000000"/>
              <w:right w:val="single" w:sz="4" w:space="0" w:color="000000"/>
            </w:tcBorders>
            <w:tcMar>
              <w:top w:w="12" w:type="dxa"/>
              <w:left w:w="12" w:type="dxa"/>
              <w:bottom w:w="0" w:type="dxa"/>
              <w:right w:w="12" w:type="dxa"/>
            </w:tcMar>
            <w:vAlign w:val="center"/>
            <w:hideMark/>
          </w:tcPr>
          <w:p w:rsidR="00D9731B" w:rsidRPr="00AF3B20" w:rsidRDefault="00D9731B">
            <w:pPr>
              <w:jc w:val="center"/>
              <w:rPr>
                <w:rFonts w:ascii="宋体" w:hAnsi="宋体"/>
                <w:color w:val="000000"/>
                <w:sz w:val="18"/>
                <w:szCs w:val="18"/>
              </w:rPr>
            </w:pPr>
          </w:p>
        </w:tc>
      </w:tr>
    </w:tbl>
    <w:p w:rsidR="00D52037" w:rsidRPr="00445CBE" w:rsidRDefault="00D52037" w:rsidP="00D52037">
      <w:pPr>
        <w:shd w:val="clear" w:color="auto" w:fill="FFFFFF"/>
        <w:autoSpaceDE w:val="0"/>
        <w:autoSpaceDN w:val="0"/>
        <w:adjustRightInd w:val="0"/>
        <w:spacing w:before="100" w:after="240"/>
        <w:jc w:val="center"/>
        <w:rPr>
          <w:rFonts w:ascii="Times New Roman" w:eastAsia="黑体" w:hAnsi="Times New Roman" w:cs="Times New Roman"/>
          <w:b/>
          <w:bCs/>
          <w:kern w:val="0"/>
          <w:sz w:val="32"/>
          <w:szCs w:val="32"/>
        </w:rPr>
      </w:pPr>
      <w:r w:rsidRPr="00445CBE">
        <w:rPr>
          <w:rFonts w:ascii="黑体" w:eastAsia="黑体" w:hAnsi="Times New Roman" w:cs="黑体" w:hint="eastAsia"/>
          <w:kern w:val="0"/>
          <w:sz w:val="32"/>
          <w:szCs w:val="32"/>
        </w:rPr>
        <w:t>第三部分</w:t>
      </w:r>
      <w:r w:rsidRPr="00445CBE">
        <w:rPr>
          <w:rFonts w:ascii="黑体" w:eastAsia="黑体" w:hAnsi="Times New Roman" w:cs="黑体"/>
          <w:kern w:val="0"/>
          <w:sz w:val="32"/>
          <w:szCs w:val="32"/>
        </w:rPr>
        <w:t xml:space="preserve"> </w:t>
      </w:r>
      <w:r w:rsidRPr="00445CBE">
        <w:rPr>
          <w:rFonts w:ascii="黑体" w:eastAsia="黑体" w:hAnsi="Times New Roman" w:cs="黑体" w:hint="eastAsia"/>
          <w:kern w:val="0"/>
          <w:sz w:val="32"/>
          <w:szCs w:val="32"/>
        </w:rPr>
        <w:t>专业名词解释</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财政拨款收入：指同级财政当年拨付的资金。</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上级补助收入：指事业单位从主管部门和上级单位取得的非财政补助收入。</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事业收入：指事业单位开展专业业务活动及其辅助活动所取得的收入。</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经营收入：指事业单位在专业业务活动及其辅助活动之外开展非独立核算经营活动取得的收入。</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附属单位上缴收入：指事业单位附属的独立核算单位按有关</w:t>
      </w:r>
      <w:r w:rsidRPr="00445CBE">
        <w:rPr>
          <w:rFonts w:ascii="仿宋_GB2312" w:eastAsia="仿宋_GB2312" w:hAnsi="Times New Roman" w:cs="仿宋_GB2312" w:hint="eastAsia"/>
          <w:kern w:val="0"/>
          <w:sz w:val="32"/>
          <w:szCs w:val="32"/>
        </w:rPr>
        <w:lastRenderedPageBreak/>
        <w:t>规定上缴的收入。</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其他收入：指除上述</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财政拨款收入</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事业收入</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经营收入</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附属单位上缴收入</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等之外取得的收入。</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基本支出：指为保障机构正常运转、完成日常工作任务而发生的人员支出和公用支出。</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项目支出：指在基本支出之外为完成特定行政任务和事业发展目标所发生的支出。</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经营支出：指事业单位在专业业务活动及其辅助活动之外开展非独立核算经营活动发生的支出。</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对附属单位补助支出：指事业单位发生的用非财政预算资金对附属单位的补助支出。</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三公</w:t>
      </w:r>
      <w:r w:rsidRPr="00445CBE">
        <w:rPr>
          <w:rFonts w:ascii="Times New Roman" w:eastAsia="仿宋_GB2312" w:hAnsi="Times New Roman" w:cs="Times New Roman"/>
          <w:kern w:val="0"/>
          <w:sz w:val="32"/>
          <w:szCs w:val="32"/>
        </w:rPr>
        <w:t>”</w:t>
      </w:r>
      <w:r w:rsidRPr="00445CBE">
        <w:rPr>
          <w:rFonts w:ascii="仿宋_GB2312" w:eastAsia="仿宋_GB2312" w:hAnsi="Times New Roman" w:cs="仿宋_GB2312" w:hint="eastAsia"/>
          <w:kern w:val="0"/>
          <w:sz w:val="32"/>
          <w:szCs w:val="32"/>
        </w:rPr>
        <w:t>经费：指用一般公共预算财政拨款安排的因公出国（境）费、公务用车购置及运行费和公务接待费。其中，因公出国（境）费反映单位公务出国（境）的国际旅费、国外城市间交通费、住宿费、伙食费、培训费、公杂费等支出；公务用</w:t>
      </w:r>
      <w:r w:rsidRPr="00445CBE">
        <w:rPr>
          <w:rFonts w:ascii="仿宋_GB2312" w:eastAsia="仿宋_GB2312" w:hAnsi="Times New Roman" w:cs="仿宋_GB2312" w:hint="eastAsia"/>
          <w:kern w:val="0"/>
          <w:sz w:val="32"/>
          <w:szCs w:val="32"/>
        </w:rPr>
        <w:lastRenderedPageBreak/>
        <w:t>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D52037" w:rsidRPr="00445CBE" w:rsidRDefault="00D52037" w:rsidP="00D52037">
      <w:pPr>
        <w:shd w:val="clear" w:color="auto" w:fill="FFFFFF"/>
        <w:autoSpaceDE w:val="0"/>
        <w:autoSpaceDN w:val="0"/>
        <w:adjustRightInd w:val="0"/>
        <w:spacing w:before="100" w:line="520" w:lineRule="exact"/>
        <w:ind w:firstLine="480"/>
        <w:rPr>
          <w:rFonts w:ascii="Times New Roman" w:eastAsia="仿宋_GB2312" w:hAnsi="Times New Roman" w:cs="Times New Roman"/>
          <w:kern w:val="0"/>
          <w:sz w:val="32"/>
          <w:szCs w:val="32"/>
        </w:rPr>
      </w:pPr>
      <w:r w:rsidRPr="00445CBE">
        <w:rPr>
          <w:rFonts w:ascii="仿宋_GB2312" w:eastAsia="仿宋_GB2312" w:hAnsi="Times New Roman" w:cs="仿宋_GB2312" w:hint="eastAsia"/>
          <w:kern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52037" w:rsidRPr="00445CBE" w:rsidRDefault="00D52037" w:rsidP="00D52037">
      <w:pPr>
        <w:shd w:val="clear" w:color="auto" w:fill="FFFFFF"/>
        <w:autoSpaceDE w:val="0"/>
        <w:autoSpaceDN w:val="0"/>
        <w:adjustRightInd w:val="0"/>
        <w:spacing w:before="100" w:after="240"/>
        <w:jc w:val="center"/>
        <w:rPr>
          <w:rFonts w:ascii="Times New Roman" w:eastAsia="黑体" w:hAnsi="Times New Roman" w:cs="Times New Roman"/>
          <w:kern w:val="0"/>
          <w:sz w:val="32"/>
          <w:szCs w:val="32"/>
        </w:rPr>
      </w:pPr>
      <w:r w:rsidRPr="00445CBE">
        <w:rPr>
          <w:rFonts w:ascii="黑体" w:eastAsia="黑体" w:hAnsi="Times New Roman" w:cs="黑体" w:hint="eastAsia"/>
          <w:kern w:val="0"/>
          <w:sz w:val="32"/>
          <w:szCs w:val="32"/>
        </w:rPr>
        <w:t>第四部分</w:t>
      </w:r>
      <w:r w:rsidRPr="00445CBE">
        <w:rPr>
          <w:rFonts w:ascii="黑体" w:eastAsia="黑体" w:hAnsi="Times New Roman" w:cs="黑体"/>
          <w:kern w:val="0"/>
          <w:sz w:val="32"/>
          <w:szCs w:val="32"/>
        </w:rPr>
        <w:t xml:space="preserve"> </w:t>
      </w:r>
      <w:r w:rsidRPr="00445CBE">
        <w:rPr>
          <w:rFonts w:ascii="黑体" w:eastAsia="黑体" w:hAnsi="Times New Roman" w:cs="黑体" w:hint="eastAsia"/>
          <w:kern w:val="0"/>
          <w:sz w:val="32"/>
          <w:szCs w:val="32"/>
        </w:rPr>
        <w:t>部门决算报表（见附表）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一、《收入支出决算总表》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二、《收入决算表》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三、《支出决算表》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四、《财政拨款收入支出决算总表》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五、《一般公共预算财政拨款支出决算表》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六、《一般公共预算财政拨款基本支出决算表》</w:t>
      </w:r>
    </w:p>
    <w:p w:rsidR="00D52037" w:rsidRPr="00445CBE" w:rsidRDefault="00D52037" w:rsidP="00D52037">
      <w:pPr>
        <w:autoSpaceDE w:val="0"/>
        <w:autoSpaceDN w:val="0"/>
        <w:adjustRightInd w:val="0"/>
        <w:spacing w:line="540" w:lineRule="exact"/>
        <w:ind w:firstLine="640"/>
        <w:rPr>
          <w:rFonts w:ascii="Times New Roman" w:eastAsia="黑体" w:hAnsi="Times New Roman" w:cs="Times New Roman"/>
          <w:sz w:val="32"/>
          <w:szCs w:val="32"/>
        </w:rPr>
      </w:pPr>
      <w:r w:rsidRPr="00445CBE">
        <w:rPr>
          <w:rFonts w:ascii="黑体" w:eastAsia="黑体" w:hAnsi="Times New Roman" w:cs="黑体" w:hint="eastAsia"/>
          <w:sz w:val="32"/>
          <w:szCs w:val="32"/>
        </w:rPr>
        <w:t>七、《一般公共预算财政拨款</w:t>
      </w:r>
      <w:r w:rsidRPr="00445CBE">
        <w:rPr>
          <w:rFonts w:ascii="Times New Roman" w:eastAsia="黑体" w:hAnsi="Times New Roman" w:cs="Times New Roman"/>
          <w:sz w:val="32"/>
          <w:szCs w:val="32"/>
        </w:rPr>
        <w:t>“</w:t>
      </w:r>
      <w:r w:rsidRPr="00445CBE">
        <w:rPr>
          <w:rFonts w:ascii="黑体" w:eastAsia="黑体" w:hAnsi="Times New Roman" w:cs="黑体" w:hint="eastAsia"/>
          <w:sz w:val="32"/>
          <w:szCs w:val="32"/>
        </w:rPr>
        <w:t>三公</w:t>
      </w:r>
      <w:r w:rsidRPr="00445CBE">
        <w:rPr>
          <w:rFonts w:ascii="Times New Roman" w:eastAsia="黑体" w:hAnsi="Times New Roman" w:cs="Times New Roman"/>
          <w:sz w:val="32"/>
          <w:szCs w:val="32"/>
        </w:rPr>
        <w:t>”</w:t>
      </w:r>
      <w:r w:rsidRPr="00445CBE">
        <w:rPr>
          <w:rFonts w:ascii="黑体" w:eastAsia="黑体" w:hAnsi="Times New Roman" w:cs="黑体" w:hint="eastAsia"/>
          <w:sz w:val="32"/>
          <w:szCs w:val="32"/>
        </w:rPr>
        <w:t>经费支出决算表》</w:t>
      </w:r>
    </w:p>
    <w:p w:rsidR="00D52037" w:rsidRPr="00AF3B20" w:rsidRDefault="00D52037" w:rsidP="00D52037">
      <w:pPr>
        <w:autoSpaceDE w:val="0"/>
        <w:autoSpaceDN w:val="0"/>
        <w:adjustRightInd w:val="0"/>
        <w:spacing w:line="540" w:lineRule="exact"/>
        <w:ind w:firstLine="640"/>
        <w:rPr>
          <w:rFonts w:ascii="Times New Roman" w:eastAsia="黑体" w:hAnsi="Times New Roman" w:cs="Times New Roman"/>
          <w:kern w:val="0"/>
          <w:sz w:val="32"/>
          <w:szCs w:val="32"/>
        </w:rPr>
      </w:pPr>
      <w:r w:rsidRPr="00AF3B20">
        <w:rPr>
          <w:rFonts w:ascii="黑体" w:eastAsia="黑体" w:hAnsi="Times New Roman" w:cs="黑体" w:hint="eastAsia"/>
          <w:sz w:val="32"/>
          <w:szCs w:val="32"/>
        </w:rPr>
        <w:t>八、《政府性基金预算财政拨款收入支出决算表》</w:t>
      </w:r>
    </w:p>
    <w:p w:rsidR="00D52037" w:rsidRPr="00D94A1D" w:rsidRDefault="00D52037" w:rsidP="00D94A1D">
      <w:pPr>
        <w:autoSpaceDE w:val="0"/>
        <w:autoSpaceDN w:val="0"/>
        <w:adjustRightInd w:val="0"/>
        <w:spacing w:line="540" w:lineRule="exact"/>
        <w:ind w:firstLine="640"/>
        <w:rPr>
          <w:rFonts w:ascii="Times New Roman" w:eastAsia="黑体" w:hAnsi="Times New Roman" w:cs="Times New Roman"/>
          <w:kern w:val="0"/>
          <w:sz w:val="32"/>
          <w:szCs w:val="32"/>
        </w:rPr>
      </w:pPr>
      <w:r w:rsidRPr="00AF3B20">
        <w:rPr>
          <w:rFonts w:ascii="黑体" w:eastAsia="黑体" w:hAnsi="Times New Roman" w:cs="黑体" w:hint="eastAsia"/>
          <w:sz w:val="32"/>
          <w:szCs w:val="32"/>
          <w:lang w:val="zh-CN"/>
        </w:rPr>
        <w:t>九</w:t>
      </w:r>
      <w:r w:rsidRPr="00AF3B20">
        <w:rPr>
          <w:rFonts w:ascii="黑体" w:eastAsia="黑体" w:hAnsi="Times New Roman" w:cs="黑体" w:hint="eastAsia"/>
          <w:sz w:val="32"/>
          <w:szCs w:val="32"/>
        </w:rPr>
        <w:t>、《国有资本经营预算财政拨款收入支出决算表》</w:t>
      </w:r>
    </w:p>
    <w:sectPr w:rsidR="00D52037" w:rsidRPr="00D94A1D" w:rsidSect="00D9731B">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573" w:rsidRDefault="00550573" w:rsidP="00445CBE">
      <w:r>
        <w:separator/>
      </w:r>
    </w:p>
  </w:endnote>
  <w:endnote w:type="continuationSeparator" w:id="0">
    <w:p w:rsidR="00550573" w:rsidRDefault="00550573" w:rsidP="0044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方正小标宋简体"/>
    <w:panose1 w:val="00000000000000000000"/>
    <w:charset w:val="86"/>
    <w:family w:val="script"/>
    <w:notTrueType/>
    <w:pitch w:val="variable"/>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573" w:rsidRDefault="00550573" w:rsidP="00445CBE">
      <w:r>
        <w:separator/>
      </w:r>
    </w:p>
  </w:footnote>
  <w:footnote w:type="continuationSeparator" w:id="0">
    <w:p w:rsidR="00550573" w:rsidRDefault="00550573" w:rsidP="00445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F5D"/>
    <w:rsid w:val="00230743"/>
    <w:rsid w:val="00306A58"/>
    <w:rsid w:val="003F6B11"/>
    <w:rsid w:val="00445CBE"/>
    <w:rsid w:val="00550573"/>
    <w:rsid w:val="00712CCD"/>
    <w:rsid w:val="008309B3"/>
    <w:rsid w:val="008856C3"/>
    <w:rsid w:val="009B2F5D"/>
    <w:rsid w:val="00A53263"/>
    <w:rsid w:val="00A96C69"/>
    <w:rsid w:val="00AF3B20"/>
    <w:rsid w:val="00D52037"/>
    <w:rsid w:val="00D94A1D"/>
    <w:rsid w:val="00D9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044478-1FCC-4FDA-87AE-7DC5A811D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2037"/>
    <w:pPr>
      <w:widowControl/>
      <w:spacing w:before="100" w:beforeAutospacing="1" w:after="240"/>
      <w:jc w:val="left"/>
    </w:pPr>
    <w:rPr>
      <w:rFonts w:ascii="宋体" w:eastAsia="宋体" w:hAnsi="宋体" w:cs="宋体"/>
      <w:sz w:val="24"/>
      <w:szCs w:val="24"/>
    </w:rPr>
  </w:style>
  <w:style w:type="paragraph" w:styleId="a4">
    <w:name w:val="header"/>
    <w:basedOn w:val="a"/>
    <w:link w:val="Char"/>
    <w:uiPriority w:val="99"/>
    <w:unhideWhenUsed/>
    <w:rsid w:val="00445C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5CBE"/>
    <w:rPr>
      <w:sz w:val="18"/>
      <w:szCs w:val="18"/>
    </w:rPr>
  </w:style>
  <w:style w:type="paragraph" w:styleId="a5">
    <w:name w:val="footer"/>
    <w:basedOn w:val="a"/>
    <w:link w:val="Char0"/>
    <w:uiPriority w:val="99"/>
    <w:unhideWhenUsed/>
    <w:rsid w:val="00445CBE"/>
    <w:pPr>
      <w:tabs>
        <w:tab w:val="center" w:pos="4153"/>
        <w:tab w:val="right" w:pos="8306"/>
      </w:tabs>
      <w:snapToGrid w:val="0"/>
      <w:jc w:val="left"/>
    </w:pPr>
    <w:rPr>
      <w:sz w:val="18"/>
      <w:szCs w:val="18"/>
    </w:rPr>
  </w:style>
  <w:style w:type="character" w:customStyle="1" w:styleId="Char0">
    <w:name w:val="页脚 Char"/>
    <w:basedOn w:val="a0"/>
    <w:link w:val="a5"/>
    <w:uiPriority w:val="99"/>
    <w:rsid w:val="00445C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06713">
      <w:bodyDiv w:val="1"/>
      <w:marLeft w:val="0"/>
      <w:marRight w:val="0"/>
      <w:marTop w:val="0"/>
      <w:marBottom w:val="0"/>
      <w:divBdr>
        <w:top w:val="none" w:sz="0" w:space="0" w:color="auto"/>
        <w:left w:val="none" w:sz="0" w:space="0" w:color="auto"/>
        <w:bottom w:val="none" w:sz="0" w:space="0" w:color="auto"/>
        <w:right w:val="none" w:sz="0" w:space="0" w:color="auto"/>
      </w:divBdr>
    </w:div>
    <w:div w:id="1340885601">
      <w:bodyDiv w:val="1"/>
      <w:marLeft w:val="0"/>
      <w:marRight w:val="0"/>
      <w:marTop w:val="0"/>
      <w:marBottom w:val="0"/>
      <w:divBdr>
        <w:top w:val="none" w:sz="0" w:space="0" w:color="auto"/>
        <w:left w:val="none" w:sz="0" w:space="0" w:color="auto"/>
        <w:bottom w:val="none" w:sz="0" w:space="0" w:color="auto"/>
        <w:right w:val="none" w:sz="0" w:space="0" w:color="auto"/>
      </w:divBdr>
    </w:div>
    <w:div w:id="1719280916">
      <w:bodyDiv w:val="1"/>
      <w:marLeft w:val="0"/>
      <w:marRight w:val="0"/>
      <w:marTop w:val="0"/>
      <w:marBottom w:val="0"/>
      <w:divBdr>
        <w:top w:val="none" w:sz="0" w:space="0" w:color="auto"/>
        <w:left w:val="none" w:sz="0" w:space="0" w:color="auto"/>
        <w:bottom w:val="none" w:sz="0" w:space="0" w:color="auto"/>
        <w:right w:val="none" w:sz="0" w:space="0" w:color="auto"/>
      </w:divBdr>
    </w:div>
    <w:div w:id="173080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1208</Words>
  <Characters>6887</Characters>
  <Application>Microsoft Office Word</Application>
  <DocSecurity>0</DocSecurity>
  <Lines>57</Lines>
  <Paragraphs>16</Paragraphs>
  <ScaleCrop>false</ScaleCrop>
  <Company/>
  <LinksUpToDate>false</LinksUpToDate>
  <CharactersWithSpaces>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Microwin10</dc:creator>
  <cp:keywords/>
  <dc:description/>
  <cp:lastModifiedBy>Microwin10</cp:lastModifiedBy>
  <cp:revision>8</cp:revision>
  <dcterms:created xsi:type="dcterms:W3CDTF">2021-08-04T05:57:00Z</dcterms:created>
  <dcterms:modified xsi:type="dcterms:W3CDTF">2021-08-31T03:17:00Z</dcterms:modified>
</cp:coreProperties>
</file>