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drawings/drawing2.xml" ContentType="application/vnd.openxmlformats-officedocument.drawingml.chartshapes+xml"/>
  <Override PartName="/word/drawings/drawing3.xml" ContentType="application/vnd.openxmlformats-officedocument.drawingml.chartshap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b/>
          <w:sz w:val="36"/>
          <w:szCs w:val="36"/>
        </w:rPr>
      </w:pPr>
      <w:r>
        <w:rPr>
          <w:rFonts w:hint="eastAsia" w:ascii="仿宋_GB2312" w:hAnsi="宋体" w:eastAsia="仿宋_GB2312"/>
          <w:b/>
          <w:sz w:val="36"/>
          <w:szCs w:val="36"/>
        </w:rPr>
        <w:t>米东区二〇一九年财政收支总决算说明</w:t>
      </w:r>
    </w:p>
    <w:p>
      <w:pPr>
        <w:jc w:val="center"/>
        <w:rPr>
          <w:rFonts w:ascii="仿宋_GB2312" w:hAnsi="宋体" w:eastAsia="仿宋_GB2312"/>
          <w:b/>
          <w:sz w:val="36"/>
          <w:szCs w:val="36"/>
        </w:rPr>
      </w:pPr>
    </w:p>
    <w:p>
      <w:pPr>
        <w:topLinePunct/>
        <w:spacing w:line="560" w:lineRule="exact"/>
        <w:ind w:firstLine="640" w:firstLineChars="200"/>
        <w:rPr>
          <w:rFonts w:ascii="方正仿宋_GBK" w:hAnsi="_65b9_6b63_4eff_5b8b_GBK" w:eastAsia="方正仿宋_GBK" w:cs="宋体"/>
          <w:kern w:val="0"/>
          <w:sz w:val="32"/>
          <w:szCs w:val="32"/>
        </w:rPr>
      </w:pPr>
      <w:r>
        <w:rPr>
          <w:rFonts w:hint="eastAsia" w:ascii="方正仿宋_GBK" w:hAnsi="Arial" w:eastAsia="方正仿宋_GBK" w:cs="Arial"/>
          <w:bCs/>
          <w:kern w:val="0"/>
          <w:sz w:val="32"/>
          <w:szCs w:val="32"/>
        </w:rPr>
        <w:t>2019年，米东区</w:t>
      </w:r>
      <w:r>
        <w:fldChar w:fldCharType="begin"/>
      </w:r>
      <w:r>
        <w:instrText xml:space="preserve"> HYPERLINK "http://www.wm114.cn/0v/7/index.html" </w:instrText>
      </w:r>
      <w:r>
        <w:fldChar w:fldCharType="separate"/>
      </w:r>
      <w:r>
        <w:rPr>
          <w:rFonts w:hint="eastAsia" w:ascii="方正仿宋_GBK" w:eastAsia="方正仿宋_GBK"/>
          <w:bCs/>
          <w:sz w:val="32"/>
          <w:szCs w:val="32"/>
        </w:rPr>
        <w:t>财政</w:t>
      </w:r>
      <w:r>
        <w:rPr>
          <w:rFonts w:hint="eastAsia" w:ascii="方正仿宋_GBK" w:eastAsia="方正仿宋_GBK"/>
          <w:bCs/>
          <w:sz w:val="32"/>
          <w:szCs w:val="32"/>
        </w:rPr>
        <w:fldChar w:fldCharType="end"/>
      </w:r>
      <w:r>
        <w:rPr>
          <w:rFonts w:hint="eastAsia" w:ascii="方正仿宋_GBK" w:eastAsia="方正仿宋_GBK"/>
          <w:sz w:val="32"/>
          <w:szCs w:val="32"/>
        </w:rPr>
        <w:t>局紧紧围绕社会稳定和长治久安总目</w:t>
      </w:r>
      <w:r>
        <w:rPr>
          <w:rFonts w:hint="eastAsia" w:ascii="方正仿宋_GBK" w:hAnsi="Arial" w:eastAsia="方正仿宋_GBK" w:cs="Arial"/>
          <w:bCs/>
          <w:kern w:val="0"/>
          <w:sz w:val="32"/>
          <w:szCs w:val="32"/>
        </w:rPr>
        <w:t>标，全面贯彻落实党的十九大及米东区委二届九次全会</w:t>
      </w:r>
      <w:bookmarkStart w:id="0" w:name="_GoBack"/>
      <w:bookmarkEnd w:id="0"/>
      <w:r>
        <w:rPr>
          <w:rFonts w:hint="eastAsia" w:ascii="方正仿宋_GBK" w:hAnsi="Arial" w:eastAsia="方正仿宋_GBK" w:cs="Arial"/>
          <w:bCs/>
          <w:kern w:val="0"/>
          <w:sz w:val="32"/>
          <w:szCs w:val="32"/>
        </w:rPr>
        <w:t>精神，围绕自治区党委“1+3+3+改革开放”总体部署，</w:t>
      </w:r>
      <w:r>
        <w:rPr>
          <w:rFonts w:ascii="方正仿宋_GBK" w:hAnsi="Arial" w:eastAsia="方正仿宋_GBK" w:cs="Arial"/>
          <w:bCs/>
          <w:kern w:val="0"/>
          <w:sz w:val="32"/>
          <w:szCs w:val="32"/>
        </w:rPr>
        <w:t>抓好“三件大事”、建设“六个首府”</w:t>
      </w:r>
      <w:r>
        <w:rPr>
          <w:rFonts w:hint="eastAsia" w:ascii="方正仿宋_GBK" w:hAnsi="Arial" w:eastAsia="方正仿宋_GBK" w:cs="Arial"/>
          <w:bCs/>
          <w:kern w:val="0"/>
          <w:sz w:val="32"/>
          <w:szCs w:val="32"/>
        </w:rPr>
        <w:t>工作部署</w:t>
      </w:r>
      <w:r>
        <w:rPr>
          <w:rFonts w:ascii="方正仿宋_GBK" w:hAnsi="Arial" w:eastAsia="方正仿宋_GBK" w:cs="Arial"/>
          <w:bCs/>
          <w:kern w:val="0"/>
          <w:sz w:val="32"/>
          <w:szCs w:val="32"/>
        </w:rPr>
        <w:t>，</w:t>
      </w:r>
      <w:r>
        <w:rPr>
          <w:rFonts w:hint="eastAsia" w:ascii="方正仿宋_GBK" w:hAnsi="Arial" w:eastAsia="方正仿宋_GBK" w:cs="Arial"/>
          <w:bCs/>
          <w:kern w:val="0"/>
          <w:sz w:val="32"/>
          <w:szCs w:val="32"/>
        </w:rPr>
        <w:t>扎实有效的开展全面提升经济发展质量和效益，全力服务保障十项民生实事，打好防范化解重</w:t>
      </w:r>
      <w:r>
        <w:rPr>
          <w:rFonts w:hint="eastAsia" w:ascii="方正仿宋_GBK" w:hAnsi="仿宋" w:eastAsia="方正仿宋_GBK"/>
          <w:kern w:val="0"/>
          <w:sz w:val="32"/>
          <w:szCs w:val="32"/>
        </w:rPr>
        <w:t>大金融风险、精准脱贫、污染防治“三大攻坚战”。</w:t>
      </w:r>
      <w:r>
        <w:rPr>
          <w:rFonts w:eastAsia="方正仿宋_GBK"/>
          <w:bCs/>
          <w:sz w:val="32"/>
          <w:szCs w:val="32"/>
        </w:rPr>
        <w:t>做好</w:t>
      </w:r>
      <w:r>
        <w:rPr>
          <w:rFonts w:hint="eastAsia" w:eastAsia="方正仿宋_GBK"/>
          <w:bCs/>
          <w:sz w:val="32"/>
          <w:szCs w:val="32"/>
        </w:rPr>
        <w:t>“</w:t>
      </w:r>
      <w:r>
        <w:rPr>
          <w:rFonts w:eastAsia="方正仿宋_GBK"/>
          <w:bCs/>
          <w:sz w:val="32"/>
          <w:szCs w:val="32"/>
        </w:rPr>
        <w:t>稳增长、促改革、调结构、惠民生、防风险</w:t>
      </w:r>
      <w:r>
        <w:rPr>
          <w:rFonts w:hint="eastAsia" w:eastAsia="方正仿宋_GBK"/>
          <w:bCs/>
          <w:sz w:val="32"/>
          <w:szCs w:val="32"/>
        </w:rPr>
        <w:t>、</w:t>
      </w:r>
      <w:r>
        <w:rPr>
          <w:rFonts w:eastAsia="方正仿宋_GBK"/>
          <w:bCs/>
          <w:sz w:val="32"/>
          <w:szCs w:val="32"/>
        </w:rPr>
        <w:t>保稳定</w:t>
      </w:r>
      <w:r>
        <w:rPr>
          <w:rFonts w:hint="eastAsia" w:eastAsia="方正仿宋_GBK"/>
          <w:bCs/>
          <w:sz w:val="32"/>
          <w:szCs w:val="32"/>
        </w:rPr>
        <w:t>”</w:t>
      </w:r>
      <w:r>
        <w:rPr>
          <w:rFonts w:eastAsia="方正仿宋_GBK"/>
          <w:bCs/>
          <w:sz w:val="32"/>
          <w:szCs w:val="32"/>
        </w:rPr>
        <w:t>各项工作，有力促进了我区经济社会持续健康发展</w:t>
      </w:r>
      <w:r>
        <w:rPr>
          <w:rFonts w:hint="eastAsia" w:ascii="方正仿宋_GBK" w:hAnsi="_65b9_6b63_4eff_5b8b_GBK" w:eastAsia="方正仿宋_GBK" w:cs="宋体"/>
          <w:kern w:val="0"/>
          <w:sz w:val="32"/>
          <w:szCs w:val="32"/>
        </w:rPr>
        <w:t>。</w:t>
      </w:r>
    </w:p>
    <w:p>
      <w:pPr>
        <w:ind w:firstLine="640" w:firstLineChars="200"/>
        <w:rPr>
          <w:rFonts w:ascii="仿宋_GB2312" w:hAnsi="宋体" w:eastAsia="仿宋_GB2312"/>
          <w:sz w:val="32"/>
          <w:szCs w:val="32"/>
        </w:rPr>
      </w:pPr>
      <w:r>
        <w:rPr>
          <w:rFonts w:hint="eastAsia" w:ascii="仿宋_GB2312" w:hAnsi="宋体" w:eastAsia="仿宋_GB2312"/>
          <w:sz w:val="32"/>
          <w:szCs w:val="32"/>
        </w:rPr>
        <w:t>现将2019年财政收支决算编制说明如下：</w:t>
      </w:r>
    </w:p>
    <w:p>
      <w:pPr>
        <w:spacing w:line="520" w:lineRule="exact"/>
        <w:ind w:firstLine="630"/>
        <w:rPr>
          <w:rFonts w:ascii="仿宋_GB2312" w:hAnsi="宋体" w:eastAsia="仿宋_GB2312"/>
          <w:b/>
          <w:sz w:val="32"/>
          <w:szCs w:val="32"/>
        </w:rPr>
      </w:pPr>
      <w:r>
        <w:rPr>
          <w:rFonts w:hint="eastAsia" w:ascii="仿宋_GB2312" w:hAnsi="宋体" w:eastAsia="仿宋_GB2312"/>
          <w:b/>
          <w:sz w:val="32"/>
          <w:szCs w:val="32"/>
        </w:rPr>
        <w:t>一、财政决算编制基本情况</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（一）机构人员情况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2019年末机构共计165个，年末人数7,130人。其中：在职人员7,120人，离休人员10人。</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（二）主要经济指标情况</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1、地区生产总值3,511,343万元；</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2、第一产业增加值96,869万元；</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3、第二产业增加值2,284,557万元；</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4、第三产业增加值1,129,917万元；</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5、辖区总人口28万人；</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6、居民人均可支配收入42,748元；</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7、农民人均纯收入21,448元。</w:t>
      </w:r>
    </w:p>
    <w:p>
      <w:pPr>
        <w:spacing w:line="520" w:lineRule="exact"/>
        <w:ind w:firstLine="630"/>
        <w:rPr>
          <w:rFonts w:ascii="仿宋_GB2312" w:hAnsi="宋体" w:eastAsia="仿宋_GB2312"/>
          <w:b/>
          <w:sz w:val="32"/>
          <w:szCs w:val="32"/>
        </w:rPr>
      </w:pPr>
      <w:r>
        <w:rPr>
          <w:rFonts w:hint="eastAsia" w:ascii="仿宋_GB2312" w:hAnsi="宋体" w:eastAsia="仿宋_GB2312"/>
          <w:b/>
          <w:sz w:val="32"/>
          <w:szCs w:val="32"/>
        </w:rPr>
        <w:t>二、米东区收入支出情况分析</w:t>
      </w:r>
    </w:p>
    <w:p>
      <w:pPr>
        <w:spacing w:line="520" w:lineRule="exact"/>
        <w:ind w:firstLine="630"/>
        <w:rPr>
          <w:rFonts w:ascii="仿宋_GB2312" w:hAnsi="宋体" w:eastAsia="仿宋_GB2312"/>
          <w:sz w:val="32"/>
          <w:szCs w:val="32"/>
        </w:rPr>
      </w:pPr>
      <w:r>
        <w:rPr>
          <w:rFonts w:hint="eastAsia" w:ascii="仿宋_GB2312" w:hAnsi="宋体" w:eastAsia="仿宋_GB2312"/>
          <w:sz w:val="32"/>
          <w:szCs w:val="32"/>
        </w:rPr>
        <w:t>(一)财政收入情况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2019年米东区总决算</w:t>
      </w:r>
      <w:r>
        <w:rPr>
          <w:rFonts w:hint="eastAsia" w:ascii="仿宋_GB2312" w:hAnsi="仿宋" w:eastAsia="仿宋_GB2312"/>
          <w:color w:val="000000"/>
          <w:kern w:val="0"/>
          <w:sz w:val="32"/>
          <w:szCs w:val="32"/>
        </w:rPr>
        <w:t>收入1,092,096万元（其中：一般公共预算收入472,632万元，政府性基金预算收入234,162万元，上级补助收入96,984万元，调入资金3,215万元，动用</w:t>
      </w:r>
      <w:r>
        <w:rPr>
          <w:rFonts w:hint="eastAsia" w:ascii="仿宋_GB2312" w:eastAsia="仿宋_GB2312"/>
          <w:color w:val="000000"/>
          <w:kern w:val="0"/>
          <w:sz w:val="32"/>
          <w:szCs w:val="32"/>
        </w:rPr>
        <w:t>预算稳定调节基金1,103万元，上年结余0万元，债务转贷收入284,000万元</w:t>
      </w:r>
      <w:r>
        <w:rPr>
          <w:rFonts w:hint="eastAsia" w:ascii="仿宋_GB2312" w:hAnsi="仿宋" w:eastAsia="仿宋_GB2312"/>
          <w:color w:val="000000"/>
          <w:kern w:val="0"/>
          <w:sz w:val="32"/>
          <w:szCs w:val="32"/>
        </w:rPr>
        <w:t>）；当年地方财政预算支出1,092,096万元（其中：一般公共预算支出483,178万元、政府性基金预算支出367,298万元，上解支出174,378万元,</w:t>
      </w:r>
      <w:r>
        <w:rPr>
          <w:rFonts w:hint="eastAsia" w:eastAsia="仿宋_GB2312"/>
          <w:color w:val="000000"/>
          <w:kern w:val="0"/>
          <w:sz w:val="32"/>
          <w:szCs w:val="32"/>
        </w:rPr>
        <w:t> </w:t>
      </w:r>
      <w:r>
        <w:rPr>
          <w:rFonts w:hint="eastAsia" w:ascii="仿宋_GB2312" w:eastAsia="仿宋_GB2312"/>
          <w:color w:val="000000"/>
          <w:kern w:val="0"/>
          <w:sz w:val="32"/>
          <w:szCs w:val="32"/>
        </w:rPr>
        <w:t>安排预算稳定调节基金2,242万元，债务还本支出65,000万元</w:t>
      </w:r>
      <w:r>
        <w:rPr>
          <w:rFonts w:hint="eastAsia" w:ascii="仿宋_GB2312" w:hAnsi="仿宋" w:eastAsia="仿宋_GB2312"/>
          <w:color w:val="000000"/>
          <w:kern w:val="0"/>
          <w:sz w:val="32"/>
          <w:szCs w:val="32"/>
        </w:rPr>
        <w:t>）</w:t>
      </w:r>
      <w:r>
        <w:rPr>
          <w:rFonts w:hint="eastAsia" w:ascii="仿宋_GB2312" w:hAnsi="宋体" w:eastAsia="仿宋_GB2312"/>
          <w:sz w:val="32"/>
          <w:szCs w:val="32"/>
        </w:rPr>
        <w:t>，各项收入占总收入比重如下：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4791075" cy="2284095"/>
            <wp:effectExtent l="0" t="0" r="0" b="1905"/>
            <wp:docPr id="45" name="对象 4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topLinePunct/>
        <w:spacing w:line="560" w:lineRule="exact"/>
        <w:ind w:firstLine="640" w:firstLineChars="200"/>
        <w:rPr>
          <w:rFonts w:ascii="仿宋_GB2312" w:hAnsi="仿宋" w:eastAsia="仿宋_GB2312"/>
          <w:color w:val="000000"/>
          <w:kern w:val="0"/>
          <w:sz w:val="32"/>
          <w:szCs w:val="32"/>
        </w:rPr>
      </w:pPr>
      <w:r>
        <w:rPr>
          <w:rFonts w:hint="eastAsia" w:ascii="仿宋_GB2312" w:hAnsi="宋体" w:eastAsia="仿宋_GB2312"/>
          <w:sz w:val="32"/>
          <w:szCs w:val="32"/>
        </w:rPr>
        <w:t>1、2019年</w:t>
      </w:r>
      <w:r>
        <w:rPr>
          <w:rFonts w:hint="eastAsia" w:ascii="仿宋_GB2312" w:hAnsi="仿宋" w:eastAsia="仿宋_GB2312"/>
          <w:color w:val="000000"/>
          <w:kern w:val="0"/>
          <w:sz w:val="32"/>
          <w:szCs w:val="32"/>
        </w:rPr>
        <w:t>地方财政预算收入完成706,794万元，比上年增加55,456万元，增长8.51</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，完成调整预算的</w:t>
      </w:r>
      <w:r>
        <w:rPr>
          <w:rFonts w:ascii="仿宋_GB2312" w:hAnsi="仿宋" w:eastAsia="仿宋_GB2312"/>
          <w:color w:val="000000"/>
          <w:kern w:val="0"/>
          <w:sz w:val="32"/>
          <w:szCs w:val="32"/>
        </w:rPr>
        <w:t>100%</w:t>
      </w:r>
      <w:r>
        <w:rPr>
          <w:rFonts w:hint="eastAsia" w:ascii="仿宋_GB2312" w:hAnsi="仿宋" w:eastAsia="仿宋_GB2312"/>
          <w:color w:val="000000"/>
          <w:kern w:val="0"/>
          <w:sz w:val="32"/>
          <w:szCs w:val="32"/>
        </w:rPr>
        <w:t>。其中：一般公共预算收入完成472,632万元，比上年增加28,799万元，增长6.49</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，完成调整预算的</w:t>
      </w:r>
      <w:r>
        <w:rPr>
          <w:rFonts w:ascii="仿宋_GB2312" w:hAnsi="仿宋" w:eastAsia="仿宋_GB2312"/>
          <w:color w:val="000000"/>
          <w:kern w:val="0"/>
          <w:sz w:val="32"/>
          <w:szCs w:val="32"/>
        </w:rPr>
        <w:t>100%</w:t>
      </w:r>
      <w:r>
        <w:rPr>
          <w:rFonts w:hint="eastAsia" w:ascii="仿宋_GB2312" w:hAnsi="仿宋" w:eastAsia="仿宋_GB2312"/>
          <w:color w:val="000000"/>
          <w:kern w:val="0"/>
          <w:sz w:val="32"/>
          <w:szCs w:val="32"/>
        </w:rPr>
        <w:t>；政府性基金预算收入完成234,162万元，比上年增加26,657万元，增长12.85</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，完成调整预算的</w:t>
      </w:r>
      <w:r>
        <w:rPr>
          <w:rFonts w:ascii="仿宋_GB2312" w:hAnsi="仿宋" w:eastAsia="仿宋_GB2312"/>
          <w:color w:val="000000"/>
          <w:kern w:val="0"/>
          <w:sz w:val="32"/>
          <w:szCs w:val="32"/>
        </w:rPr>
        <w:t>100 %</w:t>
      </w:r>
      <w:r>
        <w:rPr>
          <w:rFonts w:hint="eastAsia" w:ascii="仿宋_GB2312" w:hAnsi="仿宋" w:eastAsia="仿宋_GB2312"/>
          <w:color w:val="000000"/>
          <w:kern w:val="0"/>
          <w:sz w:val="32"/>
          <w:szCs w:val="32"/>
        </w:rPr>
        <w:t>。地方政府债券收入284,000万元。</w:t>
      </w:r>
    </w:p>
    <w:p>
      <w:pPr>
        <w:ind w:firstLine="640" w:firstLineChars="200"/>
        <w:rPr>
          <w:rFonts w:ascii="仿宋_GB2312" w:hAnsi="宋体" w:eastAsia="仿宋_GB2312"/>
          <w:sz w:val="32"/>
          <w:szCs w:val="32"/>
        </w:rPr>
      </w:pPr>
      <w:r>
        <w:rPr>
          <w:rFonts w:hint="eastAsia" w:ascii="仿宋_GB2312" w:hAnsi="宋体" w:eastAsia="仿宋_GB2312"/>
          <w:sz w:val="32"/>
          <w:szCs w:val="32"/>
        </w:rPr>
        <w:t>各项预算收入占预算收入比重如下：</w:t>
      </w:r>
    </w:p>
    <w:p>
      <w:pPr>
        <w:rPr>
          <w:rFonts w:ascii="仿宋_GB2312" w:hAnsi="宋体" w:eastAsia="仿宋_GB2312"/>
          <w:sz w:val="32"/>
          <w:szCs w:val="32"/>
        </w:rPr>
      </w:pPr>
      <w:r>
        <w:rPr>
          <w:rFonts w:hint="eastAsia" w:ascii="仿宋_GB2312" w:hAnsi="宋体" w:eastAsia="仿宋_GB2312"/>
          <w:sz w:val="32"/>
          <w:szCs w:val="32"/>
        </w:rPr>
        <w:drawing>
          <wp:inline distT="0" distB="0" distL="0" distR="0">
            <wp:extent cx="5304790" cy="3094355"/>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仿宋" w:eastAsia="仿宋_GB2312"/>
          <w:color w:val="000000"/>
          <w:kern w:val="0"/>
          <w:sz w:val="32"/>
          <w:szCs w:val="32"/>
        </w:rPr>
        <w:t>一般公共预算收入完成472,632万元，比上年增加28,799万元，增长6.49</w:t>
      </w:r>
      <w:r>
        <w:rPr>
          <w:rFonts w:ascii="仿宋_GB2312" w:hAnsi="仿宋" w:eastAsia="仿宋_GB2312"/>
          <w:color w:val="000000"/>
          <w:kern w:val="0"/>
          <w:sz w:val="32"/>
          <w:szCs w:val="32"/>
        </w:rPr>
        <w:t>%</w:t>
      </w:r>
      <w:r>
        <w:rPr>
          <w:rFonts w:hint="eastAsia" w:ascii="仿宋_GB2312" w:hAnsi="宋体" w:eastAsia="仿宋_GB2312"/>
          <w:sz w:val="32"/>
          <w:szCs w:val="32"/>
        </w:rPr>
        <w:t>。其中:增值税完成134,580万元，企业所得税完成20,232万元，个人所得税完成12,234万元，资源税完成3,602万元，城建税完成32,371万元，房产税完成12,671万元，印花税完成4,427万元，城镇土地使用税完成11,534万元，土地增值税完成22,040万元，车船税完成17万元，耕地占用税完成18,481万元，契税完成33,529万元，专项收入完成84,808万元，行政事业性收费收入完成16,447万元，罚没收入完成4,350万元，国有资源有偿使用收入完成46,030万元，政府住房基金收入2万元，其他收入15,246万元。各项一般收入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734050" cy="4171950"/>
            <wp:effectExtent l="0" t="0" r="0" b="0"/>
            <wp:docPr id="42" name="对象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hint="eastAsia" w:ascii="仿宋_GB2312" w:hAnsi="宋体" w:eastAsia="仿宋_GB2312"/>
          <w:sz w:val="32"/>
          <w:szCs w:val="32"/>
        </w:rPr>
        <w:t xml:space="preserve">    3、</w:t>
      </w:r>
      <w:r>
        <w:rPr>
          <w:rFonts w:hint="eastAsia" w:ascii="仿宋_GB2312" w:hAnsi="仿宋" w:eastAsia="仿宋_GB2312"/>
          <w:color w:val="000000"/>
          <w:kern w:val="0"/>
          <w:sz w:val="32"/>
          <w:szCs w:val="32"/>
        </w:rPr>
        <w:t>政府性基金预算收入完成234,162万元，比上年增加26,657万元，增长12.85</w:t>
      </w:r>
      <w:r>
        <w:rPr>
          <w:rFonts w:ascii="仿宋_GB2312" w:hAnsi="仿宋" w:eastAsia="仿宋_GB2312"/>
          <w:color w:val="000000"/>
          <w:kern w:val="0"/>
          <w:sz w:val="32"/>
          <w:szCs w:val="32"/>
        </w:rPr>
        <w:t>%</w:t>
      </w:r>
      <w:r>
        <w:rPr>
          <w:rFonts w:hint="eastAsia" w:ascii="仿宋_GB2312" w:hAnsi="宋体" w:eastAsia="仿宋_GB2312"/>
          <w:sz w:val="32"/>
          <w:szCs w:val="32"/>
        </w:rPr>
        <w:t>。其中：国有土地使用权出让金收入完成227,277万元，城市基础设施配套费收入5,508万元，污水处理费收入1,377万元。各项基金收入比重如下：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429250" cy="3349625"/>
            <wp:effectExtent l="0" t="0" r="0" b="0"/>
            <wp:docPr id="4" name="对象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ind w:firstLine="645"/>
        <w:rPr>
          <w:rFonts w:ascii="仿宋_GB2312" w:hAnsi="宋体" w:eastAsia="仿宋_GB2312"/>
          <w:sz w:val="32"/>
          <w:szCs w:val="32"/>
        </w:rPr>
      </w:pPr>
      <w:r>
        <w:rPr>
          <w:rFonts w:hint="eastAsia" w:ascii="仿宋_GB2312" w:hAnsi="宋体" w:eastAsia="仿宋_GB2312"/>
          <w:sz w:val="32"/>
          <w:szCs w:val="32"/>
        </w:rPr>
        <w:t>4、2017年</w:t>
      </w:r>
      <w:r>
        <w:rPr>
          <w:rFonts w:ascii="仿宋_GB2312" w:hAnsi="宋体" w:eastAsia="仿宋_GB2312"/>
          <w:sz w:val="32"/>
          <w:szCs w:val="32"/>
        </w:rPr>
        <w:t>—</w:t>
      </w:r>
      <w:r>
        <w:rPr>
          <w:rFonts w:hint="eastAsia" w:ascii="仿宋_GB2312" w:hAnsi="宋体" w:eastAsia="仿宋_GB2312"/>
          <w:sz w:val="32"/>
          <w:szCs w:val="32"/>
        </w:rPr>
        <w:t>2019年各年收入增长情况如下：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286375" cy="4772025"/>
            <wp:effectExtent l="0" t="0" r="0" b="0"/>
            <wp:docPr id="5" name="对象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ind w:firstLine="640" w:firstLineChars="200"/>
        <w:rPr>
          <w:rFonts w:ascii="仿宋_GB2312" w:hAnsi="宋体" w:eastAsia="仿宋_GB2312"/>
          <w:sz w:val="32"/>
          <w:szCs w:val="32"/>
        </w:rPr>
      </w:pPr>
      <w:r>
        <w:rPr>
          <w:rFonts w:hint="eastAsia" w:ascii="仿宋_GB2312" w:hAnsi="宋体" w:eastAsia="仿宋_GB2312"/>
          <w:sz w:val="32"/>
          <w:szCs w:val="32"/>
        </w:rPr>
        <w:t>(二)财政支出情况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2019年米东区</w:t>
      </w:r>
      <w:r>
        <w:rPr>
          <w:rFonts w:hint="eastAsia" w:ascii="仿宋_GB2312" w:hAnsi="仿宋" w:eastAsia="仿宋_GB2312"/>
          <w:color w:val="000000"/>
          <w:kern w:val="0"/>
          <w:sz w:val="32"/>
          <w:szCs w:val="32"/>
        </w:rPr>
        <w:t>财政预算支出1,092,096万元（其中：一般公共预算支出483,178万元、政府性基金预算支出367,298万元，上解支出174,378万元,</w:t>
      </w:r>
      <w:r>
        <w:rPr>
          <w:rFonts w:hint="eastAsia" w:eastAsia="仿宋_GB2312"/>
          <w:color w:val="000000"/>
          <w:kern w:val="0"/>
          <w:sz w:val="32"/>
          <w:szCs w:val="32"/>
        </w:rPr>
        <w:t> </w:t>
      </w:r>
      <w:r>
        <w:rPr>
          <w:rFonts w:hint="eastAsia" w:ascii="仿宋_GB2312" w:eastAsia="仿宋_GB2312"/>
          <w:color w:val="000000"/>
          <w:kern w:val="0"/>
          <w:sz w:val="32"/>
          <w:szCs w:val="32"/>
        </w:rPr>
        <w:t>安排预算稳定调节基金2,242万元，债务还本支出65,000万元</w:t>
      </w:r>
      <w:r>
        <w:rPr>
          <w:rFonts w:hint="eastAsia" w:ascii="仿宋_GB2312" w:hAnsi="仿宋" w:eastAsia="仿宋_GB2312"/>
          <w:color w:val="000000"/>
          <w:kern w:val="0"/>
          <w:sz w:val="32"/>
          <w:szCs w:val="32"/>
        </w:rPr>
        <w:t>）。</w:t>
      </w:r>
      <w:r>
        <w:rPr>
          <w:rFonts w:hint="eastAsia" w:ascii="仿宋_GB2312" w:hAnsi="宋体" w:eastAsia="仿宋_GB2312"/>
          <w:sz w:val="32"/>
          <w:szCs w:val="32"/>
        </w:rPr>
        <w:t>各项支出占总支出比重如下: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457825" cy="2857500"/>
            <wp:effectExtent l="19050" t="0" r="9525" b="0"/>
            <wp:docPr id="6" name="对象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ind w:firstLine="645"/>
        <w:rPr>
          <w:rFonts w:ascii="仿宋_GB2312" w:hAnsi="宋体" w:eastAsia="仿宋_GB2312"/>
          <w:sz w:val="32"/>
          <w:szCs w:val="32"/>
        </w:rPr>
      </w:pPr>
      <w:r>
        <w:rPr>
          <w:rFonts w:hint="eastAsia" w:ascii="仿宋_GB2312" w:hAnsi="宋体" w:eastAsia="仿宋_GB2312"/>
          <w:sz w:val="32"/>
          <w:szCs w:val="32"/>
        </w:rPr>
        <w:t>1、财政预算支出完成情况</w:t>
      </w:r>
    </w:p>
    <w:p>
      <w:pPr>
        <w:widowControl/>
        <w:topLinePunct/>
        <w:spacing w:line="560" w:lineRule="exact"/>
        <w:ind w:firstLine="640" w:firstLineChars="200"/>
        <w:rPr>
          <w:rFonts w:ascii="仿宋_GB2312" w:hAnsi="仿宋" w:eastAsia="仿宋_GB2312"/>
          <w:color w:val="000000"/>
          <w:sz w:val="32"/>
          <w:szCs w:val="32"/>
        </w:rPr>
      </w:pPr>
      <w:r>
        <w:rPr>
          <w:rFonts w:ascii="仿宋_GB2312" w:hAnsi="仿宋" w:eastAsia="仿宋_GB2312"/>
          <w:color w:val="000000"/>
          <w:kern w:val="0"/>
          <w:sz w:val="32"/>
          <w:szCs w:val="32"/>
        </w:rPr>
        <w:t>2019年</w:t>
      </w:r>
      <w:r>
        <w:rPr>
          <w:rFonts w:hint="eastAsia" w:ascii="仿宋_GB2312" w:hAnsi="仿宋" w:eastAsia="仿宋_GB2312"/>
          <w:color w:val="000000"/>
          <w:kern w:val="0"/>
          <w:sz w:val="32"/>
          <w:szCs w:val="32"/>
        </w:rPr>
        <w:t>地方财政预算支出完成850,476万元，比上年增加184,845万元，增长27.77</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w:t>
      </w:r>
      <w:r>
        <w:rPr>
          <w:rFonts w:ascii="仿宋_GB2312" w:hAnsi="仿宋" w:eastAsia="仿宋_GB2312"/>
          <w:color w:val="000000"/>
          <w:kern w:val="0"/>
          <w:sz w:val="32"/>
          <w:szCs w:val="32"/>
        </w:rPr>
        <w:t xml:space="preserve"> 100 %</w:t>
      </w:r>
      <w:r>
        <w:rPr>
          <w:rFonts w:hint="eastAsia" w:ascii="仿宋_GB2312" w:hAnsi="仿宋" w:eastAsia="仿宋_GB2312"/>
          <w:color w:val="000000"/>
          <w:kern w:val="0"/>
          <w:sz w:val="32"/>
          <w:szCs w:val="32"/>
        </w:rPr>
        <w:t>。其中：一般公共预算支出完成483,178万元，比上年减少113,599万元，下降19.04</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，完成调整预算的</w:t>
      </w:r>
      <w:r>
        <w:rPr>
          <w:rFonts w:ascii="仿宋_GB2312" w:hAnsi="仿宋" w:eastAsia="仿宋_GB2312"/>
          <w:color w:val="000000"/>
          <w:kern w:val="0"/>
          <w:sz w:val="32"/>
          <w:szCs w:val="32"/>
        </w:rPr>
        <w:t>100%</w:t>
      </w:r>
      <w:r>
        <w:rPr>
          <w:rFonts w:hint="eastAsia" w:ascii="仿宋_GB2312" w:hAnsi="仿宋" w:eastAsia="仿宋_GB2312"/>
          <w:color w:val="000000"/>
          <w:kern w:val="0"/>
          <w:sz w:val="32"/>
          <w:szCs w:val="32"/>
        </w:rPr>
        <w:t>；政府性基金预算支出完成367,298万元，比上年增加298,444万元，增长433.44</w:t>
      </w:r>
      <w:r>
        <w:rPr>
          <w:rFonts w:ascii="仿宋_GB2312" w:hAnsi="仿宋" w:eastAsia="仿宋_GB2312"/>
          <w:color w:val="000000"/>
          <w:kern w:val="0"/>
          <w:sz w:val="32"/>
          <w:szCs w:val="32"/>
        </w:rPr>
        <w:t>%</w:t>
      </w:r>
      <w:r>
        <w:rPr>
          <w:rFonts w:hint="eastAsia" w:ascii="仿宋_GB2312" w:hAnsi="仿宋" w:eastAsia="仿宋_GB2312"/>
          <w:color w:val="000000"/>
          <w:kern w:val="0"/>
          <w:sz w:val="32"/>
          <w:szCs w:val="32"/>
        </w:rPr>
        <w:t>，完成调整预算的</w:t>
      </w:r>
      <w:r>
        <w:rPr>
          <w:rFonts w:ascii="仿宋_GB2312" w:hAnsi="仿宋" w:eastAsia="仿宋_GB2312"/>
          <w:color w:val="000000"/>
          <w:kern w:val="0"/>
          <w:sz w:val="32"/>
          <w:szCs w:val="32"/>
        </w:rPr>
        <w:t>100 %</w:t>
      </w:r>
      <w:r>
        <w:rPr>
          <w:rFonts w:hint="eastAsia" w:ascii="仿宋_GB2312" w:hAnsi="仿宋" w:eastAsia="仿宋_GB2312"/>
          <w:color w:val="000000"/>
          <w:kern w:val="0"/>
          <w:sz w:val="32"/>
          <w:szCs w:val="32"/>
        </w:rPr>
        <w:t>。</w:t>
      </w:r>
    </w:p>
    <w:p>
      <w:pPr>
        <w:widowControl/>
        <w:topLinePunct/>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kern w:val="0"/>
          <w:sz w:val="32"/>
          <w:szCs w:val="32"/>
        </w:rPr>
        <w:t>地方政府债务还本支出65,000万元。</w:t>
      </w:r>
    </w:p>
    <w:p>
      <w:pPr>
        <w:ind w:firstLine="640" w:firstLineChars="200"/>
        <w:rPr>
          <w:rFonts w:ascii="仿宋_GB2312" w:hAnsi="宋体" w:eastAsia="仿宋_GB2312"/>
          <w:sz w:val="32"/>
          <w:szCs w:val="32"/>
        </w:rPr>
      </w:pPr>
      <w:r>
        <w:rPr>
          <w:rFonts w:hint="eastAsia" w:ascii="仿宋_GB2312" w:hAnsi="宋体" w:eastAsia="仿宋_GB2312"/>
          <w:sz w:val="32"/>
          <w:szCs w:val="32"/>
        </w:rPr>
        <w:t>各项支出占总支出比重如下: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438775" cy="3095625"/>
            <wp:effectExtent l="19050" t="0" r="0" b="0"/>
            <wp:docPr id="7" name="对象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hint="eastAsia" w:ascii="仿宋_GB2312" w:hAnsi="宋体" w:eastAsia="仿宋_GB2312"/>
          <w:sz w:val="32"/>
          <w:szCs w:val="32"/>
        </w:rPr>
        <w:t xml:space="preserve">     2、</w:t>
      </w:r>
      <w:r>
        <w:rPr>
          <w:rFonts w:hint="eastAsia" w:ascii="仿宋_GB2312" w:hAnsi="仿宋" w:eastAsia="仿宋_GB2312"/>
          <w:color w:val="000000"/>
          <w:kern w:val="0"/>
          <w:sz w:val="32"/>
          <w:szCs w:val="32"/>
        </w:rPr>
        <w:t>一般公共预算支出完成483,178万元，比上年减少113,599万元，下降19.04</w:t>
      </w:r>
      <w:r>
        <w:rPr>
          <w:rFonts w:ascii="仿宋_GB2312" w:hAnsi="仿宋" w:eastAsia="仿宋_GB2312"/>
          <w:color w:val="000000"/>
          <w:kern w:val="0"/>
          <w:sz w:val="32"/>
          <w:szCs w:val="32"/>
        </w:rPr>
        <w:t>%。</w:t>
      </w:r>
      <w:r>
        <w:rPr>
          <w:rFonts w:hint="eastAsia" w:ascii="仿宋_GB2312" w:hAnsi="宋体" w:eastAsia="仿宋_GB2312"/>
          <w:sz w:val="32"/>
          <w:szCs w:val="32"/>
        </w:rPr>
        <w:t>其中:</w:t>
      </w:r>
      <w:r>
        <w:rPr>
          <w:rFonts w:hint="eastAsia" w:ascii="仿宋_GB2312" w:hAnsi="仿宋" w:eastAsia="仿宋_GB2312"/>
          <w:color w:val="000000"/>
          <w:kern w:val="0"/>
          <w:sz w:val="32"/>
          <w:szCs w:val="32"/>
        </w:rPr>
        <w:t xml:space="preserve"> 一般公共服务支出29,467万元；国防支出175万元；公共安全支出45,279万元；教育支出125,796万元；科学技术支出7,797万元；文化体育与传媒支出3,870万元；社会保障和就业支出72,161万元；卫生健康支出17,757万元；节能环保支出11,473万元；城乡社区支出43,224万元；农林水支出111,731万元；交通运输支出92万元；资源勘探信息等支出890万元；商业服务业等支出2,636万元；住房保障支出5,001万元；自然资源海洋气象等支出486万元；粮油物资储备支出215万元；债务付息支出1,000万元；其他支出2,158万元</w:t>
      </w:r>
      <w:r>
        <w:rPr>
          <w:rFonts w:hint="eastAsia" w:ascii="仿宋_GB2312" w:eastAsia="仿宋_GB2312"/>
          <w:kern w:val="0"/>
          <w:sz w:val="32"/>
          <w:szCs w:val="32"/>
        </w:rPr>
        <w:t>。</w:t>
      </w:r>
      <w:r>
        <w:rPr>
          <w:rFonts w:hint="eastAsia" w:ascii="仿宋_GB2312" w:hAnsi="宋体" w:eastAsia="仿宋_GB2312"/>
          <w:sz w:val="32"/>
          <w:szCs w:val="32"/>
        </w:rPr>
        <w:t>各项一般预算支出比重如下：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762625" cy="4562475"/>
            <wp:effectExtent l="19050" t="0" r="0" b="0"/>
            <wp:docPr id="8" name="对象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rFonts w:hint="eastAsia" w:ascii="仿宋_GB2312" w:hAnsi="宋体" w:eastAsia="仿宋_GB2312"/>
          <w:sz w:val="32"/>
          <w:szCs w:val="32"/>
        </w:rPr>
        <w:t xml:space="preserve">    3、</w:t>
      </w:r>
      <w:r>
        <w:rPr>
          <w:rFonts w:hint="eastAsia" w:ascii="仿宋_GB2312" w:hAnsi="仿宋" w:eastAsia="仿宋_GB2312"/>
          <w:color w:val="000000"/>
          <w:kern w:val="0"/>
          <w:sz w:val="32"/>
          <w:szCs w:val="32"/>
        </w:rPr>
        <w:t>政府性基金预算支出完成367,298万元，比上年增加298,444万元，增长433.44</w:t>
      </w:r>
      <w:r>
        <w:rPr>
          <w:rFonts w:ascii="仿宋_GB2312" w:hAnsi="仿宋" w:eastAsia="仿宋_GB2312"/>
          <w:color w:val="000000"/>
          <w:kern w:val="0"/>
          <w:sz w:val="32"/>
          <w:szCs w:val="32"/>
        </w:rPr>
        <w:t>%</w:t>
      </w:r>
      <w:r>
        <w:rPr>
          <w:rFonts w:hint="eastAsia" w:ascii="仿宋_GB2312" w:eastAsia="仿宋_GB2312"/>
          <w:kern w:val="0"/>
          <w:sz w:val="32"/>
          <w:szCs w:val="32"/>
        </w:rPr>
        <w:t>。</w:t>
      </w:r>
      <w:r>
        <w:rPr>
          <w:rFonts w:hint="eastAsia" w:ascii="仿宋_GB2312" w:hAnsi="宋体" w:eastAsia="仿宋_GB2312"/>
          <w:sz w:val="32"/>
          <w:szCs w:val="32"/>
        </w:rPr>
        <w:t>其中：水库移民后期扶持基金支出410万元，国有土地出让权支出111,688万元，棚户区改造234,000万元，城市基本设施配套费支出5,797万元，污水处理费支出1,377万元，彩票公益基金支出252万元，债务支出13,744万元。各项基金支出比重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295900" cy="3990975"/>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ind w:firstLine="640" w:firstLineChars="200"/>
        <w:rPr>
          <w:rFonts w:ascii="仿宋_GB2312" w:hAnsi="宋体" w:eastAsia="仿宋_GB2312"/>
          <w:sz w:val="32"/>
          <w:szCs w:val="32"/>
        </w:rPr>
      </w:pPr>
      <w:r>
        <w:rPr>
          <w:rFonts w:hint="eastAsia" w:ascii="仿宋_GB2312" w:hAnsi="宋体" w:eastAsia="仿宋_GB2312"/>
          <w:sz w:val="32"/>
          <w:szCs w:val="32"/>
        </w:rPr>
        <w:t>4、2017年</w:t>
      </w:r>
      <w:r>
        <w:rPr>
          <w:rFonts w:ascii="仿宋_GB2312" w:hAnsi="宋体" w:eastAsia="仿宋_GB2312"/>
          <w:sz w:val="32"/>
          <w:szCs w:val="32"/>
        </w:rPr>
        <w:t>—</w:t>
      </w:r>
      <w:r>
        <w:rPr>
          <w:rFonts w:hint="eastAsia" w:ascii="仿宋_GB2312" w:hAnsi="宋体" w:eastAsia="仿宋_GB2312"/>
          <w:sz w:val="32"/>
          <w:szCs w:val="32"/>
        </w:rPr>
        <w:t>2019年各年收入增长情况如下：</w:t>
      </w:r>
    </w:p>
    <w:p>
      <w:pPr>
        <w:rPr>
          <w:rFonts w:ascii="仿宋_GB2312" w:hAnsi="宋体" w:eastAsia="仿宋_GB2312"/>
          <w:sz w:val="32"/>
          <w:szCs w:val="32"/>
        </w:rPr>
      </w:pPr>
      <w:r>
        <w:rPr>
          <w:rFonts w:ascii="仿宋_GB2312" w:hAnsi="宋体" w:eastAsia="仿宋_GB2312"/>
          <w:sz w:val="32"/>
          <w:szCs w:val="32"/>
        </w:rPr>
        <w:drawing>
          <wp:inline distT="0" distB="0" distL="0" distR="0">
            <wp:extent cx="5419725" cy="2914650"/>
            <wp:effectExtent l="19050" t="0" r="0" b="0"/>
            <wp:docPr id="10" name="对象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ind w:firstLine="643" w:firstLineChars="200"/>
        <w:rPr>
          <w:rFonts w:ascii="仿宋_GB2312" w:hAnsi="宋体" w:eastAsia="仿宋_GB2312"/>
          <w:b/>
          <w:sz w:val="32"/>
          <w:szCs w:val="32"/>
        </w:rPr>
      </w:pPr>
      <w:r>
        <w:rPr>
          <w:rFonts w:hint="eastAsia" w:ascii="仿宋_GB2312" w:hAnsi="宋体" w:eastAsia="仿宋_GB2312"/>
          <w:b/>
          <w:sz w:val="32"/>
          <w:szCs w:val="32"/>
        </w:rPr>
        <w:t>三、2019年主要工作</w:t>
      </w:r>
    </w:p>
    <w:p>
      <w:pPr>
        <w:widowControl/>
        <w:topLinePunct/>
        <w:spacing w:line="5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过去的一年，全区财税部门按照区委安排部署和具体任务，紧紧围绕总目标，深化财税改革，落实减税降费政策，稳步推进风险管控措施，统筹规划安排资金，推进全区保稳定、稳增长、促改革、调结构、惠民生、防风险各项工作的开展。</w:t>
      </w:r>
    </w:p>
    <w:p>
      <w:pPr>
        <w:widowControl/>
        <w:topLinePunct/>
        <w:spacing w:line="560" w:lineRule="exact"/>
        <w:ind w:firstLine="643" w:firstLineChars="200"/>
        <w:rPr>
          <w:rFonts w:ascii="方正楷体_GBK" w:hAnsi="宋体" w:eastAsia="方正楷体_GBK"/>
          <w:color w:val="000000"/>
          <w:kern w:val="0"/>
          <w:sz w:val="32"/>
          <w:szCs w:val="32"/>
        </w:rPr>
      </w:pPr>
      <w:r>
        <w:rPr>
          <w:rFonts w:hint="eastAsia" w:ascii="方正仿宋_GBK" w:hAnsi="Arial" w:eastAsia="方正仿宋_GBK" w:cs="Arial"/>
          <w:b/>
          <w:bCs/>
          <w:kern w:val="0"/>
          <w:sz w:val="32"/>
          <w:szCs w:val="32"/>
        </w:rPr>
        <w:t>(一) 努力抓好财源建设</w:t>
      </w:r>
    </w:p>
    <w:p>
      <w:pPr>
        <w:widowControl/>
        <w:topLinePunct/>
        <w:spacing w:line="560" w:lineRule="exact"/>
        <w:ind w:firstLine="640" w:firstLineChars="200"/>
        <w:rPr>
          <w:rFonts w:ascii="方正仿宋_GBK" w:eastAsia="方正仿宋_GBK"/>
          <w:kern w:val="0"/>
          <w:sz w:val="32"/>
          <w:szCs w:val="32"/>
        </w:rPr>
      </w:pPr>
      <w:r>
        <w:rPr>
          <w:rFonts w:hint="eastAsia" w:ascii="方正仿宋_GBK" w:hAnsi="黑体" w:eastAsia="方正仿宋_GBK"/>
          <w:sz w:val="32"/>
          <w:szCs w:val="32"/>
        </w:rPr>
        <w:t>在区委、区人民政府的统一安排部署下，全区各收入执收单位采取多种有效措施，在坚决贯彻落实国家减税降费政策，克服经济下行及石化检修等诸多不利因素的情况。具体分析如下：</w:t>
      </w:r>
      <w:r>
        <w:rPr>
          <w:rFonts w:hint="eastAsia" w:ascii="方正仿宋_GBK" w:hAnsi="Arial" w:eastAsia="方正仿宋_GBK" w:cs="Arial"/>
          <w:b/>
          <w:kern w:val="0"/>
          <w:sz w:val="32"/>
          <w:szCs w:val="32"/>
        </w:rPr>
        <w:t>一是</w:t>
      </w:r>
      <w:r>
        <w:rPr>
          <w:rFonts w:hint="eastAsia" w:ascii="方正仿宋_GBK" w:hAnsi="Arial" w:eastAsia="方正仿宋_GBK" w:cs="Arial"/>
          <w:kern w:val="0"/>
          <w:sz w:val="32"/>
          <w:szCs w:val="32"/>
        </w:rPr>
        <w:t>牵头组织调度。年初开始就盯紧人代会确定的收入任务，每周组织专题会议，充分调动税务部门、非税收入执收单位的积极性，落实责任、密切协作、强化督查，加强收入征管、优化财税发展环境等方面努力发掘收入增长点，积极开辟后续税源。</w:t>
      </w:r>
      <w:r>
        <w:rPr>
          <w:rFonts w:hint="eastAsia" w:ascii="方正仿宋_GBK" w:hAnsi="Arial" w:eastAsia="方正仿宋_GBK" w:cs="Arial"/>
          <w:b/>
          <w:kern w:val="0"/>
          <w:sz w:val="32"/>
          <w:szCs w:val="32"/>
        </w:rPr>
        <w:t>二是</w:t>
      </w:r>
      <w:r>
        <w:rPr>
          <w:rFonts w:hint="eastAsia" w:ascii="方正仿宋_GBK" w:hAnsi="Arial" w:eastAsia="方正仿宋_GBK" w:cs="Arial"/>
          <w:kern w:val="0"/>
          <w:sz w:val="32"/>
          <w:szCs w:val="32"/>
        </w:rPr>
        <w:t>积极争取上级支持，努力涵养税源。积极与上级财政对接，研究吃透专项扶持政策，落实各类扶持资金，</w:t>
      </w:r>
      <w:r>
        <w:rPr>
          <w:rFonts w:hint="eastAsia" w:ascii="仿宋_GB2312" w:hAnsi="仿宋" w:eastAsia="仿宋_GB2312"/>
          <w:color w:val="333333"/>
          <w:sz w:val="32"/>
          <w:szCs w:val="32"/>
          <w:shd w:val="clear" w:color="auto" w:fill="FFFFFF"/>
        </w:rPr>
        <w:t>争取上级转移支付财力支持</w:t>
      </w:r>
      <w:r>
        <w:rPr>
          <w:rFonts w:hint="eastAsia" w:ascii="方正仿宋_GBK" w:hAnsi="Arial" w:eastAsia="方正仿宋_GBK" w:cs="Arial"/>
          <w:kern w:val="0"/>
          <w:sz w:val="32"/>
          <w:szCs w:val="32"/>
        </w:rPr>
        <w:t>。</w:t>
      </w:r>
      <w:r>
        <w:rPr>
          <w:rFonts w:hint="eastAsia" w:ascii="方正仿宋_GBK" w:hAnsi="Arial" w:eastAsia="方正仿宋_GBK" w:cs="Arial"/>
          <w:b/>
          <w:kern w:val="0"/>
          <w:sz w:val="32"/>
          <w:szCs w:val="32"/>
        </w:rPr>
        <w:t>三是</w:t>
      </w:r>
      <w:r>
        <w:rPr>
          <w:rFonts w:hint="eastAsia" w:ascii="方正仿宋_GBK" w:hAnsi="Arial" w:eastAsia="方正仿宋_GBK" w:cs="Arial"/>
          <w:kern w:val="0"/>
          <w:sz w:val="32"/>
          <w:szCs w:val="32"/>
        </w:rPr>
        <w:t>全力挖潜增收。全面加强全区财源监控，集中力量、精准施策，持续开展欠税清理、企业所得税清缴、土地增值税清算专项行动，实现应收尽收。</w:t>
      </w:r>
      <w:r>
        <w:rPr>
          <w:rFonts w:hint="eastAsia" w:ascii="方正仿宋_GBK" w:eastAsia="方正仿宋_GBK"/>
          <w:b/>
          <w:bCs/>
          <w:kern w:val="0"/>
          <w:sz w:val="32"/>
          <w:szCs w:val="32"/>
        </w:rPr>
        <w:t>四是</w:t>
      </w:r>
      <w:r>
        <w:rPr>
          <w:rFonts w:hint="eastAsia" w:ascii="方正仿宋_GBK" w:eastAsia="方正仿宋_GBK"/>
          <w:bCs/>
          <w:kern w:val="0"/>
          <w:sz w:val="32"/>
          <w:szCs w:val="32"/>
        </w:rPr>
        <w:t>创新发展方式，增强财政投资活力</w:t>
      </w:r>
      <w:r>
        <w:rPr>
          <w:rFonts w:hint="eastAsia" w:ascii="方正仿宋_GBK" w:eastAsia="方正仿宋_GBK"/>
          <w:b/>
          <w:bCs/>
          <w:kern w:val="0"/>
          <w:sz w:val="32"/>
          <w:szCs w:val="32"/>
        </w:rPr>
        <w:t>。</w:t>
      </w:r>
      <w:r>
        <w:rPr>
          <w:rFonts w:hint="eastAsia" w:ascii="方正仿宋_GBK" w:eastAsia="方正仿宋_GBK"/>
          <w:kern w:val="0"/>
          <w:sz w:val="32"/>
          <w:szCs w:val="32"/>
        </w:rPr>
        <w:t>积极推行政府和社会资本合作模式，充分发挥财政资金的政策引导作用。</w:t>
      </w:r>
    </w:p>
    <w:p>
      <w:pPr>
        <w:widowControl/>
        <w:topLinePunct/>
        <w:spacing w:line="560" w:lineRule="exact"/>
        <w:ind w:firstLine="643" w:firstLineChars="200"/>
        <w:rPr>
          <w:rFonts w:ascii="方正仿宋_GBK" w:eastAsia="方正仿宋_GBK"/>
          <w:kern w:val="0"/>
          <w:sz w:val="32"/>
          <w:szCs w:val="32"/>
        </w:rPr>
      </w:pPr>
      <w:r>
        <w:rPr>
          <w:rFonts w:hint="eastAsia" w:ascii="方正仿宋_GBK" w:hAnsi="Arial" w:eastAsia="方正仿宋_GBK" w:cs="Arial"/>
          <w:b/>
          <w:bCs/>
          <w:kern w:val="0"/>
          <w:sz w:val="32"/>
          <w:szCs w:val="32"/>
        </w:rPr>
        <w:t>(二) 增强财政支出保障</w:t>
      </w:r>
    </w:p>
    <w:p>
      <w:pPr>
        <w:spacing w:line="560" w:lineRule="exact"/>
        <w:ind w:firstLine="643" w:firstLineChars="200"/>
        <w:rPr>
          <w:rFonts w:ascii="方正仿宋_GBK" w:hAnsi="Arial" w:eastAsia="方正仿宋_GBK" w:cs="Arial"/>
          <w:kern w:val="0"/>
          <w:sz w:val="32"/>
          <w:szCs w:val="32"/>
        </w:rPr>
      </w:pPr>
      <w:r>
        <w:rPr>
          <w:rFonts w:hint="eastAsia" w:ascii="方正仿宋_GBK" w:hAnsi="Arial" w:eastAsia="方正仿宋_GBK" w:cs="Arial"/>
          <w:b/>
          <w:kern w:val="0"/>
          <w:sz w:val="32"/>
          <w:szCs w:val="32"/>
        </w:rPr>
        <w:t>1.加大重点项目的资金保障力度</w:t>
      </w:r>
      <w:r>
        <w:rPr>
          <w:rFonts w:hint="eastAsia" w:ascii="方正仿宋_GBK" w:hAnsi="Arial" w:eastAsia="方正仿宋_GBK" w:cs="Arial"/>
          <w:kern w:val="0"/>
          <w:sz w:val="32"/>
          <w:szCs w:val="32"/>
        </w:rPr>
        <w:t>。</w:t>
      </w:r>
    </w:p>
    <w:p>
      <w:pPr>
        <w:spacing w:line="560" w:lineRule="exact"/>
        <w:ind w:firstLine="640" w:firstLineChars="200"/>
        <w:rPr>
          <w:rFonts w:ascii="方正仿宋_GBK" w:eastAsia="方正仿宋_GBK"/>
          <w:sz w:val="32"/>
          <w:szCs w:val="32"/>
        </w:rPr>
      </w:pPr>
      <w:r>
        <w:rPr>
          <w:rFonts w:hint="eastAsia" w:ascii="方正仿宋_GBK" w:hAnsi="Arial" w:eastAsia="方正仿宋_GBK" w:cs="Arial"/>
          <w:kern w:val="0"/>
          <w:sz w:val="32"/>
          <w:szCs w:val="32"/>
        </w:rPr>
        <w:t>严格执行人代会通过的财政预算，保障</w:t>
      </w:r>
      <w:r>
        <w:rPr>
          <w:rFonts w:hint="eastAsia" w:ascii="方正仿宋_GBK" w:eastAsia="方正仿宋_GBK"/>
          <w:sz w:val="32"/>
          <w:szCs w:val="32"/>
        </w:rPr>
        <w:t>国防支出、公共安全支出、节能环保支出、城乡社区支出、农林水支出、住房保障支出、自然资源海洋气象等支出、其他支出、</w:t>
      </w:r>
      <w:r>
        <w:rPr>
          <w:rFonts w:hint="eastAsia" w:ascii="方正仿宋_GBK" w:hAnsi="宋体" w:eastAsia="方正仿宋_GBK"/>
          <w:sz w:val="32"/>
          <w:szCs w:val="32"/>
        </w:rPr>
        <w:t>国有土地使用权出让收入及对应专项债务收入安排的支出、</w:t>
      </w:r>
      <w:r>
        <w:rPr>
          <w:rFonts w:hint="eastAsia" w:ascii="方正仿宋_GBK" w:eastAsia="方正仿宋_GBK"/>
          <w:sz w:val="32"/>
          <w:szCs w:val="32"/>
        </w:rPr>
        <w:t>污水处理费对应专项债务收入安排的支出。</w:t>
      </w:r>
    </w:p>
    <w:p>
      <w:pPr>
        <w:spacing w:line="560" w:lineRule="exact"/>
        <w:ind w:firstLine="643" w:firstLineChars="200"/>
        <w:rPr>
          <w:rFonts w:ascii="方正仿宋_GBK" w:hAnsi="Arial" w:eastAsia="方正仿宋_GBK" w:cs="Arial"/>
          <w:b/>
          <w:kern w:val="0"/>
          <w:sz w:val="32"/>
          <w:szCs w:val="32"/>
        </w:rPr>
      </w:pPr>
      <w:r>
        <w:rPr>
          <w:rFonts w:hint="eastAsia" w:ascii="方正仿宋_GBK" w:hAnsi="Arial" w:eastAsia="方正仿宋_GBK" w:cs="Arial"/>
          <w:b/>
          <w:kern w:val="0"/>
          <w:sz w:val="32"/>
          <w:szCs w:val="32"/>
        </w:rPr>
        <w:t>2.加大了民生领域资金的支持力度</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三保”支出的基础上，坚持把保障和改善民生作为财政支出的重点，加大对维护社会稳定、“三农”、卫生、社会保障与就业、民生工程、保障房建设、村级公共服务与社会管理改革的支持力度，继续提高民生支出占一般公共预算支出比重，推动经济增长、结构调整、区域协调和城乡统筹发展。加强社会保障资金投入，落实基层组织建设资金保障机制，维护基层社会稳定。认真落实，依法保障科技、教育、文化、农业四个方面的资金投入，加强医疗卫生建设投入，提高基本公共卫生服务水平。</w:t>
      </w:r>
    </w:p>
    <w:p>
      <w:pPr>
        <w:spacing w:line="560" w:lineRule="exact"/>
        <w:ind w:firstLine="643" w:firstLineChars="200"/>
        <w:rPr>
          <w:rFonts w:ascii="方正仿宋_GBK" w:hAnsi="Arial" w:eastAsia="方正仿宋_GBK" w:cs="Arial"/>
          <w:b/>
          <w:kern w:val="0"/>
          <w:sz w:val="32"/>
          <w:szCs w:val="32"/>
        </w:rPr>
      </w:pPr>
      <w:r>
        <w:rPr>
          <w:rFonts w:hint="eastAsia" w:ascii="方正仿宋_GBK" w:hAnsi="Arial" w:eastAsia="方正仿宋_GBK" w:cs="Arial"/>
          <w:b/>
          <w:kern w:val="0"/>
          <w:sz w:val="32"/>
          <w:szCs w:val="32"/>
        </w:rPr>
        <w:t>3.规范清理结转结余资金</w:t>
      </w:r>
    </w:p>
    <w:p>
      <w:pPr>
        <w:spacing w:line="560" w:lineRule="exact"/>
        <w:ind w:firstLine="640" w:firstLineChars="200"/>
        <w:rPr>
          <w:rFonts w:ascii="方正仿宋_GBK" w:hAnsi="Arial" w:eastAsia="方正仿宋_GBK" w:cs="Arial"/>
          <w:kern w:val="0"/>
          <w:sz w:val="32"/>
          <w:szCs w:val="32"/>
        </w:rPr>
      </w:pPr>
      <w:r>
        <w:rPr>
          <w:rFonts w:hint="eastAsia" w:ascii="方正仿宋_GBK" w:hAnsi="Arial" w:eastAsia="方正仿宋_GBK" w:cs="Arial"/>
          <w:kern w:val="0"/>
          <w:sz w:val="32"/>
          <w:szCs w:val="32"/>
        </w:rPr>
        <w:t>认真贯彻落实国务院关于清理盘活财政存量资金有关要求，做好我区存量资金清理统计及回收工作，及时将有关情况向区政府汇报。督促、指导各预算单位充分利用现有政策，对结转超过两年的区级资金和上级补助资金逐笔与事权部门对接，落实项目进展、资金需求等具体情况，分类提出清理措施，在确保资金安全的前提下及时将资金拨付到位。</w:t>
      </w:r>
    </w:p>
    <w:p>
      <w:pPr>
        <w:spacing w:line="560" w:lineRule="exact"/>
        <w:ind w:firstLine="643" w:firstLineChars="200"/>
        <w:rPr>
          <w:rFonts w:ascii="方正仿宋_GBK" w:hAnsi="Arial" w:eastAsia="方正仿宋_GBK" w:cs="Arial"/>
          <w:b/>
          <w:kern w:val="0"/>
          <w:sz w:val="32"/>
          <w:szCs w:val="32"/>
        </w:rPr>
      </w:pPr>
      <w:r>
        <w:rPr>
          <w:rFonts w:hint="eastAsia" w:ascii="方正仿宋_GBK" w:hAnsi="Arial" w:eastAsia="方正仿宋_GBK" w:cs="Arial"/>
          <w:b/>
          <w:kern w:val="0"/>
          <w:sz w:val="32"/>
          <w:szCs w:val="32"/>
        </w:rPr>
        <w:t>4.积极争取上级政策和资金支持，努力增加本级财力</w:t>
      </w:r>
    </w:p>
    <w:p>
      <w:pPr>
        <w:widowControl/>
        <w:topLinePunct/>
        <w:spacing w:line="560" w:lineRule="exact"/>
        <w:ind w:firstLine="640" w:firstLineChars="200"/>
        <w:rPr>
          <w:rFonts w:ascii="仿宋_GB2312" w:hAnsi="宋体" w:eastAsia="仿宋_GB2312"/>
          <w:sz w:val="32"/>
          <w:szCs w:val="32"/>
        </w:rPr>
      </w:pPr>
      <w:r>
        <w:rPr>
          <w:rFonts w:hint="eastAsia" w:ascii="方正仿宋_GBK" w:hAnsi="Arial" w:eastAsia="方正仿宋_GBK" w:cs="Arial"/>
          <w:kern w:val="0"/>
          <w:sz w:val="32"/>
          <w:szCs w:val="32"/>
        </w:rPr>
        <w:t>主动研究和梳理各方面的扶持政策，加强与项目主管单位和上级财政的联系，积极落实上级配套和补助资金。</w:t>
      </w:r>
    </w:p>
    <w:p>
      <w:pPr>
        <w:widowControl/>
        <w:spacing w:line="560" w:lineRule="exact"/>
        <w:ind w:firstLine="630"/>
        <w:rPr>
          <w:rFonts w:ascii="方正仿宋_GBK" w:hAnsi="Arial" w:eastAsia="方正仿宋_GBK" w:cs="Arial"/>
          <w:b/>
          <w:bCs/>
          <w:kern w:val="0"/>
          <w:sz w:val="32"/>
          <w:szCs w:val="32"/>
        </w:rPr>
      </w:pPr>
      <w:r>
        <w:rPr>
          <w:rFonts w:hint="eastAsia" w:ascii="方正仿宋_GBK" w:hAnsi="Arial" w:eastAsia="方正仿宋_GBK" w:cs="Arial"/>
          <w:b/>
          <w:bCs/>
          <w:kern w:val="0"/>
          <w:sz w:val="32"/>
          <w:szCs w:val="32"/>
        </w:rPr>
        <w:t>（三）严格落实财政改革各项举措</w:t>
      </w:r>
    </w:p>
    <w:p>
      <w:pPr>
        <w:widowControl/>
        <w:spacing w:line="560" w:lineRule="exact"/>
        <w:ind w:firstLine="630"/>
        <w:rPr>
          <w:rFonts w:ascii="方正仿宋_GBK" w:hAnsi="ˎ̥" w:eastAsia="方正仿宋_GBK" w:cs="宋体"/>
          <w:b/>
          <w:kern w:val="0"/>
          <w:sz w:val="32"/>
          <w:szCs w:val="32"/>
        </w:rPr>
      </w:pPr>
      <w:r>
        <w:rPr>
          <w:rFonts w:hint="eastAsia" w:ascii="方正仿宋_GBK" w:hAnsi="ˎ̥" w:eastAsia="方正仿宋_GBK" w:cs="宋体"/>
          <w:b/>
          <w:kern w:val="0"/>
          <w:sz w:val="32"/>
          <w:szCs w:val="32"/>
        </w:rPr>
        <w:t>1.试编权责发生制下的公共预算</w:t>
      </w:r>
    </w:p>
    <w:p>
      <w:pPr>
        <w:widowControl/>
        <w:spacing w:line="560" w:lineRule="exact"/>
        <w:ind w:firstLine="630"/>
        <w:rPr>
          <w:rFonts w:ascii="方正仿宋_GBK" w:hAnsi="ˎ̥" w:eastAsia="方正仿宋_GBK" w:cs="宋体"/>
          <w:kern w:val="0"/>
          <w:sz w:val="32"/>
          <w:szCs w:val="32"/>
        </w:rPr>
      </w:pPr>
      <w:r>
        <w:rPr>
          <w:rFonts w:hint="eastAsia" w:ascii="方正仿宋_GBK" w:hAnsi="ˎ̥" w:eastAsia="方正仿宋_GBK" w:cs="宋体"/>
          <w:kern w:val="0"/>
          <w:sz w:val="32"/>
          <w:szCs w:val="32"/>
        </w:rPr>
        <w:t>按照新修订的</w:t>
      </w:r>
      <w:r>
        <w:fldChar w:fldCharType="begin"/>
      </w:r>
      <w:r>
        <w:instrText xml:space="preserve"> HYPERLINK "https://www.baidu.com/s?wd=%E3%80%8A%E9%A2%84%E7%AE%97%E6%B3%95%E3%80%8B&amp;tn=44039180_cpr&amp;fenlei=mv6quAkxTZn0IZRqIHckPjm4nH00T1d9nWfkPvmvuHbLnhm4mhm40ZwV5Hcvrjm3rH6sPfKWUMw85HfYnjn4nH6sgvPsT6KdThsqpZwYTjCEQLGCpyw9Uz4Bmy-bIi4WUvYETgN-TLwGUv3EnHT4njcLPHfvPHDzrH6YPj0Y"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《预算法》</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和《国务院关于深化预算管理制度改革的决定》，编制了2019年预算，进一步明确了</w:t>
      </w:r>
      <w:r>
        <w:fldChar w:fldCharType="begin"/>
      </w:r>
      <w:r>
        <w:instrText xml:space="preserve"> HYPERLINK "https://www.baidu.com/s?wd=%E4%B8%80%E8%88%AC%E5%85%AC%E5%85%B1%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一般公共预算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w:t>
      </w:r>
      <w:r>
        <w:fldChar w:fldCharType="begin"/>
      </w:r>
      <w:r>
        <w:instrText xml:space="preserve"> HYPERLINK "https://www.baidu.com/s?wd=%E6%94%BF%E5%BA%9C%E6%80%A7%E5%9F%BA%E9%87%91%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政府性基金预算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w:t>
      </w:r>
      <w:r>
        <w:fldChar w:fldCharType="begin"/>
      </w:r>
      <w:r>
        <w:instrText xml:space="preserve"> HYPERLINK "https://www.baidu.com/s?wd=%E5%9B%BD%E6%9C%89%E8%B5%84%E6%9C%AC%E7%BB%8F%E8%90%A5%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国有资本经营预算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w:t>
      </w:r>
      <w:r>
        <w:fldChar w:fldCharType="begin"/>
      </w:r>
      <w:r>
        <w:instrText xml:space="preserve"> HYPERLINK "https://www.baidu.com/s?wd=%E7%A4%BE%E4%BC%9A%E4%BF%9D%E9%99%A9%E5%9F%BA%E9%87%91%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社会保险基金预算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的收支范围，将政府的收入和支出全部纳入预算管理。加大</w:t>
      </w:r>
      <w:r>
        <w:fldChar w:fldCharType="begin"/>
      </w:r>
      <w:r>
        <w:instrText xml:space="preserve"> HYPERLINK "https://www.baidu.com/s?wd=%E6%94%BF%E5%BA%9C%E6%80%A7%E5%9F%BA%E9%87%91%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政府性基金预算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w:t>
      </w:r>
      <w:r>
        <w:fldChar w:fldCharType="begin"/>
      </w:r>
      <w:r>
        <w:instrText xml:space="preserve"> HYPERLINK "https://www.baidu.com/s?wd=%E5%9B%BD%E6%9C%89%E8%B5%84%E6%9C%AC%E7%BB%8F%E8%90%A5%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国有资本经营预算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与</w:t>
      </w:r>
      <w:r>
        <w:fldChar w:fldCharType="begin"/>
      </w:r>
      <w:r>
        <w:instrText xml:space="preserve"> HYPERLINK "https://www.baidu.com/s?wd=%E4%B8%80%E8%88%AC%E5%85%AC%E5%85%B1%E9%A2%84%E7%AE%97&amp;tn=44039180_cpr&amp;fenlei=mv6quAkxTZn0IZRqIHckPjm4nH00T1d9nWfkPvmvuHbLnhm4mhm40ZwV5Hcvrjm3rH6sPfKWUMw85HfYnjn4nH6sgvPsT6KdThsqpZwYTjCEQLGCpyw9Uz4Bmy-bIi4WUvYETgN-TLwGUv3EnHT4njcLPHfvPHDzrH6YPj0Y" \t "_blank" </w:instrText>
      </w:r>
      <w:r>
        <w:fldChar w:fldCharType="separate"/>
      </w:r>
      <w:r>
        <w:rPr>
          <w:rFonts w:hint="eastAsia" w:ascii="方正仿宋_GBK" w:hAnsi="ˎ̥" w:eastAsia="方正仿宋_GBK" w:cs="宋体"/>
          <w:kern w:val="0"/>
          <w:sz w:val="32"/>
          <w:szCs w:val="32"/>
        </w:rPr>
        <w:t>一般公共预算</w:t>
      </w:r>
      <w:r>
        <w:rPr>
          <w:rFonts w:hint="eastAsia" w:ascii="方正仿宋_GBK" w:hAnsi="ˎ̥" w:eastAsia="方正仿宋_GBK" w:cs="宋体"/>
          <w:kern w:val="0"/>
          <w:sz w:val="32"/>
          <w:szCs w:val="32"/>
        </w:rPr>
        <w:fldChar w:fldCharType="end"/>
      </w:r>
      <w:r>
        <w:rPr>
          <w:rFonts w:hint="eastAsia" w:ascii="方正仿宋_GBK" w:hAnsi="ˎ̥" w:eastAsia="方正仿宋_GBK" w:cs="宋体"/>
          <w:kern w:val="0"/>
          <w:sz w:val="32"/>
          <w:szCs w:val="32"/>
        </w:rPr>
        <w:t>的统筹力度，通过财力统筹将公共财政资金进行科学、高效的分配和使用。</w:t>
      </w:r>
    </w:p>
    <w:p>
      <w:pPr>
        <w:widowControl/>
        <w:spacing w:line="560" w:lineRule="exact"/>
        <w:ind w:firstLine="630"/>
        <w:rPr>
          <w:rFonts w:ascii="方正仿宋_GBK" w:hAnsi="ˎ̥" w:eastAsia="方正仿宋_GBK" w:cs="宋体"/>
          <w:b/>
          <w:kern w:val="0"/>
          <w:sz w:val="32"/>
          <w:szCs w:val="32"/>
        </w:rPr>
      </w:pPr>
      <w:r>
        <w:rPr>
          <w:rFonts w:hint="eastAsia" w:ascii="方正仿宋_GBK" w:hAnsi="ˎ̥" w:eastAsia="方正仿宋_GBK" w:cs="宋体"/>
          <w:b/>
          <w:kern w:val="0"/>
          <w:sz w:val="32"/>
          <w:szCs w:val="32"/>
        </w:rPr>
        <w:t>2.统筹整合财政转移支付资金</w:t>
      </w:r>
    </w:p>
    <w:p>
      <w:pPr>
        <w:widowControl/>
        <w:spacing w:line="560" w:lineRule="exact"/>
        <w:ind w:firstLine="630"/>
        <w:rPr>
          <w:rFonts w:ascii="方正仿宋_GBK" w:hAnsi="ˎ̥" w:eastAsia="方正仿宋_GBK" w:cs="宋体"/>
          <w:kern w:val="0"/>
          <w:sz w:val="32"/>
          <w:szCs w:val="32"/>
        </w:rPr>
      </w:pPr>
      <w:r>
        <w:rPr>
          <w:rFonts w:hint="eastAsia" w:ascii="方正仿宋_GBK" w:hAnsi="ˎ̥" w:eastAsia="方正仿宋_GBK" w:cs="宋体"/>
          <w:kern w:val="0"/>
          <w:sz w:val="32"/>
          <w:szCs w:val="32"/>
        </w:rPr>
        <w:t>紧紧围绕保障和改善民生，落实各项调控政策。将城乡基础设施、三农、社会保障等各类转移支付资金和本级财政资金进行全面的梳理和整合，提高财政资金支出效果，有效节约财政资金。</w:t>
      </w:r>
    </w:p>
    <w:p>
      <w:pPr>
        <w:widowControl/>
        <w:spacing w:line="560" w:lineRule="exact"/>
        <w:ind w:firstLine="630"/>
        <w:rPr>
          <w:rFonts w:ascii="方正仿宋_GBK" w:hAnsi="ˎ̥" w:eastAsia="方正仿宋_GBK" w:cs="宋体"/>
          <w:b/>
          <w:kern w:val="0"/>
          <w:sz w:val="32"/>
          <w:szCs w:val="32"/>
        </w:rPr>
      </w:pPr>
      <w:r>
        <w:rPr>
          <w:rFonts w:hint="eastAsia" w:ascii="方正仿宋_GBK" w:hAnsi="ˎ̥" w:eastAsia="方正仿宋_GBK" w:cs="宋体"/>
          <w:b/>
          <w:kern w:val="0"/>
          <w:sz w:val="32"/>
          <w:szCs w:val="32"/>
        </w:rPr>
        <w:t>3.加大财政存量资金清理</w:t>
      </w:r>
    </w:p>
    <w:p>
      <w:pPr>
        <w:widowControl/>
        <w:spacing w:line="560" w:lineRule="exact"/>
        <w:ind w:firstLine="630"/>
        <w:rPr>
          <w:rFonts w:ascii="方正仿宋_GBK" w:hAnsi="ˎ̥" w:eastAsia="方正仿宋_GBK" w:cs="宋体"/>
          <w:kern w:val="0"/>
          <w:sz w:val="32"/>
          <w:szCs w:val="32"/>
        </w:rPr>
      </w:pPr>
      <w:r>
        <w:rPr>
          <w:rFonts w:hint="eastAsia" w:ascii="方正仿宋_GBK" w:hAnsi="ˎ̥" w:eastAsia="方正仿宋_GBK" w:cs="宋体"/>
          <w:kern w:val="0"/>
          <w:sz w:val="32"/>
          <w:szCs w:val="32"/>
        </w:rPr>
        <w:t>进一步做好财政存量资金盘活工作，制定了盘活财政存量资金贯彻落实意见和专项检查实施方案，严格开展盘活财政存量资金专项检查，保证了重点支出的需要，有效缓解了财政支出压力。</w:t>
      </w:r>
    </w:p>
    <w:p>
      <w:pPr>
        <w:suppressAutoHyphens/>
        <w:spacing w:line="560" w:lineRule="exact"/>
        <w:ind w:firstLine="643" w:firstLineChars="200"/>
        <w:rPr>
          <w:rFonts w:ascii="方正仿宋_GBK" w:hAnsi="ˎ̥" w:eastAsia="方正仿宋_GBK" w:cs="宋体"/>
          <w:b/>
          <w:kern w:val="0"/>
          <w:sz w:val="32"/>
          <w:szCs w:val="32"/>
        </w:rPr>
      </w:pPr>
      <w:r>
        <w:rPr>
          <w:rFonts w:hint="eastAsia" w:ascii="方正仿宋_GBK" w:hAnsi="ˎ̥" w:eastAsia="方正仿宋_GBK" w:cs="宋体"/>
          <w:b/>
          <w:kern w:val="0"/>
          <w:sz w:val="32"/>
          <w:szCs w:val="32"/>
        </w:rPr>
        <w:t>4.防范化解重大债务风险</w:t>
      </w:r>
    </w:p>
    <w:p>
      <w:pPr>
        <w:suppressAutoHyphens/>
        <w:spacing w:line="560" w:lineRule="exact"/>
        <w:ind w:firstLine="640" w:firstLineChars="200"/>
        <w:rPr>
          <w:rFonts w:ascii="方正仿宋_GBK" w:hAnsi="ˎ̥" w:eastAsia="方正仿宋_GBK" w:cs="宋体"/>
          <w:kern w:val="0"/>
          <w:sz w:val="32"/>
          <w:szCs w:val="32"/>
        </w:rPr>
      </w:pPr>
      <w:r>
        <w:rPr>
          <w:rFonts w:hint="eastAsia" w:ascii="方正仿宋_GBK" w:hAnsi="ˎ̥" w:eastAsia="方正仿宋_GBK" w:cs="宋体"/>
          <w:kern w:val="0"/>
          <w:sz w:val="32"/>
          <w:szCs w:val="32"/>
        </w:rPr>
        <w:t>本年为支持经济发展，争取棚改专项债23.4元。我局严格控制债务增量，开好前门，堵好后门，严格按照“四个一律”要求，当年没有违规举债。同时积极消化存量债务，严格按照化债方案化解债务，当年化解债务51,222万元。积极做大政府综合财力，牢牢守住不发生系统性风险的底线。</w:t>
      </w:r>
    </w:p>
    <w:p>
      <w:pPr>
        <w:suppressAutoHyphens/>
        <w:spacing w:line="560" w:lineRule="exact"/>
        <w:ind w:firstLine="643" w:firstLineChars="200"/>
        <w:rPr>
          <w:rFonts w:ascii="方正仿宋_GBK" w:hAnsi="ˎ̥" w:eastAsia="方正仿宋_GBK" w:cs="宋体"/>
          <w:kern w:val="0"/>
          <w:sz w:val="32"/>
          <w:szCs w:val="32"/>
        </w:rPr>
      </w:pPr>
      <w:r>
        <w:rPr>
          <w:rFonts w:hint="eastAsia" w:ascii="方正仿宋_GBK" w:hAnsi="ˎ̥" w:eastAsia="方正仿宋_GBK" w:cs="宋体"/>
          <w:b/>
          <w:kern w:val="0"/>
          <w:sz w:val="32"/>
          <w:szCs w:val="32"/>
        </w:rPr>
        <w:t>5.强化监管措施，确保财政资金安全、高效运行</w:t>
      </w:r>
    </w:p>
    <w:p>
      <w:pPr>
        <w:suppressAutoHyphens/>
        <w:spacing w:line="560" w:lineRule="exact"/>
        <w:ind w:firstLine="640" w:firstLineChars="200"/>
        <w:rPr>
          <w:rFonts w:ascii="方正仿宋_GBK" w:hAnsi="ˎ̥" w:eastAsia="方正仿宋_GBK" w:cs="宋体"/>
          <w:kern w:val="0"/>
          <w:sz w:val="32"/>
          <w:szCs w:val="32"/>
        </w:rPr>
      </w:pPr>
      <w:r>
        <w:rPr>
          <w:rFonts w:hint="eastAsia" w:ascii="方正仿宋_GBK" w:hAnsi="ˎ̥" w:eastAsia="方正仿宋_GBK" w:cs="宋体"/>
          <w:kern w:val="0"/>
          <w:sz w:val="32"/>
          <w:szCs w:val="32"/>
        </w:rPr>
        <w:t>对我区2,017-2018年惠民惠农财政补贴资金“一卡通”管理、资金使用发放情况进行了全面检查，对街道（管委会）的人员和车辆经费进行专项检查，对发现的问题及时督促整改。继续完善政府采购执行和监管制度，截止10月31日预计数，预算18,061.16万元，实际16,915.78万元，节约资金1,145.38万元，节约率6.34%；加强对项目资金的审核管理，严格审查项目资金的预算标准、工程造价、项目进度，保证项目资金安全、有效支出；针对当前全市财政资金紧张的局面，加强对国库资金运行的监控和调度，促进国库资金合理、有序支出。</w:t>
      </w:r>
    </w:p>
    <w:p>
      <w:pPr>
        <w:widowControl/>
        <w:spacing w:line="560" w:lineRule="exact"/>
        <w:ind w:firstLine="630"/>
        <w:rPr>
          <w:rFonts w:ascii="方正仿宋_GBK" w:hAnsi="仿宋" w:eastAsia="方正仿宋_GBK"/>
          <w:sz w:val="32"/>
          <w:szCs w:val="32"/>
        </w:rPr>
      </w:pPr>
      <w:r>
        <w:rPr>
          <w:rFonts w:hint="eastAsia" w:ascii="方正仿宋_GBK" w:hAnsi="仿宋" w:eastAsia="方正仿宋_GBK"/>
          <w:b/>
          <w:sz w:val="32"/>
          <w:szCs w:val="32"/>
        </w:rPr>
        <w:t>6.实施预决算常态化公开</w:t>
      </w:r>
    </w:p>
    <w:p>
      <w:pPr>
        <w:widowControl/>
        <w:spacing w:line="560" w:lineRule="exact"/>
        <w:ind w:firstLine="630"/>
        <w:rPr>
          <w:rFonts w:ascii="方正仿宋_GBK" w:hAnsi="仿宋" w:eastAsia="方正仿宋_GBK"/>
          <w:sz w:val="32"/>
          <w:szCs w:val="32"/>
        </w:rPr>
      </w:pPr>
      <w:r>
        <w:rPr>
          <w:rFonts w:hint="eastAsia" w:ascii="方正仿宋_GBK" w:hAnsi="仿宋" w:eastAsia="方正仿宋_GBK"/>
          <w:sz w:val="32"/>
          <w:szCs w:val="32"/>
        </w:rPr>
        <w:t>树立依法公开观念，增强主动公开意识，切实履行主动公开责任，重视公开实效，回应公众关切，方便社会监督，体现公开及时、内容准确、形式规范的工作效果，以深入推进地方预决算公开为抓手，开展财税政策公开、惠民政策公开，提升财政管理改革透明度。</w:t>
      </w:r>
    </w:p>
    <w:p>
      <w:pPr>
        <w:ind w:firstLine="640" w:firstLineChars="200"/>
        <w:rPr>
          <w:rFonts w:ascii="仿宋_GB2312" w:hAnsi="宋体" w:eastAsia="仿宋_GB2312"/>
          <w:sz w:val="32"/>
          <w:szCs w:val="32"/>
        </w:rPr>
      </w:pPr>
    </w:p>
    <w:p>
      <w:pPr>
        <w:ind w:firstLine="640" w:firstLineChars="200"/>
        <w:rPr>
          <w:rFonts w:ascii="仿宋_GB2312" w:hAnsi="宋体" w:eastAsia="仿宋_GB2312"/>
          <w:sz w:val="32"/>
          <w:szCs w:val="32"/>
        </w:rPr>
      </w:pPr>
    </w:p>
    <w:p>
      <w:pPr>
        <w:ind w:firstLine="640" w:firstLineChars="200"/>
        <w:rPr>
          <w:rFonts w:ascii="仿宋_GB2312" w:hAnsi="宋体" w:eastAsia="仿宋_GB2312"/>
          <w:sz w:val="32"/>
          <w:szCs w:val="32"/>
        </w:rPr>
      </w:pPr>
    </w:p>
    <w:p>
      <w:pPr>
        <w:ind w:firstLine="640" w:firstLineChars="200"/>
        <w:rPr>
          <w:rFonts w:ascii="仿宋_GB2312" w:hAnsi="宋体" w:eastAsia="仿宋_GB2312"/>
          <w:sz w:val="32"/>
          <w:szCs w:val="32"/>
        </w:rPr>
      </w:pPr>
    </w:p>
    <w:p>
      <w:pPr>
        <w:widowControl/>
        <w:shd w:val="clear" w:color="auto" w:fill="FFFFFF"/>
        <w:wordWrap w:val="0"/>
        <w:spacing w:line="560" w:lineRule="exact"/>
        <w:ind w:firstLine="787" w:firstLineChars="246"/>
        <w:jc w:val="right"/>
        <w:rPr>
          <w:rFonts w:ascii="仿宋_GB2312" w:hAnsi="宋体" w:eastAsia="仿宋_GB2312"/>
          <w:sz w:val="32"/>
          <w:szCs w:val="32"/>
        </w:rPr>
      </w:pPr>
      <w:r>
        <w:rPr>
          <w:rFonts w:hint="eastAsia" w:ascii="仿宋_GB2312" w:hAnsi="宋体" w:eastAsia="仿宋_GB2312"/>
          <w:sz w:val="32"/>
          <w:szCs w:val="32"/>
        </w:rPr>
        <w:t xml:space="preserve">米东区财政局    </w:t>
      </w:r>
    </w:p>
    <w:p>
      <w:pPr>
        <w:widowControl/>
        <w:shd w:val="clear" w:color="auto" w:fill="FFFFFF"/>
        <w:spacing w:line="560" w:lineRule="exact"/>
        <w:ind w:firstLine="787" w:firstLineChars="246"/>
        <w:jc w:val="right"/>
        <w:rPr>
          <w:rFonts w:ascii="仿宋_GB2312" w:hAnsi="宋体" w:eastAsia="仿宋_GB2312"/>
          <w:sz w:val="32"/>
          <w:szCs w:val="32"/>
        </w:rPr>
      </w:pPr>
      <w:r>
        <w:rPr>
          <w:rFonts w:hint="eastAsia" w:ascii="仿宋_GB2312" w:hAnsi="宋体" w:eastAsia="仿宋_GB2312"/>
          <w:sz w:val="32"/>
          <w:szCs w:val="32"/>
        </w:rPr>
        <w:t>二〇一九年十二月三十一日</w:t>
      </w:r>
    </w:p>
    <w:sectPr>
      <w:footerReference r:id="rId3" w:type="default"/>
      <w:footerReference r:id="rId4" w:type="even"/>
      <w:pgSz w:w="20639" w:h="14572" w:orient="landscape"/>
      <w:pgMar w:top="1418" w:right="1440" w:bottom="1304" w:left="1440" w:header="851" w:footer="992" w:gutter="0"/>
      <w:pgNumType w:fmt="numberInDash"/>
      <w:cols w:space="105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_65b9_6b63_4eff_5b8b_GBK">
    <w:altName w:val="hakuyoxingshu7000"/>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- 5 -</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55355"/>
    <w:rsid w:val="0000147B"/>
    <w:rsid w:val="00010BEC"/>
    <w:rsid w:val="000110F2"/>
    <w:rsid w:val="000117A0"/>
    <w:rsid w:val="000169D3"/>
    <w:rsid w:val="00022739"/>
    <w:rsid w:val="000428B2"/>
    <w:rsid w:val="00043549"/>
    <w:rsid w:val="000479F6"/>
    <w:rsid w:val="00057767"/>
    <w:rsid w:val="00066091"/>
    <w:rsid w:val="00070710"/>
    <w:rsid w:val="0007187D"/>
    <w:rsid w:val="00076DA7"/>
    <w:rsid w:val="0007769A"/>
    <w:rsid w:val="000A07CB"/>
    <w:rsid w:val="000A3433"/>
    <w:rsid w:val="000A5F86"/>
    <w:rsid w:val="000A793C"/>
    <w:rsid w:val="000B364A"/>
    <w:rsid w:val="000B64D2"/>
    <w:rsid w:val="000B69CA"/>
    <w:rsid w:val="000C19D9"/>
    <w:rsid w:val="000C5383"/>
    <w:rsid w:val="000D4143"/>
    <w:rsid w:val="000E3CE2"/>
    <w:rsid w:val="000E4C8D"/>
    <w:rsid w:val="000E73A5"/>
    <w:rsid w:val="000F3BE2"/>
    <w:rsid w:val="000F514D"/>
    <w:rsid w:val="000F5AC1"/>
    <w:rsid w:val="000F5FEF"/>
    <w:rsid w:val="000F67CE"/>
    <w:rsid w:val="000F7A8E"/>
    <w:rsid w:val="00123C3F"/>
    <w:rsid w:val="00124B7E"/>
    <w:rsid w:val="001263C3"/>
    <w:rsid w:val="00130C25"/>
    <w:rsid w:val="0013122B"/>
    <w:rsid w:val="00135736"/>
    <w:rsid w:val="0013683B"/>
    <w:rsid w:val="00142D15"/>
    <w:rsid w:val="00150AC5"/>
    <w:rsid w:val="001518AC"/>
    <w:rsid w:val="001525D6"/>
    <w:rsid w:val="00152A55"/>
    <w:rsid w:val="001545BF"/>
    <w:rsid w:val="00154EB0"/>
    <w:rsid w:val="0016113F"/>
    <w:rsid w:val="0016171B"/>
    <w:rsid w:val="00161981"/>
    <w:rsid w:val="00164EC4"/>
    <w:rsid w:val="001713B0"/>
    <w:rsid w:val="00171E28"/>
    <w:rsid w:val="00171E40"/>
    <w:rsid w:val="00172524"/>
    <w:rsid w:val="00175147"/>
    <w:rsid w:val="00176D41"/>
    <w:rsid w:val="00181B91"/>
    <w:rsid w:val="00185B9D"/>
    <w:rsid w:val="0019075E"/>
    <w:rsid w:val="00192F15"/>
    <w:rsid w:val="00192F52"/>
    <w:rsid w:val="001972E2"/>
    <w:rsid w:val="001A1D7F"/>
    <w:rsid w:val="001A2494"/>
    <w:rsid w:val="001A483E"/>
    <w:rsid w:val="001A4F1E"/>
    <w:rsid w:val="001A751B"/>
    <w:rsid w:val="001A7A6B"/>
    <w:rsid w:val="001B0C15"/>
    <w:rsid w:val="001B18DF"/>
    <w:rsid w:val="001B6034"/>
    <w:rsid w:val="001B6FAE"/>
    <w:rsid w:val="001C157E"/>
    <w:rsid w:val="001C6596"/>
    <w:rsid w:val="001D231C"/>
    <w:rsid w:val="001D30F2"/>
    <w:rsid w:val="001D3D3F"/>
    <w:rsid w:val="001D52E3"/>
    <w:rsid w:val="001D6369"/>
    <w:rsid w:val="001D716B"/>
    <w:rsid w:val="001F066F"/>
    <w:rsid w:val="001F6B4C"/>
    <w:rsid w:val="001F70BC"/>
    <w:rsid w:val="001F7670"/>
    <w:rsid w:val="001F7AFE"/>
    <w:rsid w:val="002004AA"/>
    <w:rsid w:val="002011E4"/>
    <w:rsid w:val="00204D8C"/>
    <w:rsid w:val="0020502D"/>
    <w:rsid w:val="00206530"/>
    <w:rsid w:val="002122D3"/>
    <w:rsid w:val="002128C7"/>
    <w:rsid w:val="00212BEB"/>
    <w:rsid w:val="00213D7D"/>
    <w:rsid w:val="002233B5"/>
    <w:rsid w:val="00223DA5"/>
    <w:rsid w:val="002242DD"/>
    <w:rsid w:val="00224387"/>
    <w:rsid w:val="0022574F"/>
    <w:rsid w:val="002309FF"/>
    <w:rsid w:val="00236921"/>
    <w:rsid w:val="00236BCA"/>
    <w:rsid w:val="002431E9"/>
    <w:rsid w:val="002446A5"/>
    <w:rsid w:val="002452FF"/>
    <w:rsid w:val="002461F1"/>
    <w:rsid w:val="002474E1"/>
    <w:rsid w:val="002475CA"/>
    <w:rsid w:val="00247C6A"/>
    <w:rsid w:val="00251419"/>
    <w:rsid w:val="0025265F"/>
    <w:rsid w:val="00254000"/>
    <w:rsid w:val="00254839"/>
    <w:rsid w:val="0025671C"/>
    <w:rsid w:val="00257936"/>
    <w:rsid w:val="002637D2"/>
    <w:rsid w:val="00263DB0"/>
    <w:rsid w:val="0026413E"/>
    <w:rsid w:val="00266677"/>
    <w:rsid w:val="002705D8"/>
    <w:rsid w:val="00270CB8"/>
    <w:rsid w:val="00272F1D"/>
    <w:rsid w:val="00275A12"/>
    <w:rsid w:val="00276E9B"/>
    <w:rsid w:val="00280871"/>
    <w:rsid w:val="00281E54"/>
    <w:rsid w:val="00283905"/>
    <w:rsid w:val="00284A25"/>
    <w:rsid w:val="0028705C"/>
    <w:rsid w:val="0029401F"/>
    <w:rsid w:val="00294B56"/>
    <w:rsid w:val="002A1BB1"/>
    <w:rsid w:val="002A2F41"/>
    <w:rsid w:val="002A3E6C"/>
    <w:rsid w:val="002A3FE2"/>
    <w:rsid w:val="002A4213"/>
    <w:rsid w:val="002A4436"/>
    <w:rsid w:val="002A6D76"/>
    <w:rsid w:val="002B0F73"/>
    <w:rsid w:val="002B2161"/>
    <w:rsid w:val="002B6CF1"/>
    <w:rsid w:val="002B70AE"/>
    <w:rsid w:val="002C0DF8"/>
    <w:rsid w:val="002C134F"/>
    <w:rsid w:val="002C1C9D"/>
    <w:rsid w:val="002C2A36"/>
    <w:rsid w:val="002C2DD6"/>
    <w:rsid w:val="002D1474"/>
    <w:rsid w:val="002E01DF"/>
    <w:rsid w:val="002E2F40"/>
    <w:rsid w:val="002E48D8"/>
    <w:rsid w:val="002F0ABF"/>
    <w:rsid w:val="002F4249"/>
    <w:rsid w:val="002F79C5"/>
    <w:rsid w:val="0030281C"/>
    <w:rsid w:val="00310D49"/>
    <w:rsid w:val="00310E28"/>
    <w:rsid w:val="003122F9"/>
    <w:rsid w:val="00312CAD"/>
    <w:rsid w:val="003138B6"/>
    <w:rsid w:val="00313DC9"/>
    <w:rsid w:val="00316FEF"/>
    <w:rsid w:val="003171FA"/>
    <w:rsid w:val="00326BAB"/>
    <w:rsid w:val="003363DB"/>
    <w:rsid w:val="00342846"/>
    <w:rsid w:val="003438B0"/>
    <w:rsid w:val="00344944"/>
    <w:rsid w:val="00345BCB"/>
    <w:rsid w:val="0034754B"/>
    <w:rsid w:val="003502FA"/>
    <w:rsid w:val="00350340"/>
    <w:rsid w:val="003510FA"/>
    <w:rsid w:val="00351304"/>
    <w:rsid w:val="00352549"/>
    <w:rsid w:val="003579EE"/>
    <w:rsid w:val="00363CC1"/>
    <w:rsid w:val="00364772"/>
    <w:rsid w:val="00365443"/>
    <w:rsid w:val="00365521"/>
    <w:rsid w:val="0037293F"/>
    <w:rsid w:val="00374B1C"/>
    <w:rsid w:val="00375323"/>
    <w:rsid w:val="00380B28"/>
    <w:rsid w:val="00395A3F"/>
    <w:rsid w:val="00395F85"/>
    <w:rsid w:val="003978F3"/>
    <w:rsid w:val="003A2A88"/>
    <w:rsid w:val="003A3400"/>
    <w:rsid w:val="003A647C"/>
    <w:rsid w:val="003B0A1E"/>
    <w:rsid w:val="003B100A"/>
    <w:rsid w:val="003B52A8"/>
    <w:rsid w:val="003B6B8C"/>
    <w:rsid w:val="003B6DA1"/>
    <w:rsid w:val="003B7646"/>
    <w:rsid w:val="003B78F7"/>
    <w:rsid w:val="003B7B7B"/>
    <w:rsid w:val="003C599E"/>
    <w:rsid w:val="003D0765"/>
    <w:rsid w:val="003D4A0B"/>
    <w:rsid w:val="003E535C"/>
    <w:rsid w:val="003F1063"/>
    <w:rsid w:val="003F131B"/>
    <w:rsid w:val="003F7EAF"/>
    <w:rsid w:val="00400CF2"/>
    <w:rsid w:val="00410028"/>
    <w:rsid w:val="00414D5D"/>
    <w:rsid w:val="004150E1"/>
    <w:rsid w:val="004178FE"/>
    <w:rsid w:val="00422B7C"/>
    <w:rsid w:val="00424B04"/>
    <w:rsid w:val="00426F11"/>
    <w:rsid w:val="00430808"/>
    <w:rsid w:val="00433B31"/>
    <w:rsid w:val="00442AC4"/>
    <w:rsid w:val="00451B6E"/>
    <w:rsid w:val="0045241B"/>
    <w:rsid w:val="00466495"/>
    <w:rsid w:val="00467A02"/>
    <w:rsid w:val="00472372"/>
    <w:rsid w:val="00477A84"/>
    <w:rsid w:val="00483810"/>
    <w:rsid w:val="0049021C"/>
    <w:rsid w:val="00490AE4"/>
    <w:rsid w:val="00493515"/>
    <w:rsid w:val="0049771C"/>
    <w:rsid w:val="004A2D68"/>
    <w:rsid w:val="004A52DE"/>
    <w:rsid w:val="004C2891"/>
    <w:rsid w:val="004D1848"/>
    <w:rsid w:val="004D492C"/>
    <w:rsid w:val="004D5955"/>
    <w:rsid w:val="004E02AC"/>
    <w:rsid w:val="004E1845"/>
    <w:rsid w:val="004E30D4"/>
    <w:rsid w:val="004E61B3"/>
    <w:rsid w:val="004F32CA"/>
    <w:rsid w:val="004F5C88"/>
    <w:rsid w:val="005133FF"/>
    <w:rsid w:val="005138AD"/>
    <w:rsid w:val="00513F49"/>
    <w:rsid w:val="0051466D"/>
    <w:rsid w:val="00514F4E"/>
    <w:rsid w:val="00524734"/>
    <w:rsid w:val="00524A97"/>
    <w:rsid w:val="00524FC4"/>
    <w:rsid w:val="00525BD0"/>
    <w:rsid w:val="00532F2F"/>
    <w:rsid w:val="00535386"/>
    <w:rsid w:val="00540A9A"/>
    <w:rsid w:val="0054245C"/>
    <w:rsid w:val="0054746F"/>
    <w:rsid w:val="00554412"/>
    <w:rsid w:val="00557112"/>
    <w:rsid w:val="00561D5D"/>
    <w:rsid w:val="0056473B"/>
    <w:rsid w:val="00567607"/>
    <w:rsid w:val="00567E92"/>
    <w:rsid w:val="00574665"/>
    <w:rsid w:val="00576409"/>
    <w:rsid w:val="0058032D"/>
    <w:rsid w:val="00586EB8"/>
    <w:rsid w:val="00586F63"/>
    <w:rsid w:val="00592F10"/>
    <w:rsid w:val="00594E48"/>
    <w:rsid w:val="005A2C2E"/>
    <w:rsid w:val="005A6620"/>
    <w:rsid w:val="005B190A"/>
    <w:rsid w:val="005B32B5"/>
    <w:rsid w:val="005B3EFF"/>
    <w:rsid w:val="005B4687"/>
    <w:rsid w:val="005B7A0F"/>
    <w:rsid w:val="005C03FF"/>
    <w:rsid w:val="005C0D57"/>
    <w:rsid w:val="005C5240"/>
    <w:rsid w:val="005C551F"/>
    <w:rsid w:val="005C7619"/>
    <w:rsid w:val="005D70D6"/>
    <w:rsid w:val="005D7F02"/>
    <w:rsid w:val="005E4079"/>
    <w:rsid w:val="005E40FF"/>
    <w:rsid w:val="005E49A5"/>
    <w:rsid w:val="005E7DAF"/>
    <w:rsid w:val="005F1585"/>
    <w:rsid w:val="005F1B77"/>
    <w:rsid w:val="005F24A4"/>
    <w:rsid w:val="005F2E58"/>
    <w:rsid w:val="005F34E5"/>
    <w:rsid w:val="005F40ED"/>
    <w:rsid w:val="005F7F7A"/>
    <w:rsid w:val="00601052"/>
    <w:rsid w:val="006014A4"/>
    <w:rsid w:val="00603F58"/>
    <w:rsid w:val="006072D8"/>
    <w:rsid w:val="00610375"/>
    <w:rsid w:val="00611DE2"/>
    <w:rsid w:val="00612C84"/>
    <w:rsid w:val="006139D5"/>
    <w:rsid w:val="00614B0F"/>
    <w:rsid w:val="00631610"/>
    <w:rsid w:val="00636591"/>
    <w:rsid w:val="0063778F"/>
    <w:rsid w:val="00637940"/>
    <w:rsid w:val="00640AB3"/>
    <w:rsid w:val="0064228D"/>
    <w:rsid w:val="00643D8C"/>
    <w:rsid w:val="00647291"/>
    <w:rsid w:val="00650271"/>
    <w:rsid w:val="00672AD8"/>
    <w:rsid w:val="00673EBE"/>
    <w:rsid w:val="006818F5"/>
    <w:rsid w:val="00683EA4"/>
    <w:rsid w:val="00683FD1"/>
    <w:rsid w:val="00684476"/>
    <w:rsid w:val="006919B7"/>
    <w:rsid w:val="00691C37"/>
    <w:rsid w:val="00692181"/>
    <w:rsid w:val="006932CE"/>
    <w:rsid w:val="006961A4"/>
    <w:rsid w:val="006A07CC"/>
    <w:rsid w:val="006A0984"/>
    <w:rsid w:val="006A239F"/>
    <w:rsid w:val="006A2E02"/>
    <w:rsid w:val="006A303C"/>
    <w:rsid w:val="006A417D"/>
    <w:rsid w:val="006A66AB"/>
    <w:rsid w:val="006B7A2F"/>
    <w:rsid w:val="006C1072"/>
    <w:rsid w:val="006D0282"/>
    <w:rsid w:val="006D3D8F"/>
    <w:rsid w:val="006D495F"/>
    <w:rsid w:val="006D5155"/>
    <w:rsid w:val="006F135D"/>
    <w:rsid w:val="006F35A3"/>
    <w:rsid w:val="006F5482"/>
    <w:rsid w:val="00701779"/>
    <w:rsid w:val="007035DC"/>
    <w:rsid w:val="0070464E"/>
    <w:rsid w:val="0070682E"/>
    <w:rsid w:val="007107F4"/>
    <w:rsid w:val="00713CCD"/>
    <w:rsid w:val="00720133"/>
    <w:rsid w:val="00720F88"/>
    <w:rsid w:val="007237ED"/>
    <w:rsid w:val="00725DEE"/>
    <w:rsid w:val="00726C8B"/>
    <w:rsid w:val="007326AC"/>
    <w:rsid w:val="00732E35"/>
    <w:rsid w:val="007367BC"/>
    <w:rsid w:val="0073729B"/>
    <w:rsid w:val="00743338"/>
    <w:rsid w:val="00745AA3"/>
    <w:rsid w:val="0075181F"/>
    <w:rsid w:val="007538AC"/>
    <w:rsid w:val="00756C14"/>
    <w:rsid w:val="00756E2E"/>
    <w:rsid w:val="007606FA"/>
    <w:rsid w:val="007630F8"/>
    <w:rsid w:val="007638DB"/>
    <w:rsid w:val="007649C8"/>
    <w:rsid w:val="0077294A"/>
    <w:rsid w:val="00773F0F"/>
    <w:rsid w:val="007762FF"/>
    <w:rsid w:val="00782215"/>
    <w:rsid w:val="00794699"/>
    <w:rsid w:val="0079689D"/>
    <w:rsid w:val="007A195E"/>
    <w:rsid w:val="007A1981"/>
    <w:rsid w:val="007A4A7C"/>
    <w:rsid w:val="007A55EF"/>
    <w:rsid w:val="007A6010"/>
    <w:rsid w:val="007C0085"/>
    <w:rsid w:val="007C12C0"/>
    <w:rsid w:val="007C1DF5"/>
    <w:rsid w:val="007D1178"/>
    <w:rsid w:val="007E03A7"/>
    <w:rsid w:val="007E0BDA"/>
    <w:rsid w:val="007E4823"/>
    <w:rsid w:val="007E4ACD"/>
    <w:rsid w:val="007E6E5C"/>
    <w:rsid w:val="007F0DEA"/>
    <w:rsid w:val="007F2797"/>
    <w:rsid w:val="007F2BD8"/>
    <w:rsid w:val="007F3663"/>
    <w:rsid w:val="0080128B"/>
    <w:rsid w:val="008022EC"/>
    <w:rsid w:val="008039DE"/>
    <w:rsid w:val="00804708"/>
    <w:rsid w:val="00805E8B"/>
    <w:rsid w:val="0080684D"/>
    <w:rsid w:val="00807E69"/>
    <w:rsid w:val="00811306"/>
    <w:rsid w:val="00813A68"/>
    <w:rsid w:val="00814539"/>
    <w:rsid w:val="008147B7"/>
    <w:rsid w:val="0081782E"/>
    <w:rsid w:val="008204C9"/>
    <w:rsid w:val="00821B9D"/>
    <w:rsid w:val="00825FF2"/>
    <w:rsid w:val="008263AC"/>
    <w:rsid w:val="008324C4"/>
    <w:rsid w:val="0083567D"/>
    <w:rsid w:val="00836037"/>
    <w:rsid w:val="00840F69"/>
    <w:rsid w:val="00860A4B"/>
    <w:rsid w:val="00860CF6"/>
    <w:rsid w:val="00864244"/>
    <w:rsid w:val="008643B4"/>
    <w:rsid w:val="008670F8"/>
    <w:rsid w:val="00870B69"/>
    <w:rsid w:val="00871C2B"/>
    <w:rsid w:val="0087236D"/>
    <w:rsid w:val="00872EDB"/>
    <w:rsid w:val="00876163"/>
    <w:rsid w:val="008801AE"/>
    <w:rsid w:val="0088070E"/>
    <w:rsid w:val="008859BD"/>
    <w:rsid w:val="00890DB9"/>
    <w:rsid w:val="00893DC5"/>
    <w:rsid w:val="00895D29"/>
    <w:rsid w:val="008A41D9"/>
    <w:rsid w:val="008A4969"/>
    <w:rsid w:val="008A504E"/>
    <w:rsid w:val="008A5A3D"/>
    <w:rsid w:val="008A60BA"/>
    <w:rsid w:val="008A7B64"/>
    <w:rsid w:val="008B580F"/>
    <w:rsid w:val="008C4D6B"/>
    <w:rsid w:val="008C59C6"/>
    <w:rsid w:val="008D07B5"/>
    <w:rsid w:val="008D0F1D"/>
    <w:rsid w:val="008D518F"/>
    <w:rsid w:val="008E0DA2"/>
    <w:rsid w:val="008E13F2"/>
    <w:rsid w:val="008E3893"/>
    <w:rsid w:val="008E710C"/>
    <w:rsid w:val="008F22E0"/>
    <w:rsid w:val="009001B3"/>
    <w:rsid w:val="00900B06"/>
    <w:rsid w:val="009020F0"/>
    <w:rsid w:val="00904843"/>
    <w:rsid w:val="00905C2E"/>
    <w:rsid w:val="00911483"/>
    <w:rsid w:val="00914A30"/>
    <w:rsid w:val="009156CA"/>
    <w:rsid w:val="009215E1"/>
    <w:rsid w:val="0092441A"/>
    <w:rsid w:val="00926344"/>
    <w:rsid w:val="00926D07"/>
    <w:rsid w:val="00927E22"/>
    <w:rsid w:val="00932292"/>
    <w:rsid w:val="00941922"/>
    <w:rsid w:val="00941FA5"/>
    <w:rsid w:val="009436C9"/>
    <w:rsid w:val="0095202A"/>
    <w:rsid w:val="00952E2A"/>
    <w:rsid w:val="0095410A"/>
    <w:rsid w:val="0095454E"/>
    <w:rsid w:val="009554A2"/>
    <w:rsid w:val="009605BE"/>
    <w:rsid w:val="00960DA8"/>
    <w:rsid w:val="00962011"/>
    <w:rsid w:val="0096360D"/>
    <w:rsid w:val="00963F01"/>
    <w:rsid w:val="009661A1"/>
    <w:rsid w:val="00966659"/>
    <w:rsid w:val="009704CA"/>
    <w:rsid w:val="009711A7"/>
    <w:rsid w:val="0097165D"/>
    <w:rsid w:val="00976745"/>
    <w:rsid w:val="00976FA1"/>
    <w:rsid w:val="009810A9"/>
    <w:rsid w:val="00985181"/>
    <w:rsid w:val="00992929"/>
    <w:rsid w:val="00994810"/>
    <w:rsid w:val="009950A8"/>
    <w:rsid w:val="0099520F"/>
    <w:rsid w:val="009A0D2B"/>
    <w:rsid w:val="009A4040"/>
    <w:rsid w:val="009A7451"/>
    <w:rsid w:val="009B181B"/>
    <w:rsid w:val="009B6239"/>
    <w:rsid w:val="009B62EE"/>
    <w:rsid w:val="009C44FB"/>
    <w:rsid w:val="009C554C"/>
    <w:rsid w:val="009C62A1"/>
    <w:rsid w:val="009D2BAB"/>
    <w:rsid w:val="009D7184"/>
    <w:rsid w:val="009E0AA4"/>
    <w:rsid w:val="009E2027"/>
    <w:rsid w:val="009E268B"/>
    <w:rsid w:val="009E53F3"/>
    <w:rsid w:val="009E6467"/>
    <w:rsid w:val="009F0703"/>
    <w:rsid w:val="009F1E1B"/>
    <w:rsid w:val="009F6F8E"/>
    <w:rsid w:val="00A05387"/>
    <w:rsid w:val="00A1024D"/>
    <w:rsid w:val="00A11BF2"/>
    <w:rsid w:val="00A15D03"/>
    <w:rsid w:val="00A20B1F"/>
    <w:rsid w:val="00A22231"/>
    <w:rsid w:val="00A26FD7"/>
    <w:rsid w:val="00A27BAB"/>
    <w:rsid w:val="00A3106E"/>
    <w:rsid w:val="00A3332B"/>
    <w:rsid w:val="00A3435C"/>
    <w:rsid w:val="00A408B2"/>
    <w:rsid w:val="00A457B7"/>
    <w:rsid w:val="00A47064"/>
    <w:rsid w:val="00A500F7"/>
    <w:rsid w:val="00A5131A"/>
    <w:rsid w:val="00A56628"/>
    <w:rsid w:val="00A56D5E"/>
    <w:rsid w:val="00A57500"/>
    <w:rsid w:val="00A6742E"/>
    <w:rsid w:val="00A7522A"/>
    <w:rsid w:val="00A757B7"/>
    <w:rsid w:val="00A763D1"/>
    <w:rsid w:val="00A854D8"/>
    <w:rsid w:val="00A85AFE"/>
    <w:rsid w:val="00A91C8E"/>
    <w:rsid w:val="00A93DD3"/>
    <w:rsid w:val="00AA078F"/>
    <w:rsid w:val="00AA18A7"/>
    <w:rsid w:val="00AA2C04"/>
    <w:rsid w:val="00AB1929"/>
    <w:rsid w:val="00AB5FBD"/>
    <w:rsid w:val="00AB6CBE"/>
    <w:rsid w:val="00AC78FB"/>
    <w:rsid w:val="00AD001A"/>
    <w:rsid w:val="00AD1E16"/>
    <w:rsid w:val="00AD36B8"/>
    <w:rsid w:val="00AD3A4F"/>
    <w:rsid w:val="00AD4016"/>
    <w:rsid w:val="00AD73A3"/>
    <w:rsid w:val="00AD74CB"/>
    <w:rsid w:val="00AF4292"/>
    <w:rsid w:val="00AF6F3A"/>
    <w:rsid w:val="00AF7D28"/>
    <w:rsid w:val="00B03103"/>
    <w:rsid w:val="00B065A8"/>
    <w:rsid w:val="00B069FA"/>
    <w:rsid w:val="00B164C0"/>
    <w:rsid w:val="00B17CE0"/>
    <w:rsid w:val="00B17DE4"/>
    <w:rsid w:val="00B201EB"/>
    <w:rsid w:val="00B25E56"/>
    <w:rsid w:val="00B32F8B"/>
    <w:rsid w:val="00B33D50"/>
    <w:rsid w:val="00B41005"/>
    <w:rsid w:val="00B54FEE"/>
    <w:rsid w:val="00B66944"/>
    <w:rsid w:val="00B70E94"/>
    <w:rsid w:val="00B72F07"/>
    <w:rsid w:val="00B75A02"/>
    <w:rsid w:val="00B82086"/>
    <w:rsid w:val="00B83EFE"/>
    <w:rsid w:val="00B842AD"/>
    <w:rsid w:val="00B84FD2"/>
    <w:rsid w:val="00B86268"/>
    <w:rsid w:val="00B90261"/>
    <w:rsid w:val="00B94BD3"/>
    <w:rsid w:val="00B9531D"/>
    <w:rsid w:val="00BA6716"/>
    <w:rsid w:val="00BA6D99"/>
    <w:rsid w:val="00BA7396"/>
    <w:rsid w:val="00BB2559"/>
    <w:rsid w:val="00BB33C1"/>
    <w:rsid w:val="00BB5FE3"/>
    <w:rsid w:val="00BB6661"/>
    <w:rsid w:val="00BC01D3"/>
    <w:rsid w:val="00BC09C4"/>
    <w:rsid w:val="00BC3C2F"/>
    <w:rsid w:val="00BC654E"/>
    <w:rsid w:val="00BC659F"/>
    <w:rsid w:val="00BC7BCA"/>
    <w:rsid w:val="00BC7BFC"/>
    <w:rsid w:val="00BD1575"/>
    <w:rsid w:val="00BD2991"/>
    <w:rsid w:val="00BD3227"/>
    <w:rsid w:val="00BE0E56"/>
    <w:rsid w:val="00BE2F0D"/>
    <w:rsid w:val="00BE4EAF"/>
    <w:rsid w:val="00BE65D1"/>
    <w:rsid w:val="00BE74FE"/>
    <w:rsid w:val="00BE7EA1"/>
    <w:rsid w:val="00BF71B4"/>
    <w:rsid w:val="00BF7386"/>
    <w:rsid w:val="00C060C9"/>
    <w:rsid w:val="00C071CB"/>
    <w:rsid w:val="00C10DFA"/>
    <w:rsid w:val="00C1529C"/>
    <w:rsid w:val="00C16A05"/>
    <w:rsid w:val="00C21B24"/>
    <w:rsid w:val="00C22F3F"/>
    <w:rsid w:val="00C31597"/>
    <w:rsid w:val="00C3406D"/>
    <w:rsid w:val="00C356A2"/>
    <w:rsid w:val="00C35FF5"/>
    <w:rsid w:val="00C41BA0"/>
    <w:rsid w:val="00C42972"/>
    <w:rsid w:val="00C44F85"/>
    <w:rsid w:val="00C467CD"/>
    <w:rsid w:val="00C55355"/>
    <w:rsid w:val="00C56529"/>
    <w:rsid w:val="00C67F9C"/>
    <w:rsid w:val="00C711DF"/>
    <w:rsid w:val="00C74DE8"/>
    <w:rsid w:val="00C82F30"/>
    <w:rsid w:val="00C8428E"/>
    <w:rsid w:val="00C93941"/>
    <w:rsid w:val="00C9583B"/>
    <w:rsid w:val="00CA13F4"/>
    <w:rsid w:val="00CA3500"/>
    <w:rsid w:val="00CA38DB"/>
    <w:rsid w:val="00CA4FFB"/>
    <w:rsid w:val="00CA6DA9"/>
    <w:rsid w:val="00CB5657"/>
    <w:rsid w:val="00CB68FE"/>
    <w:rsid w:val="00CC0908"/>
    <w:rsid w:val="00CC1307"/>
    <w:rsid w:val="00CC3D29"/>
    <w:rsid w:val="00CC414F"/>
    <w:rsid w:val="00CC49F4"/>
    <w:rsid w:val="00CC66FB"/>
    <w:rsid w:val="00CC759A"/>
    <w:rsid w:val="00CD2BE5"/>
    <w:rsid w:val="00CD2DE7"/>
    <w:rsid w:val="00CD442D"/>
    <w:rsid w:val="00CE1DD6"/>
    <w:rsid w:val="00CE3EEB"/>
    <w:rsid w:val="00CE4109"/>
    <w:rsid w:val="00CF0C4E"/>
    <w:rsid w:val="00CF33CD"/>
    <w:rsid w:val="00CF3E26"/>
    <w:rsid w:val="00CF6C32"/>
    <w:rsid w:val="00D00275"/>
    <w:rsid w:val="00D10728"/>
    <w:rsid w:val="00D12352"/>
    <w:rsid w:val="00D17095"/>
    <w:rsid w:val="00D20B1C"/>
    <w:rsid w:val="00D24984"/>
    <w:rsid w:val="00D254A9"/>
    <w:rsid w:val="00D25724"/>
    <w:rsid w:val="00D30E67"/>
    <w:rsid w:val="00D3748D"/>
    <w:rsid w:val="00D43D54"/>
    <w:rsid w:val="00D539CE"/>
    <w:rsid w:val="00D54AB5"/>
    <w:rsid w:val="00D569C1"/>
    <w:rsid w:val="00D61E8A"/>
    <w:rsid w:val="00D6583D"/>
    <w:rsid w:val="00D65BEF"/>
    <w:rsid w:val="00D71D74"/>
    <w:rsid w:val="00D7219F"/>
    <w:rsid w:val="00D73B19"/>
    <w:rsid w:val="00D74670"/>
    <w:rsid w:val="00D7591B"/>
    <w:rsid w:val="00D76627"/>
    <w:rsid w:val="00D81D02"/>
    <w:rsid w:val="00D82FF8"/>
    <w:rsid w:val="00D84318"/>
    <w:rsid w:val="00D93417"/>
    <w:rsid w:val="00D93F18"/>
    <w:rsid w:val="00D9554E"/>
    <w:rsid w:val="00D9784B"/>
    <w:rsid w:val="00D97C3C"/>
    <w:rsid w:val="00D97EDD"/>
    <w:rsid w:val="00DA1249"/>
    <w:rsid w:val="00DA3C89"/>
    <w:rsid w:val="00DB478F"/>
    <w:rsid w:val="00DB763B"/>
    <w:rsid w:val="00DC3EC2"/>
    <w:rsid w:val="00DC49B9"/>
    <w:rsid w:val="00DD0F87"/>
    <w:rsid w:val="00DD1654"/>
    <w:rsid w:val="00DD510F"/>
    <w:rsid w:val="00DD71CC"/>
    <w:rsid w:val="00DE7C87"/>
    <w:rsid w:val="00DF12AA"/>
    <w:rsid w:val="00DF4D2B"/>
    <w:rsid w:val="00DF5DB0"/>
    <w:rsid w:val="00E00AF7"/>
    <w:rsid w:val="00E00E02"/>
    <w:rsid w:val="00E00EF9"/>
    <w:rsid w:val="00E01C63"/>
    <w:rsid w:val="00E041A2"/>
    <w:rsid w:val="00E042DC"/>
    <w:rsid w:val="00E05B18"/>
    <w:rsid w:val="00E07A19"/>
    <w:rsid w:val="00E12308"/>
    <w:rsid w:val="00E1556A"/>
    <w:rsid w:val="00E22EA4"/>
    <w:rsid w:val="00E23346"/>
    <w:rsid w:val="00E23989"/>
    <w:rsid w:val="00E27A28"/>
    <w:rsid w:val="00E30B25"/>
    <w:rsid w:val="00E3218A"/>
    <w:rsid w:val="00E34145"/>
    <w:rsid w:val="00E45D24"/>
    <w:rsid w:val="00E47950"/>
    <w:rsid w:val="00E51686"/>
    <w:rsid w:val="00E51BD4"/>
    <w:rsid w:val="00E62582"/>
    <w:rsid w:val="00E64297"/>
    <w:rsid w:val="00E654D8"/>
    <w:rsid w:val="00E67ABE"/>
    <w:rsid w:val="00E70E11"/>
    <w:rsid w:val="00E70EE1"/>
    <w:rsid w:val="00E71AA2"/>
    <w:rsid w:val="00E72B63"/>
    <w:rsid w:val="00E72F3E"/>
    <w:rsid w:val="00E75B9B"/>
    <w:rsid w:val="00E7630C"/>
    <w:rsid w:val="00E76EC2"/>
    <w:rsid w:val="00E8303F"/>
    <w:rsid w:val="00E87575"/>
    <w:rsid w:val="00EA1546"/>
    <w:rsid w:val="00EA4FB8"/>
    <w:rsid w:val="00EC0E16"/>
    <w:rsid w:val="00EC1D9F"/>
    <w:rsid w:val="00EC2441"/>
    <w:rsid w:val="00EC2EAD"/>
    <w:rsid w:val="00EC5EDD"/>
    <w:rsid w:val="00EC5F54"/>
    <w:rsid w:val="00ED4BC4"/>
    <w:rsid w:val="00EE1FBC"/>
    <w:rsid w:val="00EE2180"/>
    <w:rsid w:val="00EE6E24"/>
    <w:rsid w:val="00EF5002"/>
    <w:rsid w:val="00EF53BF"/>
    <w:rsid w:val="00EF6A9E"/>
    <w:rsid w:val="00EF6FA3"/>
    <w:rsid w:val="00EF7AA2"/>
    <w:rsid w:val="00F02AA4"/>
    <w:rsid w:val="00F105F7"/>
    <w:rsid w:val="00F227C3"/>
    <w:rsid w:val="00F22D6D"/>
    <w:rsid w:val="00F23D87"/>
    <w:rsid w:val="00F43782"/>
    <w:rsid w:val="00F4388B"/>
    <w:rsid w:val="00F43C41"/>
    <w:rsid w:val="00F43CEA"/>
    <w:rsid w:val="00F445B8"/>
    <w:rsid w:val="00F445E1"/>
    <w:rsid w:val="00F47791"/>
    <w:rsid w:val="00F523B4"/>
    <w:rsid w:val="00F60C2A"/>
    <w:rsid w:val="00F625CD"/>
    <w:rsid w:val="00F642D7"/>
    <w:rsid w:val="00F67778"/>
    <w:rsid w:val="00F73211"/>
    <w:rsid w:val="00F744E7"/>
    <w:rsid w:val="00F76358"/>
    <w:rsid w:val="00F768D7"/>
    <w:rsid w:val="00F843A9"/>
    <w:rsid w:val="00F852DD"/>
    <w:rsid w:val="00F87773"/>
    <w:rsid w:val="00F9071C"/>
    <w:rsid w:val="00F9563A"/>
    <w:rsid w:val="00FA0B5F"/>
    <w:rsid w:val="00FA3A20"/>
    <w:rsid w:val="00FA4D14"/>
    <w:rsid w:val="00FB39E7"/>
    <w:rsid w:val="00FB3A4E"/>
    <w:rsid w:val="00FC2DF0"/>
    <w:rsid w:val="00FD1623"/>
    <w:rsid w:val="00FE398D"/>
    <w:rsid w:val="00FE5688"/>
    <w:rsid w:val="00FF3767"/>
    <w:rsid w:val="00FF6763"/>
    <w:rsid w:val="63AC5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uiPriority w:val="0"/>
    <w:pPr>
      <w:ind w:firstLine="420" w:firstLineChars="200"/>
    </w:pPr>
    <w:rPr>
      <w:sz w:val="24"/>
    </w:rPr>
  </w:style>
  <w:style w:type="paragraph" w:styleId="4">
    <w:name w:val="Balloon Text"/>
    <w:basedOn w:val="1"/>
    <w:link w:val="12"/>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bCs/>
    </w:rPr>
  </w:style>
  <w:style w:type="character" w:styleId="10">
    <w:name w:val="page number"/>
    <w:basedOn w:val="8"/>
    <w:uiPriority w:val="0"/>
  </w:style>
  <w:style w:type="paragraph" w:customStyle="1" w:styleId="11">
    <w:name w:val="Char"/>
    <w:basedOn w:val="1"/>
    <w:uiPriority w:val="0"/>
    <w:rPr>
      <w:rFonts w:ascii="Tahoma" w:hAnsi="Tahoma"/>
      <w:sz w:val="24"/>
      <w:szCs w:val="20"/>
    </w:rPr>
  </w:style>
  <w:style w:type="character" w:customStyle="1" w:styleId="12">
    <w:name w:val="批注框文本 Char"/>
    <w:basedOn w:val="8"/>
    <w:link w:val="4"/>
    <w:uiPriority w:val="0"/>
    <w:rPr>
      <w:kern w:val="2"/>
      <w:sz w:val="18"/>
      <w:szCs w:val="18"/>
    </w:rPr>
  </w:style>
  <w:style w:type="character" w:customStyle="1" w:styleId="13">
    <w:name w:val="标题 3 Char"/>
    <w:basedOn w:val="8"/>
    <w:link w:val="2"/>
    <w:uiPriority w:val="99"/>
    <w:rPr>
      <w:rFonts w:ascii="宋体" w:hAnsi="宋体" w:cs="宋体"/>
      <w:b/>
      <w:bCs/>
      <w:sz w:val="27"/>
      <w:szCs w:val="27"/>
    </w:rPr>
  </w:style>
  <w:style w:type="paragraph" w:customStyle="1" w:styleId="14">
    <w:name w:val="p0"/>
    <w:basedOn w:val="1"/>
    <w:qFormat/>
    <w:uiPriority w:val="0"/>
    <w:pPr>
      <w:widowControl/>
      <w:ind w:firstLine="420"/>
      <w:jc w:val="left"/>
    </w:pPr>
    <w:rPr>
      <w:rFonts w:ascii="Calibri" w:hAnsi="Calibri" w:eastAsia="微软雅黑"/>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chart" Target="charts/chart10.xml"/><Relationship Id="rId14" Type="http://schemas.openxmlformats.org/officeDocument/2006/relationships/chart" Target="charts/chart9.xml"/><Relationship Id="rId13" Type="http://schemas.openxmlformats.org/officeDocument/2006/relationships/chart" Target="charts/chart8.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Workbook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7.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Workbook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Workbook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0740740740741"/>
          <c:y val="0.190058479532164"/>
          <c:w val="0.392592592592593"/>
          <c:h val="0.619883040935673"/>
        </c:manualLayout>
      </c:layout>
      <c:pieChart>
        <c:varyColors val="1"/>
        <c:ser>
          <c:idx val="0"/>
          <c:order val="0"/>
          <c:tx>
            <c:strRef>
              <c:f>Sheet1!$A$2</c:f>
              <c:strCache>
                <c:ptCount val="1"/>
                <c:pt idx="0">
                  <c:v>东部</c:v>
                </c:pt>
              </c:strCache>
            </c:strRef>
          </c:tx>
          <c:explosion val="0"/>
          <c:dPt>
            <c:idx val="0"/>
            <c:bubble3D val="0"/>
          </c:dPt>
          <c:dPt>
            <c:idx val="1"/>
            <c:bubble3D val="0"/>
          </c:dPt>
          <c:dPt>
            <c:idx val="2"/>
            <c:bubble3D val="0"/>
          </c:dPt>
          <c:dPt>
            <c:idx val="3"/>
            <c:bubble3D val="0"/>
          </c:dPt>
          <c:dPt>
            <c:idx val="4"/>
            <c:bubble3D val="0"/>
          </c:dPt>
          <c:dLbls>
            <c:dLbl>
              <c:idx val="0"/>
              <c:layout>
                <c:manualLayout>
                  <c:x val="-0.0119680585381374"/>
                  <c:y val="-0.046498323475115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0207986425939183"/>
                  <c:y val="0.016845297148861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0120747431421967"/>
                  <c:y val="0.039537760031872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016777028119994"/>
                  <c:y val="-0.13400874890638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0525115970841617"/>
                  <c:y val="0.001390047261606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eparator>
</c:separator>
            <c:showLeaderLines val="0"/>
            <c:extLst>
              <c:ext xmlns:c15="http://schemas.microsoft.com/office/drawing/2012/chart" uri="{CE6537A1-D6FC-4f65-9D91-7224C49458BB}">
                <c15:layout/>
                <c15:showLeaderLines val="0"/>
                <c15:leaderLines/>
              </c:ext>
            </c:extLst>
          </c:dLbls>
          <c:cat>
            <c:strRef>
              <c:f>Sheet1!$B$1:$F$1</c:f>
              <c:strCache>
                <c:ptCount val="5"/>
                <c:pt idx="0">
                  <c:v>公共预算收入</c:v>
                </c:pt>
                <c:pt idx="1">
                  <c:v>基金收入</c:v>
                </c:pt>
                <c:pt idx="2">
                  <c:v>补助收入</c:v>
                </c:pt>
                <c:pt idx="3">
                  <c:v>预算稳定基金</c:v>
                </c:pt>
                <c:pt idx="4">
                  <c:v>债务收入</c:v>
                </c:pt>
              </c:strCache>
            </c:strRef>
          </c:cat>
          <c:val>
            <c:numRef>
              <c:f>Sheet1!$B$2:$F$2</c:f>
              <c:numCache>
                <c:formatCode>General</c:formatCode>
                <c:ptCount val="5"/>
                <c:pt idx="0">
                  <c:v>472632</c:v>
                </c:pt>
                <c:pt idx="1">
                  <c:v>234162</c:v>
                </c:pt>
                <c:pt idx="2">
                  <c:v>96984</c:v>
                </c:pt>
                <c:pt idx="3">
                  <c:v>1103</c:v>
                </c:pt>
                <c:pt idx="4">
                  <c:v>284000</c:v>
                </c:pt>
              </c:numCache>
            </c:numRef>
          </c:val>
        </c:ser>
        <c:ser>
          <c:idx val="1"/>
          <c:order val="1"/>
          <c:tx>
            <c:strRef>
              <c:f>Sheet1!$A$3</c:f>
              <c:strCache>
                <c:ptCount val="1"/>
                <c:pt idx="0">
                  <c:v/>
                </c:pt>
              </c:strCache>
            </c:strRef>
          </c:tx>
          <c:explosion val="0"/>
          <c:dPt>
            <c:idx val="0"/>
            <c:bubble3D val="0"/>
          </c:dPt>
          <c:dPt>
            <c:idx val="1"/>
            <c:bubble3D val="0"/>
          </c:dPt>
          <c:dPt>
            <c:idx val="2"/>
            <c:bubble3D val="0"/>
          </c:dPt>
          <c:dPt>
            <c:idx val="3"/>
            <c:bubble3D val="0"/>
          </c:dPt>
          <c:dPt>
            <c:idx val="4"/>
            <c:bubble3D val="0"/>
          </c:dPt>
          <c:dLbls>
            <c:delete val="1"/>
          </c:dLbls>
          <c:cat>
            <c:strRef>
              <c:f>Sheet1!$B$1:$F$1</c:f>
              <c:strCache>
                <c:ptCount val="5"/>
                <c:pt idx="0">
                  <c:v>公共预算收入</c:v>
                </c:pt>
                <c:pt idx="1">
                  <c:v>基金收入</c:v>
                </c:pt>
                <c:pt idx="2">
                  <c:v>补助收入</c:v>
                </c:pt>
                <c:pt idx="3">
                  <c:v>预算稳定基金</c:v>
                </c:pt>
                <c:pt idx="4">
                  <c:v>债务收入</c:v>
                </c:pt>
              </c:strCache>
            </c:strRef>
          </c:cat>
          <c:val>
            <c:numRef>
              <c:f>Sheet1!$B$3:$F$3</c:f>
              <c:numCache>
                <c:formatCode>General</c:formatCode>
                <c:ptCount val="5"/>
              </c:numCache>
            </c:numRef>
          </c:val>
        </c:ser>
        <c:ser>
          <c:idx val="2"/>
          <c:order val="2"/>
          <c:tx>
            <c:strRef>
              <c:f>Sheet1!$A$4</c:f>
              <c:strCache>
                <c:ptCount val="1"/>
                <c:pt idx="0">
                  <c:v/>
                </c:pt>
              </c:strCache>
            </c:strRef>
          </c:tx>
          <c:explosion val="0"/>
          <c:dPt>
            <c:idx val="0"/>
            <c:bubble3D val="0"/>
          </c:dPt>
          <c:dPt>
            <c:idx val="1"/>
            <c:bubble3D val="0"/>
          </c:dPt>
          <c:dPt>
            <c:idx val="2"/>
            <c:bubble3D val="0"/>
          </c:dPt>
          <c:dPt>
            <c:idx val="3"/>
            <c:bubble3D val="0"/>
          </c:dPt>
          <c:dPt>
            <c:idx val="4"/>
            <c:bubble3D val="0"/>
          </c:dPt>
          <c:dLbls>
            <c:delete val="1"/>
          </c:dLbls>
          <c:cat>
            <c:strRef>
              <c:f>Sheet1!$B$1:$F$1</c:f>
              <c:strCache>
                <c:ptCount val="5"/>
                <c:pt idx="0">
                  <c:v>公共预算收入</c:v>
                </c:pt>
                <c:pt idx="1">
                  <c:v>基金收入</c:v>
                </c:pt>
                <c:pt idx="2">
                  <c:v>补助收入</c:v>
                </c:pt>
                <c:pt idx="3">
                  <c:v>预算稳定基金</c:v>
                </c:pt>
                <c:pt idx="4">
                  <c:v>债务收入</c:v>
                </c:pt>
              </c:strCache>
            </c:strRef>
          </c:cat>
          <c:val>
            <c:numRef>
              <c:f>Sheet1!$B$4:$F$4</c:f>
              <c:numCache>
                <c:formatCode>General</c:formatCode>
                <c:ptCount val="5"/>
              </c:numCache>
            </c:numRef>
          </c:val>
        </c:ser>
        <c:dLbls>
          <c:showLegendKey val="0"/>
          <c:showVal val="0"/>
          <c:showCatName val="0"/>
          <c:showSerName val="0"/>
          <c:showPercent val="0"/>
          <c:showBubbleSize val="0"/>
          <c:showLeaderLines val="0"/>
        </c:dLbls>
        <c:firstSliceAng val="0"/>
      </c:pieChart>
    </c:plotArea>
    <c:legend>
      <c:legendPos val="r"/>
      <c:layout>
        <c:manualLayout>
          <c:xMode val="edge"/>
          <c:yMode val="edge"/>
          <c:x val="0.763367302745209"/>
          <c:y val="0.520744977770189"/>
          <c:w val="0.204067563125186"/>
          <c:h val="0.479255030621172"/>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825851865177661"/>
          <c:y val="0.0486905803441238"/>
          <c:w val="0.894075403949731"/>
          <c:h val="0.662365292573725"/>
        </c:manualLayout>
      </c:layout>
      <c:barChart>
        <c:barDir val="col"/>
        <c:grouping val="clustered"/>
        <c:varyColors val="0"/>
        <c:ser>
          <c:idx val="0"/>
          <c:order val="0"/>
          <c:tx>
            <c:strRef>
              <c:f>Sheet1!$A$2</c:f>
              <c:strCache>
                <c:ptCount val="1"/>
                <c:pt idx="0">
                  <c:v>2017</c:v>
                </c:pt>
              </c:strCache>
            </c:strRef>
          </c:tx>
          <c:spPr>
            <a:solidFill>
              <a:srgbClr val="9999FF"/>
            </a:solidFill>
            <a:ln w="12700">
              <a:solidFill>
                <a:srgbClr val="000000"/>
              </a:solidFill>
              <a:prstDash val="solid"/>
            </a:ln>
          </c:spPr>
          <c:invertIfNegative val="0"/>
          <c:dLbls>
            <c:dLbl>
              <c:idx val="1"/>
              <c:layout>
                <c:manualLayout>
                  <c:x val="-0.0210896309314587"/>
                  <c:y val="0.0087145969498910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45225541886351"/>
                  <c:y val="-0.034872454668656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8119507908611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66"/>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总支出</c:v>
                </c:pt>
                <c:pt idx="1">
                  <c:v>公共预算支出</c:v>
                </c:pt>
                <c:pt idx="2">
                  <c:v>基金支出</c:v>
                </c:pt>
                <c:pt idx="3">
                  <c:v>上解支出</c:v>
                </c:pt>
                <c:pt idx="4">
                  <c:v>安排预算稳定基金</c:v>
                </c:pt>
              </c:strCache>
            </c:strRef>
          </c:cat>
          <c:val>
            <c:numRef>
              <c:f>Sheet1!$B$2:$F$2</c:f>
              <c:numCache>
                <c:formatCode>General</c:formatCode>
                <c:ptCount val="5"/>
                <c:pt idx="0">
                  <c:v>683226</c:v>
                </c:pt>
                <c:pt idx="1">
                  <c:v>329128</c:v>
                </c:pt>
                <c:pt idx="2">
                  <c:v>123402</c:v>
                </c:pt>
                <c:pt idx="3">
                  <c:v>158948</c:v>
                </c:pt>
                <c:pt idx="4">
                  <c:v>71748</c:v>
                </c:pt>
              </c:numCache>
            </c:numRef>
          </c:val>
        </c:ser>
        <c:ser>
          <c:idx val="1"/>
          <c:order val="1"/>
          <c:tx>
            <c:strRef>
              <c:f>Sheet1!$A$3</c:f>
              <c:strCache>
                <c:ptCount val="1"/>
                <c:pt idx="0">
                  <c:v>2019</c:v>
                </c:pt>
              </c:strCache>
            </c:strRef>
          </c:tx>
          <c:spPr>
            <a:solidFill>
              <a:srgbClr val="993366"/>
            </a:solidFill>
            <a:ln w="12700">
              <a:solidFill>
                <a:srgbClr val="000000"/>
              </a:solidFill>
              <a:prstDash val="solid"/>
            </a:ln>
          </c:spPr>
          <c:invertIfNegative val="0"/>
          <c:dLbls>
            <c:dLbl>
              <c:idx val="1"/>
              <c:layout>
                <c:manualLayout>
                  <c:x val="-4.295986302882e-17"/>
                  <c:y val="-0.030501089324618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40597539543058"/>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468658465143527"/>
                  <c:y val="-0.030401737242128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66"/>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总支出</c:v>
                </c:pt>
                <c:pt idx="1">
                  <c:v>公共预算支出</c:v>
                </c:pt>
                <c:pt idx="2">
                  <c:v>基金支出</c:v>
                </c:pt>
                <c:pt idx="3">
                  <c:v>上解支出</c:v>
                </c:pt>
                <c:pt idx="4">
                  <c:v>安排预算稳定基金</c:v>
                </c:pt>
              </c:strCache>
            </c:strRef>
          </c:cat>
          <c:val>
            <c:numRef>
              <c:f>Sheet1!$B$3:$F$3</c:f>
              <c:numCache>
                <c:formatCode>General</c:formatCode>
                <c:ptCount val="5"/>
                <c:pt idx="0">
                  <c:v>1027096</c:v>
                </c:pt>
                <c:pt idx="1">
                  <c:v>483178</c:v>
                </c:pt>
                <c:pt idx="2">
                  <c:v>367298</c:v>
                </c:pt>
                <c:pt idx="3">
                  <c:v>174378</c:v>
                </c:pt>
                <c:pt idx="4">
                  <c:v>2242</c:v>
                </c:pt>
              </c:numCache>
            </c:numRef>
          </c:val>
        </c:ser>
        <c:ser>
          <c:idx val="2"/>
          <c:order val="2"/>
          <c:tx>
            <c:strRef>
              <c:f>Sheet1!$A$4</c:f>
              <c:strCache>
                <c:ptCount val="1"/>
                <c:pt idx="0">
                  <c:v>2018</c:v>
                </c:pt>
              </c:strCache>
            </c:strRef>
          </c:tx>
          <c:spPr>
            <a:solidFill>
              <a:srgbClr val="FFFFCC"/>
            </a:solidFill>
            <a:ln w="12700">
              <a:solidFill>
                <a:srgbClr val="000000"/>
              </a:solidFill>
              <a:prstDash val="solid"/>
            </a:ln>
          </c:spPr>
          <c:invertIfNegative val="0"/>
          <c:dLbls>
            <c:dLbl>
              <c:idx val="0"/>
              <c:layout>
                <c:manualLayout>
                  <c:x val="0.0538957234915056"/>
                  <c:y val="0.0087145969498910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421792618629174"/>
                  <c:y val="0.0043572984749455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87463386057412"/>
                  <c:y val="0.026058631921824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40597539543058"/>
                  <c:y val="7.96226777309402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66"/>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总支出</c:v>
                </c:pt>
                <c:pt idx="1">
                  <c:v>公共预算支出</c:v>
                </c:pt>
                <c:pt idx="2">
                  <c:v>基金支出</c:v>
                </c:pt>
                <c:pt idx="3">
                  <c:v>上解支出</c:v>
                </c:pt>
                <c:pt idx="4">
                  <c:v>安排预算稳定基金</c:v>
                </c:pt>
              </c:strCache>
            </c:strRef>
          </c:cat>
          <c:val>
            <c:numRef>
              <c:f>Sheet1!$B$4:$F$4</c:f>
              <c:numCache>
                <c:formatCode>General</c:formatCode>
                <c:ptCount val="5"/>
                <c:pt idx="0">
                  <c:v>916139</c:v>
                </c:pt>
                <c:pt idx="1">
                  <c:v>596777</c:v>
                </c:pt>
                <c:pt idx="2">
                  <c:v>68854</c:v>
                </c:pt>
                <c:pt idx="3">
                  <c:v>249405</c:v>
                </c:pt>
                <c:pt idx="4">
                  <c:v>1103</c:v>
                </c:pt>
              </c:numCache>
            </c:numRef>
          </c:val>
        </c:ser>
        <c:dLbls>
          <c:showLegendKey val="0"/>
          <c:showVal val="0"/>
          <c:showCatName val="0"/>
          <c:showSerName val="0"/>
          <c:showPercent val="0"/>
          <c:showBubbleSize val="0"/>
        </c:dLbls>
        <c:gapWidth val="150"/>
        <c:axId val="367949312"/>
        <c:axId val="367663872"/>
      </c:barChart>
      <c:catAx>
        <c:axId val="367949312"/>
        <c:scaling>
          <c:orientation val="minMax"/>
        </c:scaling>
        <c:delete val="0"/>
        <c:axPos val="b"/>
        <c:numFmt formatCode="General" sourceLinked="1"/>
        <c:majorTickMark val="in"/>
        <c:minorTickMark val="none"/>
        <c:tickLblPos val="nextTo"/>
        <c:spPr>
          <a:ln w="9525" cap="flat" cmpd="sng" algn="ctr">
            <a:noFill/>
            <a:prstDash val="solid"/>
            <a:round/>
          </a:ln>
        </c:spPr>
        <c:txPr>
          <a:bodyPr rot="-2700000" spcFirstLastPara="0" vertOverflow="ellipsis" vert="horz" wrap="square" anchor="ctr" anchorCtr="1"/>
          <a:lstStyle/>
          <a:p>
            <a:pPr>
              <a:defRPr lang="zh-CN" sz="900" b="1"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crossAx val="367663872"/>
        <c:crosses val="autoZero"/>
        <c:auto val="1"/>
        <c:lblAlgn val="ctr"/>
        <c:lblOffset val="100"/>
        <c:tickLblSkip val="1"/>
        <c:noMultiLvlLbl val="0"/>
      </c:catAx>
      <c:valAx>
        <c:axId val="367663872"/>
        <c:scaling>
          <c:orientation val="minMax"/>
        </c:scaling>
        <c:delete val="0"/>
        <c:axPos val="l"/>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crossAx val="367949312"/>
        <c:crosses val="autoZero"/>
        <c:crossBetween val="between"/>
      </c:valAx>
      <c:spPr>
        <a:solidFill>
          <a:srgbClr val="339966"/>
        </a:solidFill>
        <a:ln w="3175">
          <a:solidFill>
            <a:srgbClr val="000000"/>
          </a:solidFill>
          <a:prstDash val="solid"/>
        </a:ln>
      </c:spPr>
    </c:plotArea>
    <c:legend>
      <c:legendPos val="r"/>
      <c:layout>
        <c:manualLayout>
          <c:xMode val="edge"/>
          <c:yMode val="edge"/>
          <c:x val="0.843013068006218"/>
          <c:y val="0.062784553891548"/>
          <c:w val="0.122082585278277"/>
          <c:h val="0.215488215488216"/>
        </c:manualLayout>
      </c:layout>
      <c:overlay val="0"/>
      <c:spPr>
        <a:solidFill>
          <a:srgbClr val="FFFFFF"/>
        </a:solidFill>
        <a:ln w="3175">
          <a:solidFill>
            <a:srgbClr val="000000"/>
          </a:solidFill>
          <a:prstDash val="solid"/>
        </a:ln>
        <a:effectLst>
          <a:outerShdw dist="35921" dir="2700000" algn="br">
            <a:srgbClr val="000000"/>
          </a:outerShdw>
        </a:effectLst>
      </c:spPr>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1550"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财政收入比例</c:v>
                </c:pt>
              </c:strCache>
            </c:strRef>
          </c:tx>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5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公共收入</c:v>
                </c:pt>
                <c:pt idx="1">
                  <c:v>基金收入</c:v>
                </c:pt>
              </c:strCache>
            </c:strRef>
          </c:cat>
          <c:val>
            <c:numRef>
              <c:f>Sheet1!$B$2:$B$3</c:f>
              <c:numCache>
                <c:formatCode>General</c:formatCode>
                <c:ptCount val="2"/>
                <c:pt idx="0">
                  <c:v>472632</c:v>
                </c:pt>
                <c:pt idx="1">
                  <c:v>234162</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0"/>
      <c:depthPercent val="100"/>
      <c:rAngAx val="0"/>
      <c:hPercent val="50"/>
      <c:perspective val="0"/>
    </c:view3D>
    <c:floor>
      <c:thickness val="0"/>
    </c:floor>
    <c:sideWall>
      <c:thickness val="0"/>
    </c:sideWall>
    <c:backWall>
      <c:thickness val="0"/>
    </c:backWall>
    <c:plotArea>
      <c:layout>
        <c:manualLayout>
          <c:layoutTarget val="inner"/>
          <c:xMode val="edge"/>
          <c:yMode val="edge"/>
          <c:x val="0.243654822335025"/>
          <c:y val="0.327433628318584"/>
          <c:w val="0.624365482233505"/>
          <c:h val="0.396017699115046"/>
        </c:manualLayout>
      </c:layout>
      <c:pie3DChart>
        <c:varyColors val="1"/>
        <c:ser>
          <c:idx val="0"/>
          <c:order val="0"/>
          <c:tx>
            <c:strRef>
              <c:f>Sheet1!$A$2</c:f>
              <c:strCache>
                <c:ptCount val="1"/>
                <c:pt idx="0">
                  <c:v>东部</c:v>
                </c:pt>
              </c:strCache>
            </c:strRef>
          </c:tx>
          <c:spPr>
            <a:solidFill>
              <a:srgbClr val="9999FF"/>
            </a:solidFill>
            <a:ln w="25400">
              <a:noFill/>
            </a:ln>
          </c:spPr>
          <c:explosion val="25"/>
          <c:dPt>
            <c:idx val="0"/>
            <c:bubble3D val="0"/>
            <c:explosion val="27"/>
            <c:spPr>
              <a:solidFill>
                <a:srgbClr val="9999FF"/>
              </a:solidFill>
              <a:ln w="25400">
                <a:noFill/>
              </a:ln>
            </c:spPr>
          </c:dPt>
          <c:dPt>
            <c:idx val="1"/>
            <c:bubble3D val="0"/>
            <c:explosion val="24"/>
            <c:spPr>
              <a:solidFill>
                <a:srgbClr val="993366"/>
              </a:solidFill>
              <a:ln w="25400">
                <a:noFill/>
              </a:ln>
            </c:spPr>
          </c:dPt>
          <c:dPt>
            <c:idx val="2"/>
            <c:bubble3D val="0"/>
            <c:explosion val="19"/>
            <c:spPr>
              <a:solidFill>
                <a:srgbClr val="FFFFCC"/>
              </a:solidFill>
              <a:ln w="25400">
                <a:noFill/>
              </a:ln>
            </c:spPr>
          </c:dPt>
          <c:dPt>
            <c:idx val="3"/>
            <c:bubble3D val="0"/>
            <c:spPr>
              <a:solidFill>
                <a:srgbClr val="CCFFFF"/>
              </a:solidFill>
              <a:ln w="25400">
                <a:noFill/>
              </a:ln>
            </c:spPr>
          </c:dPt>
          <c:dPt>
            <c:idx val="4"/>
            <c:bubble3D val="0"/>
            <c:spPr>
              <a:solidFill>
                <a:srgbClr val="660066"/>
              </a:solidFill>
              <a:ln w="25400">
                <a:noFill/>
              </a:ln>
            </c:spPr>
          </c:dPt>
          <c:dPt>
            <c:idx val="5"/>
            <c:bubble3D val="0"/>
            <c:spPr>
              <a:solidFill>
                <a:srgbClr val="FF8080"/>
              </a:solidFill>
              <a:ln w="25400">
                <a:noFill/>
              </a:ln>
            </c:spPr>
          </c:dPt>
          <c:dPt>
            <c:idx val="6"/>
            <c:bubble3D val="0"/>
            <c:spPr>
              <a:solidFill>
                <a:srgbClr val="0066CC"/>
              </a:solidFill>
              <a:ln w="25400">
                <a:noFill/>
              </a:ln>
            </c:spPr>
          </c:dPt>
          <c:dPt>
            <c:idx val="7"/>
            <c:bubble3D val="0"/>
            <c:spPr>
              <a:solidFill>
                <a:srgbClr val="CCCCFF"/>
              </a:solidFill>
              <a:ln w="25400">
                <a:noFill/>
              </a:ln>
            </c:spPr>
          </c:dPt>
          <c:dPt>
            <c:idx val="8"/>
            <c:bubble3D val="0"/>
            <c:spPr>
              <a:solidFill>
                <a:srgbClr val="000080"/>
              </a:solidFill>
              <a:ln w="25400">
                <a:noFill/>
              </a:ln>
            </c:spPr>
          </c:dPt>
          <c:dPt>
            <c:idx val="9"/>
            <c:bubble3D val="0"/>
            <c:spPr>
              <a:solidFill>
                <a:srgbClr val="FF00FF"/>
              </a:solidFill>
              <a:ln w="25400">
                <a:noFill/>
              </a:ln>
            </c:spPr>
          </c:dPt>
          <c:dPt>
            <c:idx val="10"/>
            <c:bubble3D val="0"/>
            <c:spPr>
              <a:solidFill>
                <a:srgbClr val="FFFF00"/>
              </a:solidFill>
              <a:ln w="25400">
                <a:noFill/>
              </a:ln>
            </c:spPr>
          </c:dPt>
          <c:dPt>
            <c:idx val="11"/>
            <c:bubble3D val="0"/>
            <c:spPr>
              <a:solidFill>
                <a:srgbClr val="00FFFF"/>
              </a:solidFill>
              <a:ln w="25400">
                <a:noFill/>
              </a:ln>
            </c:spPr>
          </c:dPt>
          <c:dPt>
            <c:idx val="12"/>
            <c:bubble3D val="0"/>
            <c:spPr>
              <a:solidFill>
                <a:srgbClr val="800080"/>
              </a:solidFill>
              <a:ln w="25400">
                <a:noFill/>
              </a:ln>
            </c:spPr>
          </c:dPt>
          <c:dPt>
            <c:idx val="13"/>
            <c:bubble3D val="0"/>
            <c:spPr>
              <a:solidFill>
                <a:srgbClr val="800000"/>
              </a:solidFill>
              <a:ln w="25400">
                <a:noFill/>
              </a:ln>
            </c:spPr>
          </c:dPt>
          <c:dPt>
            <c:idx val="14"/>
            <c:bubble3D val="0"/>
            <c:spPr>
              <a:solidFill>
                <a:srgbClr val="008080"/>
              </a:solidFill>
              <a:ln w="25400">
                <a:noFill/>
              </a:ln>
            </c:spPr>
          </c:dPt>
          <c:dPt>
            <c:idx val="15"/>
            <c:bubble3D val="0"/>
            <c:explosion val="19"/>
            <c:spPr>
              <a:solidFill>
                <a:srgbClr val="0000FF"/>
              </a:solidFill>
              <a:ln w="25400">
                <a:noFill/>
              </a:ln>
            </c:spPr>
          </c:dPt>
          <c:dPt>
            <c:idx val="16"/>
            <c:bubble3D val="0"/>
            <c:explosion val="28"/>
            <c:spPr>
              <a:solidFill>
                <a:srgbClr val="00CCFF"/>
              </a:solidFill>
              <a:ln w="25400">
                <a:noFill/>
              </a:ln>
            </c:spPr>
          </c:dPt>
          <c:dPt>
            <c:idx val="17"/>
            <c:bubble3D val="0"/>
            <c:explosion val="36"/>
            <c:spPr>
              <a:solidFill>
                <a:srgbClr val="CCFFFF"/>
              </a:solidFill>
              <a:ln w="25400">
                <a:noFill/>
              </a:ln>
            </c:spPr>
          </c:dPt>
          <c:dPt>
            <c:idx val="18"/>
            <c:bubble3D val="0"/>
            <c:explosion val="32"/>
            <c:spPr>
              <a:solidFill>
                <a:srgbClr val="CCFFCC"/>
              </a:solidFill>
              <a:ln w="25400">
                <a:noFill/>
              </a:ln>
            </c:spPr>
          </c:dPt>
          <c:dLbls>
            <c:dLbl>
              <c:idx val="0"/>
              <c:layout>
                <c:manualLayout>
                  <c:x val="-0.120788447955633"/>
                  <c:y val="-0.099492084037440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0"/>
              <c:delete val="1"/>
            </c:dLbl>
            <c:dLbl>
              <c:idx val="11"/>
              <c:layout>
                <c:manualLayout>
                  <c:x val="-0.256056888237807"/>
                  <c:y val="-0.0396696988218938"/>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2"/>
              <c:layout>
                <c:manualLayout>
                  <c:x val="-0.175543289646934"/>
                  <c:y val="-0.081364350004194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3"/>
              <c:layout>
                <c:manualLayout>
                  <c:x val="-0.118787593411289"/>
                  <c:y val="-0.098921367705749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4"/>
              <c:layout>
                <c:manualLayout>
                  <c:x val="-0.0681539226201376"/>
                  <c:y val="-0.26955021033329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5"/>
              <c:delete val="1"/>
            </c:dLbl>
            <c:dLbl>
              <c:idx val="16"/>
              <c:layout>
                <c:manualLayout>
                  <c:x val="0.0309653735143572"/>
                  <c:y val="-0.1634839823104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7"/>
              <c:delete val="1"/>
            </c:dLbl>
            <c:dLbl>
              <c:idx val="18"/>
              <c:layout>
                <c:manualLayout>
                  <c:x val="0.0461316172687716"/>
                  <c:y val="-0.050918635170603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solidFill>
                <a:srgbClr val="00B0F0"/>
              </a:solidFill>
              <a:ln>
                <a:solidFill>
                  <a:srgbClr val="92D050"/>
                </a:solidFill>
              </a:ln>
              <a:effectLst/>
            </c:spPr>
            <c:txPr>
              <a:bodyPr rot="0" spcFirstLastPara="0" vertOverflow="ellipsis" vert="horz" wrap="square" lIns="38100" tIns="19050" rIns="38100" bIns="19050" anchor="ctr" anchorCtr="1"/>
              <a:lstStyle/>
              <a:p>
                <a:pPr>
                  <a:defRPr lang="zh-CN" sz="11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Sheet1!$B$1:$T$1</c:f>
              <c:strCache>
                <c:ptCount val="19"/>
                <c:pt idx="0">
                  <c:v>增值税</c:v>
                </c:pt>
                <c:pt idx="1">
                  <c:v>其他税收</c:v>
                </c:pt>
                <c:pt idx="2">
                  <c:v>企业所得税</c:v>
                </c:pt>
                <c:pt idx="3">
                  <c:v>个人所得税</c:v>
                </c:pt>
                <c:pt idx="4">
                  <c:v>资源税</c:v>
                </c:pt>
                <c:pt idx="5">
                  <c:v>城建税</c:v>
                </c:pt>
                <c:pt idx="6">
                  <c:v>房产税</c:v>
                </c:pt>
                <c:pt idx="7">
                  <c:v>印花税</c:v>
                </c:pt>
                <c:pt idx="8">
                  <c:v>城镇土地使用税</c:v>
                </c:pt>
                <c:pt idx="9">
                  <c:v>土地增值税</c:v>
                </c:pt>
                <c:pt idx="10">
                  <c:v>车船税</c:v>
                </c:pt>
                <c:pt idx="11">
                  <c:v>契税</c:v>
                </c:pt>
                <c:pt idx="12">
                  <c:v>专项收入</c:v>
                </c:pt>
                <c:pt idx="13">
                  <c:v>行政收费</c:v>
                </c:pt>
                <c:pt idx="14">
                  <c:v>罚没收入</c:v>
                </c:pt>
                <c:pt idx="15">
                  <c:v>国有资源有偿使用收入</c:v>
                </c:pt>
                <c:pt idx="16">
                  <c:v>耕地占用税</c:v>
                </c:pt>
                <c:pt idx="17">
                  <c:v>国有资本经营收入</c:v>
                </c:pt>
                <c:pt idx="18">
                  <c:v>其他收入</c:v>
                </c:pt>
              </c:strCache>
            </c:strRef>
          </c:cat>
          <c:val>
            <c:numRef>
              <c:f>Sheet1!$B$2:$T$2</c:f>
              <c:numCache>
                <c:formatCode>General</c:formatCode>
                <c:ptCount val="19"/>
                <c:pt idx="0">
                  <c:v>134580</c:v>
                </c:pt>
                <c:pt idx="1">
                  <c:v>28</c:v>
                </c:pt>
                <c:pt idx="2">
                  <c:v>20232</c:v>
                </c:pt>
                <c:pt idx="3">
                  <c:v>12234</c:v>
                </c:pt>
                <c:pt idx="4">
                  <c:v>3602</c:v>
                </c:pt>
                <c:pt idx="5">
                  <c:v>32371</c:v>
                </c:pt>
                <c:pt idx="6">
                  <c:v>12671</c:v>
                </c:pt>
                <c:pt idx="7">
                  <c:v>4427</c:v>
                </c:pt>
                <c:pt idx="8">
                  <c:v>11534</c:v>
                </c:pt>
                <c:pt idx="9">
                  <c:v>22040</c:v>
                </c:pt>
                <c:pt idx="10">
                  <c:v>17</c:v>
                </c:pt>
                <c:pt idx="11">
                  <c:v>33529</c:v>
                </c:pt>
                <c:pt idx="12">
                  <c:v>84808</c:v>
                </c:pt>
                <c:pt idx="13">
                  <c:v>16447</c:v>
                </c:pt>
                <c:pt idx="14">
                  <c:v>4350</c:v>
                </c:pt>
                <c:pt idx="15">
                  <c:v>46030</c:v>
                </c:pt>
                <c:pt idx="16">
                  <c:v>18481</c:v>
                </c:pt>
                <c:pt idx="17">
                  <c:v>46030</c:v>
                </c:pt>
                <c:pt idx="18">
                  <c:v>15246</c:v>
                </c:pt>
              </c:numCache>
            </c:numRef>
          </c:val>
        </c:ser>
        <c:ser>
          <c:idx val="1"/>
          <c:order val="1"/>
          <c:tx>
            <c:strRef>
              <c:f>Sheet1!$A$5</c:f>
              <c:strCache>
                <c:ptCount val="1"/>
                <c:pt idx="0">
                  <c:v/>
                </c:pt>
              </c:strCache>
            </c:strRef>
          </c:tx>
          <c:spPr>
            <a:solidFill>
              <a:srgbClr val="993366"/>
            </a:solidFill>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000080"/>
              </a:solidFill>
              <a:ln w="12700">
                <a:solidFill>
                  <a:srgbClr val="000000"/>
                </a:solidFill>
                <a:prstDash val="solid"/>
              </a:ln>
            </c:spPr>
          </c:dPt>
          <c:dPt>
            <c:idx val="9"/>
            <c:bubble3D val="0"/>
            <c:spPr>
              <a:solidFill>
                <a:srgbClr val="FF00FF"/>
              </a:solidFill>
              <a:ln w="12700">
                <a:solidFill>
                  <a:srgbClr val="000000"/>
                </a:solidFill>
                <a:prstDash val="solid"/>
              </a:ln>
            </c:spPr>
          </c:dPt>
          <c:dPt>
            <c:idx val="10"/>
            <c:bubble3D val="0"/>
            <c:spPr>
              <a:solidFill>
                <a:srgbClr val="FF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800080"/>
              </a:solidFill>
              <a:ln w="12700">
                <a:solidFill>
                  <a:srgbClr val="000000"/>
                </a:solidFill>
                <a:prstDash val="solid"/>
              </a:ln>
            </c:spPr>
          </c:dPt>
          <c:dPt>
            <c:idx val="13"/>
            <c:bubble3D val="0"/>
            <c:spPr>
              <a:solidFill>
                <a:srgbClr val="800000"/>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Pt>
            <c:idx val="18"/>
            <c:bubble3D val="0"/>
            <c:spPr>
              <a:solidFill>
                <a:srgbClr val="CCFFCC"/>
              </a:solidFill>
              <a:ln w="12700">
                <a:solidFill>
                  <a:srgbClr val="000000"/>
                </a:solidFill>
                <a:prstDash val="solid"/>
              </a:ln>
            </c:spPr>
          </c:dPt>
          <c:dLbls>
            <c:spPr>
              <a:noFill/>
              <a:ln w="25400">
                <a:noFill/>
              </a:ln>
              <a:effectLst/>
            </c:spPr>
            <c:txPr>
              <a:bodyPr rot="0" spcFirstLastPara="0" vertOverflow="ellipsis" vert="horz" wrap="square" lIns="38100" tIns="19050" rIns="38100" bIns="19050" anchor="ctr" anchorCtr="1"/>
              <a:lstStyle/>
              <a:p>
                <a:pPr>
                  <a:defRPr lang="zh-CN" sz="17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Sheet1!$B$1:$T$1</c:f>
              <c:strCache>
                <c:ptCount val="19"/>
                <c:pt idx="0">
                  <c:v>增值税</c:v>
                </c:pt>
                <c:pt idx="1">
                  <c:v>其他税收</c:v>
                </c:pt>
                <c:pt idx="2">
                  <c:v>企业所得税</c:v>
                </c:pt>
                <c:pt idx="3">
                  <c:v>个人所得税</c:v>
                </c:pt>
                <c:pt idx="4">
                  <c:v>资源税</c:v>
                </c:pt>
                <c:pt idx="5">
                  <c:v>城建税</c:v>
                </c:pt>
                <c:pt idx="6">
                  <c:v>房产税</c:v>
                </c:pt>
                <c:pt idx="7">
                  <c:v>印花税</c:v>
                </c:pt>
                <c:pt idx="8">
                  <c:v>城镇土地使用税</c:v>
                </c:pt>
                <c:pt idx="9">
                  <c:v>土地增值税</c:v>
                </c:pt>
                <c:pt idx="10">
                  <c:v>车船税</c:v>
                </c:pt>
                <c:pt idx="11">
                  <c:v>契税</c:v>
                </c:pt>
                <c:pt idx="12">
                  <c:v>专项收入</c:v>
                </c:pt>
                <c:pt idx="13">
                  <c:v>行政收费</c:v>
                </c:pt>
                <c:pt idx="14">
                  <c:v>罚没收入</c:v>
                </c:pt>
                <c:pt idx="15">
                  <c:v>国有资源有偿使用收入</c:v>
                </c:pt>
                <c:pt idx="16">
                  <c:v>耕地占用税</c:v>
                </c:pt>
                <c:pt idx="17">
                  <c:v>国有资本经营收入</c:v>
                </c:pt>
                <c:pt idx="18">
                  <c:v>其他收入</c:v>
                </c:pt>
              </c:strCache>
            </c:strRef>
          </c:cat>
          <c:val>
            <c:numRef>
              <c:f>Sheet1!$B$5:$T$5</c:f>
              <c:numCache>
                <c:formatCode>General</c:formatCode>
                <c:ptCount val="19"/>
              </c:numCache>
            </c:numRef>
          </c:val>
        </c:ser>
        <c:ser>
          <c:idx val="2"/>
          <c:order val="2"/>
          <c:tx>
            <c:strRef>
              <c:f>Sheet1!$A$6</c:f>
              <c:strCache>
                <c:ptCount val="1"/>
                <c:pt idx="0">
                  <c:v/>
                </c:pt>
              </c:strCache>
            </c:strRef>
          </c:tx>
          <c:spPr>
            <a:solidFill>
              <a:srgbClr val="FFFFCC"/>
            </a:solidFill>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000080"/>
              </a:solidFill>
              <a:ln w="12700">
                <a:solidFill>
                  <a:srgbClr val="000000"/>
                </a:solidFill>
                <a:prstDash val="solid"/>
              </a:ln>
            </c:spPr>
          </c:dPt>
          <c:dPt>
            <c:idx val="9"/>
            <c:bubble3D val="0"/>
            <c:spPr>
              <a:solidFill>
                <a:srgbClr val="FF00FF"/>
              </a:solidFill>
              <a:ln w="12700">
                <a:solidFill>
                  <a:srgbClr val="000000"/>
                </a:solidFill>
                <a:prstDash val="solid"/>
              </a:ln>
            </c:spPr>
          </c:dPt>
          <c:dPt>
            <c:idx val="10"/>
            <c:bubble3D val="0"/>
            <c:spPr>
              <a:solidFill>
                <a:srgbClr val="FF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800080"/>
              </a:solidFill>
              <a:ln w="12700">
                <a:solidFill>
                  <a:srgbClr val="000000"/>
                </a:solidFill>
                <a:prstDash val="solid"/>
              </a:ln>
            </c:spPr>
          </c:dPt>
          <c:dPt>
            <c:idx val="13"/>
            <c:bubble3D val="0"/>
            <c:spPr>
              <a:solidFill>
                <a:srgbClr val="800000"/>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Pt>
            <c:idx val="18"/>
            <c:bubble3D val="0"/>
            <c:spPr>
              <a:solidFill>
                <a:srgbClr val="CCFFCC"/>
              </a:solidFill>
              <a:ln w="12700">
                <a:solidFill>
                  <a:srgbClr val="000000"/>
                </a:solidFill>
                <a:prstDash val="solid"/>
              </a:ln>
            </c:spPr>
          </c:dPt>
          <c:dLbls>
            <c:spPr>
              <a:noFill/>
              <a:ln w="25400">
                <a:noFill/>
              </a:ln>
              <a:effectLst/>
            </c:spPr>
            <c:txPr>
              <a:bodyPr rot="0" spcFirstLastPara="0" vertOverflow="ellipsis" vert="horz" wrap="square" lIns="38100" tIns="19050" rIns="38100" bIns="19050" anchor="ctr" anchorCtr="1"/>
              <a:lstStyle/>
              <a:p>
                <a:pPr>
                  <a:defRPr lang="zh-CN" sz="17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Sheet1!$B$1:$T$1</c:f>
              <c:strCache>
                <c:ptCount val="19"/>
                <c:pt idx="0">
                  <c:v>增值税</c:v>
                </c:pt>
                <c:pt idx="1">
                  <c:v>其他税收</c:v>
                </c:pt>
                <c:pt idx="2">
                  <c:v>企业所得税</c:v>
                </c:pt>
                <c:pt idx="3">
                  <c:v>个人所得税</c:v>
                </c:pt>
                <c:pt idx="4">
                  <c:v>资源税</c:v>
                </c:pt>
                <c:pt idx="5">
                  <c:v>城建税</c:v>
                </c:pt>
                <c:pt idx="6">
                  <c:v>房产税</c:v>
                </c:pt>
                <c:pt idx="7">
                  <c:v>印花税</c:v>
                </c:pt>
                <c:pt idx="8">
                  <c:v>城镇土地使用税</c:v>
                </c:pt>
                <c:pt idx="9">
                  <c:v>土地增值税</c:v>
                </c:pt>
                <c:pt idx="10">
                  <c:v>车船税</c:v>
                </c:pt>
                <c:pt idx="11">
                  <c:v>契税</c:v>
                </c:pt>
                <c:pt idx="12">
                  <c:v>专项收入</c:v>
                </c:pt>
                <c:pt idx="13">
                  <c:v>行政收费</c:v>
                </c:pt>
                <c:pt idx="14">
                  <c:v>罚没收入</c:v>
                </c:pt>
                <c:pt idx="15">
                  <c:v>国有资源有偿使用收入</c:v>
                </c:pt>
                <c:pt idx="16">
                  <c:v>耕地占用税</c:v>
                </c:pt>
                <c:pt idx="17">
                  <c:v>国有资本经营收入</c:v>
                </c:pt>
                <c:pt idx="18">
                  <c:v>其他收入</c:v>
                </c:pt>
              </c:strCache>
            </c:strRef>
          </c:cat>
          <c:val>
            <c:numRef>
              <c:f>Sheet1!$B$6:$T$6</c:f>
              <c:numCache>
                <c:formatCode>General</c:formatCode>
                <c:ptCount val="19"/>
              </c:numCache>
            </c:numRef>
          </c:val>
        </c:ser>
        <c:ser>
          <c:idx val="3"/>
          <c:order val="3"/>
          <c:tx>
            <c:strRef>
              <c:f>Sheet1!$A$7</c:f>
              <c:strCache>
                <c:ptCount val="1"/>
                <c:pt idx="0">
                  <c:v/>
                </c:pt>
              </c:strCache>
            </c:strRef>
          </c:tx>
          <c:spPr>
            <a:solidFill>
              <a:srgbClr val="CCFFFF"/>
            </a:solidFill>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000080"/>
              </a:solidFill>
              <a:ln w="12700">
                <a:solidFill>
                  <a:srgbClr val="000000"/>
                </a:solidFill>
                <a:prstDash val="solid"/>
              </a:ln>
            </c:spPr>
          </c:dPt>
          <c:dPt>
            <c:idx val="9"/>
            <c:bubble3D val="0"/>
            <c:spPr>
              <a:solidFill>
                <a:srgbClr val="FF00FF"/>
              </a:solidFill>
              <a:ln w="12700">
                <a:solidFill>
                  <a:srgbClr val="000000"/>
                </a:solidFill>
                <a:prstDash val="solid"/>
              </a:ln>
            </c:spPr>
          </c:dPt>
          <c:dPt>
            <c:idx val="10"/>
            <c:bubble3D val="0"/>
            <c:spPr>
              <a:solidFill>
                <a:srgbClr val="FFFF00"/>
              </a:solidFill>
              <a:ln w="12700">
                <a:solidFill>
                  <a:srgbClr val="000000"/>
                </a:solidFill>
                <a:prstDash val="solid"/>
              </a:ln>
            </c:spPr>
          </c:dPt>
          <c:dPt>
            <c:idx val="11"/>
            <c:bubble3D val="0"/>
            <c:spPr>
              <a:solidFill>
                <a:srgbClr val="00FFFF"/>
              </a:solidFill>
              <a:ln w="12700">
                <a:solidFill>
                  <a:srgbClr val="000000"/>
                </a:solidFill>
                <a:prstDash val="solid"/>
              </a:ln>
            </c:spPr>
          </c:dPt>
          <c:dPt>
            <c:idx val="12"/>
            <c:bubble3D val="0"/>
            <c:spPr>
              <a:solidFill>
                <a:srgbClr val="800080"/>
              </a:solidFill>
              <a:ln w="12700">
                <a:solidFill>
                  <a:srgbClr val="000000"/>
                </a:solidFill>
                <a:prstDash val="solid"/>
              </a:ln>
            </c:spPr>
          </c:dPt>
          <c:dPt>
            <c:idx val="13"/>
            <c:bubble3D val="0"/>
            <c:spPr>
              <a:solidFill>
                <a:srgbClr val="800000"/>
              </a:solidFill>
              <a:ln w="12700">
                <a:solidFill>
                  <a:srgbClr val="000000"/>
                </a:solidFill>
                <a:prstDash val="solid"/>
              </a:ln>
            </c:spPr>
          </c:dPt>
          <c:dPt>
            <c:idx val="14"/>
            <c:bubble3D val="0"/>
            <c:spPr>
              <a:solidFill>
                <a:srgbClr val="008080"/>
              </a:solidFill>
              <a:ln w="12700">
                <a:solidFill>
                  <a:srgbClr val="000000"/>
                </a:solidFill>
                <a:prstDash val="solid"/>
              </a:ln>
            </c:spPr>
          </c:dPt>
          <c:dPt>
            <c:idx val="15"/>
            <c:bubble3D val="0"/>
            <c:spPr>
              <a:solidFill>
                <a:srgbClr val="0000FF"/>
              </a:solidFill>
              <a:ln w="12700">
                <a:solidFill>
                  <a:srgbClr val="000000"/>
                </a:solidFill>
                <a:prstDash val="solid"/>
              </a:ln>
            </c:spPr>
          </c:dPt>
          <c:dPt>
            <c:idx val="16"/>
            <c:bubble3D val="0"/>
            <c:spPr>
              <a:solidFill>
                <a:srgbClr val="00CCFF"/>
              </a:solidFill>
              <a:ln w="12700">
                <a:solidFill>
                  <a:srgbClr val="000000"/>
                </a:solidFill>
                <a:prstDash val="solid"/>
              </a:ln>
            </c:spPr>
          </c:dPt>
          <c:dPt>
            <c:idx val="17"/>
            <c:bubble3D val="0"/>
            <c:spPr>
              <a:solidFill>
                <a:srgbClr val="CCFFFF"/>
              </a:solidFill>
              <a:ln w="12700">
                <a:solidFill>
                  <a:srgbClr val="000000"/>
                </a:solidFill>
                <a:prstDash val="solid"/>
              </a:ln>
            </c:spPr>
          </c:dPt>
          <c:dPt>
            <c:idx val="18"/>
            <c:bubble3D val="0"/>
            <c:spPr>
              <a:solidFill>
                <a:srgbClr val="CCFFCC"/>
              </a:solidFill>
              <a:ln w="12700">
                <a:solidFill>
                  <a:srgbClr val="000000"/>
                </a:solidFill>
                <a:prstDash val="solid"/>
              </a:ln>
            </c:spPr>
          </c:dPt>
          <c:dLbls>
            <c:spPr>
              <a:noFill/>
              <a:ln w="25400">
                <a:noFill/>
              </a:ln>
              <a:effectLst/>
            </c:spPr>
            <c:txPr>
              <a:bodyPr rot="0" spcFirstLastPara="0" vertOverflow="ellipsis" vert="horz" wrap="square" lIns="38100" tIns="19050" rIns="38100" bIns="19050" anchor="ctr" anchorCtr="1"/>
              <a:lstStyle/>
              <a:p>
                <a:pPr>
                  <a:defRPr lang="zh-CN" sz="17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Sheet1!$B$1:$T$1</c:f>
              <c:strCache>
                <c:ptCount val="19"/>
                <c:pt idx="0">
                  <c:v>增值税</c:v>
                </c:pt>
                <c:pt idx="1">
                  <c:v>其他税收</c:v>
                </c:pt>
                <c:pt idx="2">
                  <c:v>企业所得税</c:v>
                </c:pt>
                <c:pt idx="3">
                  <c:v>个人所得税</c:v>
                </c:pt>
                <c:pt idx="4">
                  <c:v>资源税</c:v>
                </c:pt>
                <c:pt idx="5">
                  <c:v>城建税</c:v>
                </c:pt>
                <c:pt idx="6">
                  <c:v>房产税</c:v>
                </c:pt>
                <c:pt idx="7">
                  <c:v>印花税</c:v>
                </c:pt>
                <c:pt idx="8">
                  <c:v>城镇土地使用税</c:v>
                </c:pt>
                <c:pt idx="9">
                  <c:v>土地增值税</c:v>
                </c:pt>
                <c:pt idx="10">
                  <c:v>车船税</c:v>
                </c:pt>
                <c:pt idx="11">
                  <c:v>契税</c:v>
                </c:pt>
                <c:pt idx="12">
                  <c:v>专项收入</c:v>
                </c:pt>
                <c:pt idx="13">
                  <c:v>行政收费</c:v>
                </c:pt>
                <c:pt idx="14">
                  <c:v>罚没收入</c:v>
                </c:pt>
                <c:pt idx="15">
                  <c:v>国有资源有偿使用收入</c:v>
                </c:pt>
                <c:pt idx="16">
                  <c:v>耕地占用税</c:v>
                </c:pt>
                <c:pt idx="17">
                  <c:v>国有资本经营收入</c:v>
                </c:pt>
                <c:pt idx="18">
                  <c:v>其他收入</c:v>
                </c:pt>
              </c:strCache>
            </c:strRef>
          </c:cat>
          <c:val>
            <c:numRef>
              <c:f>Sheet1!$B$7:$T$7</c:f>
              <c:numCache>
                <c:formatCode>General</c:formatCode>
                <c:ptCount val="19"/>
              </c:numCache>
            </c:numRef>
          </c:val>
        </c:ser>
        <c:dLbls>
          <c:showLegendKey val="0"/>
          <c:showVal val="0"/>
          <c:showCatName val="1"/>
          <c:showSerName val="0"/>
          <c:showPercent val="0"/>
          <c:showBubbleSize val="0"/>
        </c:dLbls>
      </c:pie3DChart>
      <c:spPr>
        <a:noFill/>
        <a:ln w="25400">
          <a:noFill/>
        </a:ln>
      </c:spPr>
    </c:plotArea>
    <c:plotVisOnly val="1"/>
    <c:dispBlanksAs val="zero"/>
    <c:showDLblsOverMax val="0"/>
  </c:chart>
  <c:spPr>
    <a:solidFill>
      <a:srgbClr val="99CCFF"/>
    </a:solidFill>
    <a:ln w="9525" cap="flat" cmpd="sng" algn="ctr">
      <a:noFill/>
      <a:prstDash val="solid"/>
      <a:round/>
    </a:ln>
  </c:spPr>
  <c:txPr>
    <a:bodyPr/>
    <a:lstStyle/>
    <a:p>
      <a:pPr>
        <a:defRPr lang="zh-CN" sz="1200"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5"/>
      <c:rotY val="80"/>
      <c:depthPercent val="100"/>
      <c:rAngAx val="0"/>
      <c:hPercent val="60"/>
      <c:perspective val="0"/>
    </c:view3D>
    <c:floor>
      <c:thickness val="0"/>
    </c:floor>
    <c:sideWall>
      <c:thickness val="0"/>
    </c:sideWall>
    <c:backWall>
      <c:thickness val="0"/>
    </c:backWall>
    <c:plotArea>
      <c:layout>
        <c:manualLayout>
          <c:layoutTarget val="inner"/>
          <c:xMode val="edge"/>
          <c:yMode val="edge"/>
          <c:x val="0.307964601769913"/>
          <c:y val="0.270718232044199"/>
          <c:w val="0.332743362831859"/>
          <c:h val="0.334254143646409"/>
        </c:manualLayout>
      </c:layout>
      <c:pie3DChart>
        <c:varyColors val="1"/>
        <c:ser>
          <c:idx val="0"/>
          <c:order val="0"/>
          <c:tx>
            <c:strRef>
              <c:f>Sheet1!$A$2</c:f>
              <c:strCache>
                <c:ptCount val="1"/>
                <c:pt idx="0">
                  <c:v>东部</c:v>
                </c:pt>
              </c:strCache>
            </c:strRef>
          </c:tx>
          <c:spPr>
            <a:solidFill>
              <a:srgbClr val="9999FF"/>
            </a:solidFill>
            <a:ln w="25400">
              <a:noFill/>
            </a:ln>
          </c:spPr>
          <c:explosion val="11"/>
          <c:dPt>
            <c:idx val="0"/>
            <c:bubble3D val="0"/>
            <c:spPr>
              <a:solidFill>
                <a:srgbClr val="9999FF"/>
              </a:solidFill>
              <a:ln w="25400">
                <a:noFill/>
              </a:ln>
            </c:spPr>
          </c:dPt>
          <c:dPt>
            <c:idx val="1"/>
            <c:bubble3D val="0"/>
            <c:spPr>
              <a:solidFill>
                <a:srgbClr val="993366"/>
              </a:solidFill>
              <a:ln w="25400">
                <a:noFill/>
              </a:ln>
            </c:spPr>
          </c:dPt>
          <c:dPt>
            <c:idx val="2"/>
            <c:bubble3D val="0"/>
            <c:spPr>
              <a:solidFill>
                <a:srgbClr val="FFFFCC"/>
              </a:solidFill>
              <a:ln w="25400">
                <a:noFill/>
              </a:ln>
            </c:spPr>
          </c:dPt>
          <c:dLbls>
            <c:dLbl>
              <c:idx val="0"/>
              <c:layout>
                <c:manualLayout>
                  <c:x val="-0.0526970437187553"/>
                  <c:y val="-0.0482193517945088"/>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141319250171718"/>
                  <c:y val="-0.17045681087616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111792828322803"/>
                  <c:y val="0.0989312571883571"/>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Sheet1!$B$1:$D$1</c:f>
              <c:strCache>
                <c:ptCount val="3"/>
                <c:pt idx="0">
                  <c:v>土地使用权出让金</c:v>
                </c:pt>
                <c:pt idx="1">
                  <c:v>城市基础设施配套费收入</c:v>
                </c:pt>
                <c:pt idx="2">
                  <c:v>污水处理费</c:v>
                </c:pt>
              </c:strCache>
            </c:strRef>
          </c:cat>
          <c:val>
            <c:numRef>
              <c:f>Sheet1!$B$2:$D$2</c:f>
              <c:numCache>
                <c:formatCode>General</c:formatCode>
                <c:ptCount val="3"/>
                <c:pt idx="0">
                  <c:v>227277</c:v>
                </c:pt>
                <c:pt idx="1">
                  <c:v>5508</c:v>
                </c:pt>
                <c:pt idx="2">
                  <c:v>1377</c:v>
                </c:pt>
              </c:numCache>
            </c:numRef>
          </c:val>
        </c:ser>
        <c:dLbls>
          <c:showLegendKey val="0"/>
          <c:showVal val="0"/>
          <c:showCatName val="1"/>
          <c:showSerName val="0"/>
          <c:showPercent val="0"/>
          <c:showBubbleSize val="0"/>
        </c:dLbls>
      </c:pie3DChart>
      <c:spPr>
        <a:solidFill>
          <a:srgbClr val="99CCFF"/>
        </a:solidFill>
        <a:ln w="25400">
          <a:noFill/>
        </a:ln>
      </c:spPr>
    </c:plotArea>
    <c:plotVisOnly val="1"/>
    <c:dispBlanksAs val="zero"/>
    <c:showDLblsOverMax val="0"/>
  </c:chart>
  <c:spPr>
    <a:solidFill>
      <a:srgbClr val="99CCFF"/>
    </a:solidFill>
    <a:ln w="9525" cap="flat" cmpd="sng" algn="ctr">
      <a:noFill/>
      <a:prstDash val="solid"/>
      <a:round/>
    </a:ln>
  </c:spPr>
  <c:txPr>
    <a:bodyPr/>
    <a:lstStyle/>
    <a:p>
      <a:pPr>
        <a:defRPr lang="zh-CN" sz="2000"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855938142867277"/>
          <c:y val="0.0447992204567245"/>
          <c:w val="0.902394106813996"/>
          <c:h val="0.720710180688493"/>
        </c:manualLayout>
      </c:layout>
      <c:barChart>
        <c:barDir val="col"/>
        <c:grouping val="clustered"/>
        <c:varyColors val="0"/>
        <c:ser>
          <c:idx val="0"/>
          <c:order val="0"/>
          <c:tx>
            <c:strRef>
              <c:f>Sheet1!$A$2</c:f>
              <c:strCache>
                <c:ptCount val="1"/>
                <c:pt idx="0">
                  <c:v>2017</c:v>
                </c:pt>
              </c:strCache>
            </c:strRef>
          </c:tx>
          <c:spPr>
            <a:solidFill>
              <a:srgbClr val="9999FF"/>
            </a:solidFill>
            <a:ln w="12700">
              <a:solidFill>
                <a:srgbClr val="000000"/>
              </a:solidFill>
              <a:prstDash val="solid"/>
            </a:ln>
          </c:spPr>
          <c:invertIfNegative val="0"/>
          <c:dLbls>
            <c:dLbl>
              <c:idx val="0"/>
              <c:layout>
                <c:manualLayout>
                  <c:x val="0"/>
                  <c:y val="-0.0186294078509647"/>
                </c:manualLayout>
              </c:layout>
              <c:numFmt formatCode="General" sourceLinked="1"/>
              <c:spPr>
                <a:solidFill>
                  <a:srgbClr val="FFFF00"/>
                </a:solid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408408408408408"/>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00"/>
              </a:solidFill>
              <a:ln>
                <a:noFill/>
              </a:ln>
              <a:effectLst/>
            </c:spPr>
            <c:txPr>
              <a:bodyPr rot="0" spcFirstLastPara="0" vertOverflow="ellipsis" vert="horz" wrap="square" lIns="38100" tIns="19050" rIns="38100" bIns="19050" anchor="ctr" anchorCtr="1"/>
              <a:lstStyle/>
              <a:p>
                <a:pPr>
                  <a:defRPr lang="zh-CN" sz="8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总收入</c:v>
                </c:pt>
                <c:pt idx="1">
                  <c:v>公共财政预算收入</c:v>
                </c:pt>
                <c:pt idx="2">
                  <c:v>基金收入</c:v>
                </c:pt>
                <c:pt idx="3">
                  <c:v>补助收入</c:v>
                </c:pt>
                <c:pt idx="4">
                  <c:v>调入资金</c:v>
                </c:pt>
              </c:strCache>
            </c:strRef>
          </c:cat>
          <c:val>
            <c:numRef>
              <c:f>Sheet1!$B$2:$F$2</c:f>
              <c:numCache>
                <c:formatCode>General</c:formatCode>
                <c:ptCount val="5"/>
                <c:pt idx="0">
                  <c:v>564833</c:v>
                </c:pt>
                <c:pt idx="1">
                  <c:v>400658</c:v>
                </c:pt>
                <c:pt idx="2">
                  <c:v>164175</c:v>
                </c:pt>
                <c:pt idx="3">
                  <c:v>115534</c:v>
                </c:pt>
                <c:pt idx="4">
                  <c:v>2859</c:v>
                </c:pt>
              </c:numCache>
            </c:numRef>
          </c:val>
        </c:ser>
        <c:ser>
          <c:idx val="1"/>
          <c:order val="1"/>
          <c:tx>
            <c:strRef>
              <c:f>Sheet1!$A$3</c:f>
              <c:strCache>
                <c:ptCount val="1"/>
                <c:pt idx="0">
                  <c:v>2018</c:v>
                </c:pt>
              </c:strCache>
            </c:strRef>
          </c:tx>
          <c:invertIfNegative val="0"/>
          <c:dLbls>
            <c:dLbl>
              <c:idx val="2"/>
              <c:layout>
                <c:manualLayout>
                  <c:x val="-0.00480480480480481"/>
                  <c:y val="-0.031372549019607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24024024024024"/>
                  <c:y val="-0.03529411764705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0.043137254901960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00"/>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总收入</c:v>
                </c:pt>
                <c:pt idx="1">
                  <c:v>公共财政预算收入</c:v>
                </c:pt>
                <c:pt idx="2">
                  <c:v>基金收入</c:v>
                </c:pt>
                <c:pt idx="3">
                  <c:v>补助收入</c:v>
                </c:pt>
                <c:pt idx="4">
                  <c:v>调入资金</c:v>
                </c:pt>
              </c:strCache>
            </c:strRef>
          </c:cat>
          <c:val>
            <c:numRef>
              <c:f>Sheet1!$B$3:$F$3</c:f>
              <c:numCache>
                <c:formatCode>General</c:formatCode>
                <c:ptCount val="5"/>
                <c:pt idx="0">
                  <c:v>844271</c:v>
                </c:pt>
                <c:pt idx="1">
                  <c:v>443833</c:v>
                </c:pt>
                <c:pt idx="2">
                  <c:v>207505</c:v>
                </c:pt>
                <c:pt idx="3">
                  <c:v>189358</c:v>
                </c:pt>
                <c:pt idx="4">
                  <c:v>3575</c:v>
                </c:pt>
              </c:numCache>
            </c:numRef>
          </c:val>
        </c:ser>
        <c:ser>
          <c:idx val="2"/>
          <c:order val="2"/>
          <c:tx>
            <c:strRef>
              <c:f>Sheet1!$A$4</c:f>
              <c:strCache>
                <c:ptCount val="1"/>
                <c:pt idx="0">
                  <c:v>2019</c:v>
                </c:pt>
              </c:strCache>
            </c:strRef>
          </c:tx>
          <c:spPr>
            <a:solidFill>
              <a:srgbClr val="FFFFCC"/>
            </a:solidFill>
            <a:ln w="12700">
              <a:solidFill>
                <a:srgbClr val="000000"/>
              </a:solidFill>
              <a:prstDash val="solid"/>
            </a:ln>
          </c:spPr>
          <c:invertIfNegative val="0"/>
          <c:dLbls>
            <c:dLbl>
              <c:idx val="0"/>
              <c:layout>
                <c:manualLayout>
                  <c:x val="0.0720720720720721"/>
                  <c:y val="0.023952095808383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648648648648649"/>
                  <c:y val="0.015968063872255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720720720720721"/>
                  <c:y val="0.011764705882353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92192192192193"/>
                  <c:y val="-7.18945943041138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rgbClr val="FFFF00"/>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总收入</c:v>
                </c:pt>
                <c:pt idx="1">
                  <c:v>公共财政预算收入</c:v>
                </c:pt>
                <c:pt idx="2">
                  <c:v>基金收入</c:v>
                </c:pt>
                <c:pt idx="3">
                  <c:v>补助收入</c:v>
                </c:pt>
                <c:pt idx="4">
                  <c:v>调入资金</c:v>
                </c:pt>
              </c:strCache>
            </c:strRef>
          </c:cat>
          <c:val>
            <c:numRef>
              <c:f>Sheet1!$B$4:$F$4</c:f>
              <c:numCache>
                <c:formatCode>General</c:formatCode>
                <c:ptCount val="5"/>
                <c:pt idx="0">
                  <c:v>806993</c:v>
                </c:pt>
                <c:pt idx="1">
                  <c:v>472632</c:v>
                </c:pt>
                <c:pt idx="2">
                  <c:v>234162</c:v>
                </c:pt>
                <c:pt idx="3">
                  <c:v>96984</c:v>
                </c:pt>
                <c:pt idx="4">
                  <c:v>3215</c:v>
                </c:pt>
              </c:numCache>
            </c:numRef>
          </c:val>
        </c:ser>
        <c:dLbls>
          <c:showLegendKey val="0"/>
          <c:showVal val="0"/>
          <c:showCatName val="0"/>
          <c:showSerName val="0"/>
          <c:showPercent val="0"/>
          <c:showBubbleSize val="0"/>
        </c:dLbls>
        <c:gapWidth val="150"/>
        <c:axId val="398742528"/>
        <c:axId val="367657536"/>
      </c:barChart>
      <c:catAx>
        <c:axId val="398742528"/>
        <c:scaling>
          <c:orientation val="minMax"/>
        </c:scaling>
        <c:delete val="0"/>
        <c:axPos val="b"/>
        <c:numFmt formatCode="General" sourceLinked="1"/>
        <c:majorTickMark val="in"/>
        <c:minorTickMark val="none"/>
        <c:tickLblPos val="nextTo"/>
        <c:spPr>
          <a:ln w="9525" cap="flat" cmpd="sng" algn="ctr">
            <a:noFill/>
            <a:prstDash val="solid"/>
            <a:round/>
          </a:ln>
        </c:spPr>
        <c:txPr>
          <a:bodyPr rot="-2700000" spcFirstLastPara="0" vertOverflow="ellipsis" vert="horz" wrap="square" anchor="ctr" anchorCtr="1"/>
          <a:lstStyle/>
          <a:p>
            <a:pPr>
              <a:defRPr lang="zh-CN" sz="1000" b="1"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crossAx val="367657536"/>
        <c:crosses val="autoZero"/>
        <c:auto val="1"/>
        <c:lblAlgn val="ctr"/>
        <c:lblOffset val="100"/>
        <c:tickLblSkip val="1"/>
        <c:noMultiLvlLbl val="0"/>
      </c:catAx>
      <c:valAx>
        <c:axId val="367657536"/>
        <c:scaling>
          <c:orientation val="minMax"/>
          <c:max val="900000"/>
        </c:scaling>
        <c:delete val="0"/>
        <c:axPos val="l"/>
        <c:majorGridlines/>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crossAx val="398742528"/>
        <c:crosses val="autoZero"/>
        <c:crossBetween val="between"/>
      </c:valAx>
      <c:spPr>
        <a:solidFill>
          <a:srgbClr val="00B0F0">
            <a:alpha val="60000"/>
          </a:srgbClr>
        </a:solidFill>
      </c:spPr>
    </c:plotArea>
    <c:legend>
      <c:legendPos val="r"/>
      <c:layout>
        <c:manualLayout>
          <c:xMode val="edge"/>
          <c:yMode val="edge"/>
          <c:x val="0.860036792698211"/>
          <c:y val="0.121212121212121"/>
          <c:w val="0.0785105105105105"/>
          <c:h val="0.120622377292659"/>
        </c:manualLayout>
      </c:layout>
      <c:overlay val="0"/>
      <c:spPr>
        <a:solidFill>
          <a:srgbClr val="FFFFFF"/>
        </a:solidFill>
        <a:ln w="3175">
          <a:solidFill>
            <a:srgbClr val="000000"/>
          </a:solidFill>
          <a:prstDash val="solid"/>
        </a:ln>
        <a:effectLst>
          <a:outerShdw dist="35921" dir="2700000" algn="br">
            <a:srgbClr val="000000"/>
          </a:outerShdw>
        </a:effectLst>
      </c:spPr>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1725"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0"/>
      <c:depthPercent val="100"/>
      <c:rAngAx val="0"/>
      <c:hPercent val="50"/>
      <c:perspective val="0"/>
    </c:view3D>
    <c:floor>
      <c:thickness val="0"/>
    </c:floor>
    <c:sideWall>
      <c:thickness val="0"/>
    </c:sideWall>
    <c:backWall>
      <c:thickness val="0"/>
    </c:backWall>
    <c:plotArea>
      <c:layout>
        <c:manualLayout>
          <c:layoutTarget val="inner"/>
          <c:xMode val="edge"/>
          <c:yMode val="edge"/>
          <c:x val="0.199288256227758"/>
          <c:y val="0.210344827586207"/>
          <c:w val="0.61032028469751"/>
          <c:h val="0.579310344827586"/>
        </c:manualLayout>
      </c:layout>
      <c:pie3DChart>
        <c:varyColors val="1"/>
        <c:ser>
          <c:idx val="0"/>
          <c:order val="0"/>
          <c:tx>
            <c:strRef>
              <c:f>Sheet1!$A$2</c:f>
              <c:strCache>
                <c:ptCount val="1"/>
                <c:pt idx="0">
                  <c:v/>
                </c:pt>
              </c:strCache>
            </c:strRef>
          </c:tx>
          <c:explosion val="25"/>
          <c:dPt>
            <c:idx val="0"/>
            <c:bubble3D val="0"/>
          </c:dPt>
          <c:dPt>
            <c:idx val="1"/>
            <c:bubble3D val="0"/>
          </c:dPt>
          <c:dPt>
            <c:idx val="2"/>
            <c:bubble3D val="0"/>
          </c:dPt>
          <c:dPt>
            <c:idx val="3"/>
            <c:bubble3D val="0"/>
          </c:dPt>
          <c:dPt>
            <c:idx val="4"/>
            <c:bubble3D val="0"/>
          </c:dPt>
          <c:dLbls>
            <c:dLbl>
              <c:idx val="0"/>
              <c:layout>
                <c:manualLayout>
                  <c:x val="0.0186154741128563"/>
                  <c:y val="0.0222222222222223"/>
                </c:manualLayout>
              </c:layout>
              <c:tx>
                <c:rich>
                  <a:bodyPr rot="0" spcFirstLastPara="0" vertOverflow="ellipsis" vert="horz" wrap="square" lIns="38100" tIns="19050" rIns="38100" bIns="19050" anchor="ctr" anchorCtr="1"/>
                  <a:lstStyle/>
                  <a:p>
                    <a:pPr>
                      <a:defRPr lang="zh-CN" sz="1075" b="0" i="0" u="none" strike="noStrike" kern="1200" baseline="0">
                        <a:solidFill>
                          <a:srgbClr val="000000"/>
                        </a:solidFill>
                        <a:latin typeface="Arial" panose="020B0604020202020204" pitchFamily="2"/>
                        <a:ea typeface="Arial" panose="020B0604020202020204" pitchFamily="2"/>
                        <a:cs typeface="Arial" panose="020B0604020202020204" pitchFamily="2"/>
                      </a:defRPr>
                    </a:pPr>
                    <a:r>
                      <a:rPr lang="zh-CN" altLang="en-US"/>
                      <a:t>公共预算支出
</a:t>
                    </a:r>
                    <a:r>
                      <a:rPr lang="en-US" altLang="zh-CN"/>
                      <a:t>69.75%</a:t>
                    </a:r>
                    <a:endParaRPr lang="en-US" altLang="zh-CN"/>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0698080279232112"/>
                  <c:y val="0.057777777777777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0209424083769634"/>
                  <c:y val="-0.022222222222222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solidFill>
                <a:srgbClr val="FFFFCC"/>
              </a:solidFill>
              <a:ln w="9525">
                <a:noFill/>
              </a:ln>
              <a:effectLst/>
            </c:spPr>
            <c:txPr>
              <a:bodyPr rot="0" spcFirstLastPara="0" vertOverflow="ellipsis" vert="horz" wrap="square" lIns="38100" tIns="19050" rIns="38100" bIns="19050" anchor="ctr" anchorCtr="1"/>
              <a:lstStyle/>
              <a:p>
                <a:pPr>
                  <a:defRPr lang="zh-CN" sz="1075"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Sheet1!$B$1:$F$1</c:f>
              <c:strCache>
                <c:ptCount val="5"/>
                <c:pt idx="0">
                  <c:v>公共财政预算支出</c:v>
                </c:pt>
                <c:pt idx="1">
                  <c:v>基金支出</c:v>
                </c:pt>
                <c:pt idx="2">
                  <c:v>债务还本</c:v>
                </c:pt>
                <c:pt idx="3">
                  <c:v>上解支出</c:v>
                </c:pt>
                <c:pt idx="4">
                  <c:v>安排预算稳定基金</c:v>
                </c:pt>
              </c:strCache>
            </c:strRef>
          </c:cat>
          <c:val>
            <c:numRef>
              <c:f>Sheet1!$B$2:$F$2</c:f>
              <c:numCache>
                <c:formatCode>General</c:formatCode>
                <c:ptCount val="5"/>
                <c:pt idx="0">
                  <c:v>483178</c:v>
                </c:pt>
                <c:pt idx="1">
                  <c:v>367298</c:v>
                </c:pt>
                <c:pt idx="2">
                  <c:v>65000</c:v>
                </c:pt>
                <c:pt idx="3">
                  <c:v>174378</c:v>
                </c:pt>
                <c:pt idx="4">
                  <c:v>22472</c:v>
                </c:pt>
              </c:numCache>
            </c:numRef>
          </c:val>
        </c:ser>
        <c:dLbls>
          <c:showLegendKey val="0"/>
          <c:showVal val="0"/>
          <c:showCatName val="1"/>
          <c:showSerName val="0"/>
          <c:showPercent val="0"/>
          <c:showBubbleSize val="0"/>
        </c:dLbls>
      </c:pie3DChart>
      <c:spPr>
        <a:noFill/>
        <a:ln w="25400">
          <a:noFill/>
        </a:ln>
      </c:spPr>
    </c:plotArea>
    <c:plotVisOnly val="1"/>
    <c:dispBlanksAs val="zero"/>
    <c:showDLblsOverMax val="0"/>
  </c:chart>
  <c:spPr>
    <a:solidFill>
      <a:srgbClr val="99CCFF"/>
    </a:solidFill>
    <a:ln w="9525" cap="flat" cmpd="sng" algn="ctr">
      <a:solidFill>
        <a:schemeClr val="accent1"/>
      </a:solidFill>
      <a:prstDash val="solid"/>
      <a:round/>
    </a:ln>
  </c:spPr>
  <c:txPr>
    <a:bodyPr/>
    <a:lstStyle/>
    <a:p>
      <a:pPr>
        <a:defRPr lang="zh-CN" sz="1075"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0"/>
      <c:depthPercent val="100"/>
      <c:rAngAx val="0"/>
      <c:hPercent val="50"/>
      <c:perspective val="0"/>
    </c:view3D>
    <c:floor>
      <c:thickness val="0"/>
    </c:floor>
    <c:sideWall>
      <c:thickness val="0"/>
    </c:sideWall>
    <c:backWall>
      <c:thickness val="0"/>
    </c:backWall>
    <c:plotArea>
      <c:layout>
        <c:manualLayout>
          <c:layoutTarget val="inner"/>
          <c:xMode val="edge"/>
          <c:yMode val="edge"/>
          <c:x val="0.202146690518784"/>
          <c:y val="0.260317460317462"/>
          <c:w val="0.581395348837207"/>
          <c:h val="0.501587301587299"/>
        </c:manualLayout>
      </c:layout>
      <c:pie3DChart>
        <c:varyColors val="1"/>
        <c:ser>
          <c:idx val="0"/>
          <c:order val="0"/>
          <c:tx>
            <c:strRef>
              <c:f>Sheet1!$A$2</c:f>
              <c:strCache>
                <c:ptCount val="1"/>
                <c:pt idx="0">
                  <c:v/>
                </c:pt>
              </c:strCache>
            </c:strRef>
          </c:tx>
          <c:spPr>
            <a:solidFill>
              <a:srgbClr val="9999FF"/>
            </a:solidFill>
            <a:ln w="25400">
              <a:noFill/>
            </a:ln>
          </c:spPr>
          <c:explosion val="24"/>
          <c:dPt>
            <c:idx val="0"/>
            <c:bubble3D val="0"/>
            <c:explosion val="27"/>
            <c:spPr>
              <a:solidFill>
                <a:srgbClr val="9999FF"/>
              </a:solidFill>
              <a:ln w="25400">
                <a:noFill/>
              </a:ln>
            </c:spPr>
          </c:dPt>
          <c:dPt>
            <c:idx val="1"/>
            <c:bubble3D val="0"/>
            <c:explosion val="15"/>
            <c:spPr>
              <a:solidFill>
                <a:srgbClr val="993366"/>
              </a:solidFill>
              <a:ln w="25400">
                <a:noFill/>
              </a:ln>
            </c:spPr>
          </c:dPt>
          <c:dLbls>
            <c:dLbl>
              <c:idx val="0"/>
              <c:layout/>
              <c:numFmt formatCode="0.00%" sourceLinked="0"/>
              <c:spPr>
                <a:solidFill>
                  <a:srgbClr val="FFFFCC"/>
                </a:solidFill>
                <a:ln>
                  <a:solidFill>
                    <a:schemeClr val="tx1"/>
                  </a:solid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1"/>
              <c:showBubbleSize val="0"/>
              <c:separator>
</c:separator>
              <c:extLst>
                <c:ext xmlns:c15="http://schemas.microsoft.com/office/drawing/2012/chart" uri="{CE6537A1-D6FC-4f65-9D91-7224C49458BB}"/>
              </c:extLst>
            </c:dLbl>
            <c:numFmt formatCode="0.00%" sourceLinked="0"/>
            <c:spPr>
              <a:solidFill>
                <a:srgbClr val="FFFFCC"/>
              </a:solidFill>
              <a:ln>
                <a:solidFill>
                  <a:schemeClr val="tx1"/>
                </a:solidFill>
              </a:ln>
              <a:effectLst/>
            </c:spPr>
            <c:txPr>
              <a:bodyPr rot="0" spcFirstLastPara="0" vertOverflow="ellipsis" vert="horz" wrap="square" lIns="38100" tIns="19050" rIns="38100" bIns="19050" anchor="ctr" anchorCtr="1"/>
              <a:lstStyle/>
              <a:p>
                <a:pPr>
                  <a:defRPr lang="zh-CN" sz="105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Sheet1!$B$1:$C$1</c:f>
              <c:strCache>
                <c:ptCount val="2"/>
                <c:pt idx="0">
                  <c:v>公共财政预算支出</c:v>
                </c:pt>
                <c:pt idx="1">
                  <c:v>基金支出</c:v>
                </c:pt>
              </c:strCache>
            </c:strRef>
          </c:cat>
          <c:val>
            <c:numRef>
              <c:f>Sheet1!$B$2:$C$2</c:f>
              <c:numCache>
                <c:formatCode>General</c:formatCode>
                <c:ptCount val="2"/>
                <c:pt idx="0">
                  <c:v>483178</c:v>
                </c:pt>
                <c:pt idx="1">
                  <c:v>367298</c:v>
                </c:pt>
              </c:numCache>
            </c:numRef>
          </c:val>
        </c:ser>
        <c:dLbls>
          <c:showLegendKey val="0"/>
          <c:showVal val="0"/>
          <c:showCatName val="1"/>
          <c:showSerName val="0"/>
          <c:showPercent val="0"/>
          <c:showBubbleSize val="0"/>
        </c:dLbls>
      </c:pie3DChart>
      <c:spPr>
        <a:noFill/>
        <a:ln w="25400">
          <a:noFill/>
        </a:ln>
      </c:spPr>
    </c:plotArea>
    <c:plotVisOnly val="1"/>
    <c:dispBlanksAs val="zero"/>
    <c:showDLblsOverMax val="0"/>
  </c:chart>
  <c:spPr>
    <a:solidFill>
      <a:srgbClr val="99CCFF"/>
    </a:solidFill>
    <a:ln w="9525" cap="flat" cmpd="sng" algn="ctr">
      <a:noFill/>
      <a:prstDash val="solid"/>
      <a:round/>
    </a:ln>
  </c:spPr>
  <c:txPr>
    <a:bodyPr/>
    <a:lstStyle/>
    <a:p>
      <a:pPr>
        <a:defRPr lang="zh-CN" sz="1050"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340"/>
      <c:depthPercent val="100"/>
      <c:rAngAx val="0"/>
      <c:hPercent val="50"/>
      <c:perspective val="0"/>
    </c:view3D>
    <c:floor>
      <c:thickness val="0"/>
    </c:floor>
    <c:sideWall>
      <c:thickness val="0"/>
    </c:sideWall>
    <c:backWall>
      <c:thickness val="0"/>
    </c:backWall>
    <c:plotArea>
      <c:layout>
        <c:manualLayout>
          <c:layoutTarget val="inner"/>
          <c:xMode val="edge"/>
          <c:yMode val="edge"/>
          <c:x val="0.222596964586847"/>
          <c:y val="0.330490405117272"/>
          <c:w val="0.682967959527825"/>
          <c:h val="0.420042643923242"/>
        </c:manualLayout>
      </c:layout>
      <c:pie3DChart>
        <c:varyColors val="1"/>
        <c:ser>
          <c:idx val="0"/>
          <c:order val="0"/>
          <c:tx>
            <c:strRef>
              <c:f>Sheet1!$A$2</c:f>
              <c:strCache>
                <c:ptCount val="1"/>
                <c:pt idx="0">
                  <c:v>东部</c:v>
                </c:pt>
              </c:strCache>
            </c:strRef>
          </c:tx>
          <c:spPr>
            <a:solidFill>
              <a:srgbClr val="9999FF"/>
            </a:solidFill>
            <a:ln w="25400">
              <a:noFill/>
            </a:ln>
          </c:spPr>
          <c:explosion val="14"/>
          <c:dPt>
            <c:idx val="0"/>
            <c:bubble3D val="0"/>
            <c:spPr>
              <a:solidFill>
                <a:srgbClr val="9999FF"/>
              </a:solidFill>
              <a:ln w="25400">
                <a:noFill/>
              </a:ln>
            </c:spPr>
          </c:dPt>
          <c:dPt>
            <c:idx val="1"/>
            <c:bubble3D val="0"/>
            <c:spPr>
              <a:solidFill>
                <a:srgbClr val="993366"/>
              </a:solidFill>
              <a:ln w="25400">
                <a:noFill/>
              </a:ln>
            </c:spPr>
          </c:dPt>
          <c:dPt>
            <c:idx val="2"/>
            <c:bubble3D val="0"/>
            <c:spPr>
              <a:solidFill>
                <a:srgbClr val="FFFFCC"/>
              </a:solidFill>
              <a:ln w="25400">
                <a:noFill/>
              </a:ln>
            </c:spPr>
          </c:dPt>
          <c:dPt>
            <c:idx val="3"/>
            <c:bubble3D val="0"/>
            <c:spPr>
              <a:solidFill>
                <a:srgbClr val="CCFFFF"/>
              </a:solidFill>
              <a:ln w="25400">
                <a:noFill/>
              </a:ln>
            </c:spPr>
          </c:dPt>
          <c:dPt>
            <c:idx val="4"/>
            <c:bubble3D val="0"/>
            <c:spPr>
              <a:solidFill>
                <a:srgbClr val="660066"/>
              </a:solidFill>
              <a:ln w="25400">
                <a:noFill/>
              </a:ln>
            </c:spPr>
          </c:dPt>
          <c:dPt>
            <c:idx val="5"/>
            <c:bubble3D val="0"/>
            <c:spPr>
              <a:solidFill>
                <a:srgbClr val="FF8080"/>
              </a:solidFill>
              <a:ln w="25400">
                <a:noFill/>
              </a:ln>
            </c:spPr>
          </c:dPt>
          <c:dPt>
            <c:idx val="6"/>
            <c:bubble3D val="0"/>
            <c:spPr>
              <a:solidFill>
                <a:srgbClr val="0066CC"/>
              </a:solidFill>
              <a:ln w="25400">
                <a:noFill/>
              </a:ln>
            </c:spPr>
          </c:dPt>
          <c:dPt>
            <c:idx val="7"/>
            <c:bubble3D val="0"/>
            <c:spPr>
              <a:solidFill>
                <a:srgbClr val="CCCCFF"/>
              </a:solidFill>
              <a:ln w="25400">
                <a:noFill/>
              </a:ln>
            </c:spPr>
          </c:dPt>
          <c:dPt>
            <c:idx val="8"/>
            <c:bubble3D val="0"/>
            <c:spPr>
              <a:solidFill>
                <a:srgbClr val="000080"/>
              </a:solidFill>
              <a:ln w="25400">
                <a:noFill/>
              </a:ln>
            </c:spPr>
          </c:dPt>
          <c:dPt>
            <c:idx val="9"/>
            <c:bubble3D val="0"/>
            <c:spPr>
              <a:solidFill>
                <a:srgbClr val="FF00FF"/>
              </a:solidFill>
              <a:ln w="25400">
                <a:noFill/>
              </a:ln>
            </c:spPr>
          </c:dPt>
          <c:dPt>
            <c:idx val="10"/>
            <c:bubble3D val="0"/>
            <c:spPr>
              <a:solidFill>
                <a:srgbClr val="FFFF00"/>
              </a:solidFill>
              <a:ln w="25400">
                <a:noFill/>
              </a:ln>
            </c:spPr>
          </c:dPt>
          <c:dPt>
            <c:idx val="11"/>
            <c:bubble3D val="0"/>
            <c:spPr>
              <a:solidFill>
                <a:srgbClr val="00FFFF"/>
              </a:solidFill>
              <a:ln w="25400">
                <a:noFill/>
              </a:ln>
            </c:spPr>
          </c:dPt>
          <c:dPt>
            <c:idx val="12"/>
            <c:bubble3D val="0"/>
            <c:spPr>
              <a:solidFill>
                <a:srgbClr val="800080"/>
              </a:solidFill>
              <a:ln w="25400">
                <a:noFill/>
              </a:ln>
            </c:spPr>
          </c:dPt>
          <c:dPt>
            <c:idx val="13"/>
            <c:bubble3D val="0"/>
            <c:spPr>
              <a:solidFill>
                <a:srgbClr val="800000"/>
              </a:solidFill>
              <a:ln w="25400">
                <a:noFill/>
              </a:ln>
            </c:spPr>
          </c:dPt>
          <c:dPt>
            <c:idx val="14"/>
            <c:bubble3D val="0"/>
            <c:spPr>
              <a:solidFill>
                <a:srgbClr val="008080"/>
              </a:solidFill>
              <a:ln w="25400">
                <a:noFill/>
              </a:ln>
            </c:spPr>
          </c:dPt>
          <c:dPt>
            <c:idx val="15"/>
            <c:bubble3D val="0"/>
            <c:spPr>
              <a:solidFill>
                <a:srgbClr val="0000FF"/>
              </a:solidFill>
              <a:ln w="25400">
                <a:noFill/>
              </a:ln>
            </c:spPr>
          </c:dPt>
          <c:dPt>
            <c:idx val="16"/>
            <c:bubble3D val="0"/>
            <c:spPr>
              <a:solidFill>
                <a:srgbClr val="00CCFF"/>
              </a:solidFill>
              <a:ln w="25400">
                <a:noFill/>
              </a:ln>
            </c:spPr>
          </c:dPt>
          <c:dPt>
            <c:idx val="17"/>
            <c:bubble3D val="0"/>
            <c:spPr>
              <a:solidFill>
                <a:srgbClr val="CCFFFF"/>
              </a:solidFill>
              <a:ln w="25400">
                <a:noFill/>
              </a:ln>
            </c:spPr>
          </c:dPt>
          <c:dPt>
            <c:idx val="18"/>
            <c:bubble3D val="0"/>
            <c:spPr>
              <a:solidFill>
                <a:srgbClr val="9999FF"/>
              </a:solidFill>
              <a:ln w="25400">
                <a:noFill/>
              </a:ln>
            </c:spPr>
          </c:dPt>
          <c:dLbls>
            <c:dLbl>
              <c:idx val="2"/>
              <c:layout>
                <c:manualLayout>
                  <c:x val="0.105331337715017"/>
                  <c:y val="-0.12000701373706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0295261274158912"/>
                  <c:y val="-0.082151683022920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7"/>
              <c:layout>
                <c:manualLayout>
                  <c:x val="0.0436974469100454"/>
                  <c:y val="0.054991862969112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0"/>
              <c:layout>
                <c:manualLayout>
                  <c:x val="-0.0551649638836469"/>
                  <c:y val="0.1028248921911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5"/>
              <c:layout>
                <c:manualLayout>
                  <c:x val="-0.103979523220754"/>
                  <c:y val="-0.17972854645778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solidFill>
                <a:srgbClr val="FFFFCC"/>
              </a:solid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000000"/>
                    </a:solidFill>
                    <a:latin typeface="Arial" panose="020B0604020202020204" pitchFamily="2"/>
                    <a:ea typeface="Arial" panose="020B0604020202020204" pitchFamily="2"/>
                    <a:cs typeface="Arial" panose="020B0604020202020204" pitchFamily="2"/>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Sheet1!$B$1:$T$1</c:f>
              <c:strCache>
                <c:ptCount val="19"/>
                <c:pt idx="0">
                  <c:v>一般公共服务</c:v>
                </c:pt>
                <c:pt idx="1">
                  <c:v>国防</c:v>
                </c:pt>
                <c:pt idx="2">
                  <c:v>公共安全</c:v>
                </c:pt>
                <c:pt idx="3">
                  <c:v>科学技术</c:v>
                </c:pt>
                <c:pt idx="4">
                  <c:v>教育</c:v>
                </c:pt>
                <c:pt idx="5">
                  <c:v>文化体育与传媒</c:v>
                </c:pt>
                <c:pt idx="6">
                  <c:v>社会保障与就业</c:v>
                </c:pt>
                <c:pt idx="7">
                  <c:v>卫生健康</c:v>
                </c:pt>
                <c:pt idx="8">
                  <c:v>节能环保</c:v>
                </c:pt>
                <c:pt idx="9">
                  <c:v>城乡社区事务</c:v>
                </c:pt>
                <c:pt idx="10">
                  <c:v>农林水事务</c:v>
                </c:pt>
                <c:pt idx="11">
                  <c:v>交通运输</c:v>
                </c:pt>
                <c:pt idx="12">
                  <c:v>资源勘探事务</c:v>
                </c:pt>
                <c:pt idx="13">
                  <c:v>商业服务业等事务</c:v>
                </c:pt>
                <c:pt idx="14">
                  <c:v>其他支出</c:v>
                </c:pt>
                <c:pt idx="15">
                  <c:v>住房保障支出</c:v>
                </c:pt>
                <c:pt idx="16">
                  <c:v>自然资源气象</c:v>
                </c:pt>
                <c:pt idx="17">
                  <c:v>粮油物资储备管理等事务</c:v>
                </c:pt>
                <c:pt idx="18">
                  <c:v>债务付息</c:v>
                </c:pt>
              </c:strCache>
            </c:strRef>
          </c:cat>
          <c:val>
            <c:numRef>
              <c:f>Sheet1!$B$2:$T$2</c:f>
              <c:numCache>
                <c:formatCode>General</c:formatCode>
                <c:ptCount val="19"/>
                <c:pt idx="0">
                  <c:v>29467</c:v>
                </c:pt>
                <c:pt idx="1">
                  <c:v>175</c:v>
                </c:pt>
                <c:pt idx="2">
                  <c:v>45279</c:v>
                </c:pt>
                <c:pt idx="3">
                  <c:v>7797</c:v>
                </c:pt>
                <c:pt idx="4">
                  <c:v>125796</c:v>
                </c:pt>
                <c:pt idx="5">
                  <c:v>3870</c:v>
                </c:pt>
                <c:pt idx="6">
                  <c:v>72161</c:v>
                </c:pt>
                <c:pt idx="7">
                  <c:v>17757</c:v>
                </c:pt>
                <c:pt idx="8">
                  <c:v>11473</c:v>
                </c:pt>
                <c:pt idx="9">
                  <c:v>43224</c:v>
                </c:pt>
                <c:pt idx="10">
                  <c:v>111731</c:v>
                </c:pt>
                <c:pt idx="11">
                  <c:v>92</c:v>
                </c:pt>
                <c:pt idx="12">
                  <c:v>890</c:v>
                </c:pt>
                <c:pt idx="13">
                  <c:v>2636</c:v>
                </c:pt>
                <c:pt idx="14">
                  <c:v>2158</c:v>
                </c:pt>
                <c:pt idx="15">
                  <c:v>5001</c:v>
                </c:pt>
                <c:pt idx="16">
                  <c:v>486</c:v>
                </c:pt>
                <c:pt idx="17">
                  <c:v>215</c:v>
                </c:pt>
                <c:pt idx="18">
                  <c:v>1000</c:v>
                </c:pt>
              </c:numCache>
            </c:numRef>
          </c:val>
        </c:ser>
        <c:dLbls>
          <c:showLegendKey val="0"/>
          <c:showVal val="0"/>
          <c:showCatName val="1"/>
          <c:showSerName val="0"/>
          <c:showPercent val="0"/>
          <c:showBubbleSize val="0"/>
        </c:dLbls>
      </c:pie3DChart>
      <c:spPr>
        <a:noFill/>
        <a:ln w="25400">
          <a:noFill/>
        </a:ln>
      </c:spPr>
    </c:plotArea>
    <c:plotVisOnly val="1"/>
    <c:dispBlanksAs val="zero"/>
    <c:showDLblsOverMax val="0"/>
  </c:chart>
  <c:spPr>
    <a:solidFill>
      <a:schemeClr val="tx2">
        <a:lumMod val="40000"/>
        <a:lumOff val="60000"/>
      </a:schemeClr>
    </a:solidFill>
    <a:ln w="9525" cap="flat" cmpd="sng" algn="ctr">
      <a:noFill/>
      <a:prstDash val="solid"/>
      <a:round/>
    </a:ln>
  </c:spPr>
  <c:txPr>
    <a:bodyPr/>
    <a:lstStyle/>
    <a:p>
      <a:pPr>
        <a:defRPr lang="zh-CN" sz="1200" b="0" i="0" u="none" strike="noStrike" baseline="0">
          <a:solidFill>
            <a:srgbClr val="000000"/>
          </a:solidFill>
          <a:latin typeface="Arial" panose="020B0604020202020204" pitchFamily="2"/>
          <a:ea typeface="Arial" panose="020B0604020202020204" pitchFamily="2"/>
          <a:cs typeface="Arial" panose="020B0604020202020204" pitchFamily="2"/>
        </a:defRPr>
      </a:pPr>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floor>
    <c:sideWall>
      <c:thickness val="0"/>
      <c:spPr>
        <a:solidFill>
          <a:schemeClr val="accent1">
            <a:lumMod val="40000"/>
            <a:lumOff val="60000"/>
          </a:schemeClr>
        </a:solidFill>
        <a:ln>
          <a:noFill/>
        </a:ln>
      </c:spPr>
    </c:sideWall>
    <c:backWall>
      <c:thickness val="0"/>
      <c:spPr>
        <a:solidFill>
          <a:schemeClr val="accent1">
            <a:lumMod val="40000"/>
            <a:lumOff val="60000"/>
          </a:schemeClr>
        </a:solidFill>
        <a:ln>
          <a:noFill/>
        </a:ln>
      </c:spPr>
    </c:backWall>
    <c:plotArea>
      <c:layout/>
      <c:pie3DChart>
        <c:varyColors val="1"/>
        <c:ser>
          <c:idx val="0"/>
          <c:order val="0"/>
          <c:tx>
            <c:strRef>
              <c:f>Sheet1!$B$1</c:f>
              <c:strCache>
                <c:ptCount val="1"/>
                <c:pt idx="0">
                  <c:v>列1</c:v>
                </c:pt>
              </c:strCache>
            </c:strRef>
          </c:tx>
          <c:explosion val="25"/>
          <c:dPt>
            <c:idx val="0"/>
            <c:bubble3D val="0"/>
          </c:dPt>
          <c:dPt>
            <c:idx val="1"/>
            <c:bubble3D val="0"/>
            <c:explosion val="0"/>
          </c:dPt>
          <c:dPt>
            <c:idx val="2"/>
            <c:bubble3D val="0"/>
          </c:dPt>
          <c:dPt>
            <c:idx val="3"/>
            <c:bubble3D val="0"/>
          </c:dPt>
          <c:dPt>
            <c:idx val="4"/>
            <c:bubble3D val="0"/>
          </c:dPt>
          <c:dPt>
            <c:idx val="5"/>
            <c:bubble3D val="0"/>
          </c:dPt>
          <c:dPt>
            <c:idx val="6"/>
            <c:bubble3D val="0"/>
          </c:dPt>
          <c:dLbls>
            <c:dLbl>
              <c:idx val="0"/>
              <c:layout>
                <c:manualLayout>
                  <c:x val="0.288368360429767"/>
                  <c:y val="0.053253653555835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154398685775789"/>
                  <c:y val="0.057735515757427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0302758737891577"/>
                  <c:y val="0.077100457908155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204736116618516"/>
                  <c:y val="0.085473349244232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0451507770161823"/>
                  <c:y val="-0.0386534618733518"/>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5"/>
              <c:layout>
                <c:manualLayout>
                  <c:x val="0.202904888687475"/>
                  <c:y val="-0.088102531336327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6"/>
              <c:layout>
                <c:manualLayout>
                  <c:x val="0.369952227194622"/>
                  <c:y val="-0.088157655710697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solidFill>
                <a:srgbClr val="FFFFCC"/>
              </a:solid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Sheet1!$A$2:$A$8</c:f>
              <c:strCache>
                <c:ptCount val="7"/>
                <c:pt idx="0">
                  <c:v>水库扶持基金</c:v>
                </c:pt>
                <c:pt idx="1">
                  <c:v>国有土地支出</c:v>
                </c:pt>
                <c:pt idx="2">
                  <c:v>棚户区改造</c:v>
                </c:pt>
                <c:pt idx="3">
                  <c:v>污水处理费</c:v>
                </c:pt>
                <c:pt idx="4">
                  <c:v>城市基本设施配套</c:v>
                </c:pt>
                <c:pt idx="5">
                  <c:v>彩票公益基金</c:v>
                </c:pt>
                <c:pt idx="6">
                  <c:v>债务支出</c:v>
                </c:pt>
              </c:strCache>
            </c:strRef>
          </c:cat>
          <c:val>
            <c:numRef>
              <c:f>Sheet1!$B$2:$B$8</c:f>
              <c:numCache>
                <c:formatCode>General</c:formatCode>
                <c:ptCount val="7"/>
                <c:pt idx="0">
                  <c:v>410</c:v>
                </c:pt>
                <c:pt idx="1">
                  <c:v>111688</c:v>
                </c:pt>
                <c:pt idx="2">
                  <c:v>234000</c:v>
                </c:pt>
                <c:pt idx="3">
                  <c:v>1377</c:v>
                </c:pt>
                <c:pt idx="4">
                  <c:v>5797</c:v>
                </c:pt>
                <c:pt idx="5">
                  <c:v>252</c:v>
                </c:pt>
                <c:pt idx="6">
                  <c:v>13744</c:v>
                </c:pt>
              </c:numCache>
            </c:numRef>
          </c:val>
        </c:ser>
        <c:dLbls>
          <c:showLegendKey val="0"/>
          <c:showVal val="0"/>
          <c:showCatName val="0"/>
          <c:showSerName val="0"/>
          <c:showPercent val="0"/>
          <c:showBubbleSize val="0"/>
        </c:dLbls>
      </c:pie3DChart>
    </c:plotArea>
    <c:plotVisOnly val="1"/>
    <c:dispBlanksAs val="zero"/>
    <c:showDLblsOverMax val="0"/>
  </c:chart>
  <c:spPr>
    <a:solidFill>
      <a:schemeClr val="tx2">
        <a:lumMod val="40000"/>
        <a:lumOff val="60000"/>
      </a:schemeClr>
    </a:solidFill>
  </c:spPr>
  <c:txPr>
    <a:bodyPr/>
    <a:lstStyle/>
    <a:p>
      <a:pPr>
        <a:defRPr lang="zh-CN"/>
      </a:pP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0.712</cdr:x>
      <cdr:y>0.111</cdr:y>
    </cdr:from>
    <cdr:to>
      <cdr:x>0.85925</cdr:x>
      <cdr:y>0.19575</cdr:y>
    </cdr:to>
    <cdr:sp>
      <cdr:nvSpPr>
        <cdr:cNvPr id="2" name="矩形 1"/>
        <cdr:cNvSpPr>
          <a14:cpLocks xmlns:a14="http://schemas.microsoft.com/office/drawing/2010/main" noChangeArrowheads="1"/>
        </cdr:cNvSpPr>
      </cdr:nvSpPr>
      <cdr:spPr xmlns:a="http://schemas.openxmlformats.org/drawingml/2006/main">
        <a:xfrm xmlns:a="http://schemas.openxmlformats.org/drawingml/2006/main">
          <a:off x="3682517" y="348901"/>
          <a:ext cx="761588" cy="266390"/>
        </a:xfrm>
        <a:prstGeom xmlns:a="http://schemas.openxmlformats.org/drawingml/2006/main" prst="rect">
          <a:avLst/>
        </a:prstGeom>
        <a:noFill/>
        <a:ln w="9525">
          <a:noFill/>
          <a:miter lim="800000"/>
        </a:ln>
        <a:effectLst/>
      </cdr:spPr>
      <cdr:txBody xmlns:a="http://schemas.openxmlformats.org/drawingml/2006/main">
        <a:bodyPr vertOverflow="clip" vert="horz" wrap="square" lIns="27432" tIns="18288" rIns="27432" bIns="18288" anchor="ctr" anchorCtr="0" upright="1">
          <a:normAutofit/>
        </a:bodyPr>
        <a:lstStyle/>
        <a:p>
          <a:pPr algn="ctr" rtl="0">
            <a:defRPr sz="1000"/>
          </a:pPr>
          <a:r>
            <a:rPr lang="zh-CN" altLang="en-US" sz="1000" b="0" i="0" strike="noStrike">
              <a:solidFill>
                <a:srgbClr val="000000"/>
              </a:solidFill>
              <a:latin typeface="宋体" panose="02010600030101010101" charset="-122"/>
              <a:ea typeface="宋体" panose="02010600030101010101" charset="-122"/>
            </a:rPr>
            <a:t>单位</a:t>
          </a:r>
          <a:r>
            <a:rPr lang="en-US" altLang="zh-CN" sz="1000" b="0" i="0" strike="noStrike">
              <a:solidFill>
                <a:srgbClr val="000000"/>
              </a:solidFill>
              <a:latin typeface="宋体" panose="02010600030101010101" charset="-122"/>
              <a:ea typeface="宋体" panose="02010600030101010101" charset="-122"/>
            </a:rPr>
            <a:t>(</a:t>
          </a:r>
          <a:r>
            <a:rPr lang="zh-CN" altLang="en-US" sz="1000" b="0" i="0" strike="noStrike">
              <a:solidFill>
                <a:srgbClr val="000000"/>
              </a:solidFill>
              <a:latin typeface="宋体" panose="02010600030101010101" charset="-122"/>
              <a:ea typeface="宋体" panose="02010600030101010101" charset="-122"/>
            </a:rPr>
            <a:t>万元</a:t>
          </a:r>
          <a:r>
            <a:rPr lang="en-US" altLang="zh-CN" sz="1000" b="0" i="0" strike="noStrike">
              <a:solidFill>
                <a:srgbClr val="000000"/>
              </a:solidFill>
              <a:latin typeface="宋体" panose="02010600030101010101" charset="-122"/>
              <a:ea typeface="宋体" panose="02010600030101010101" charset="-122"/>
            </a:rPr>
            <a:t>)</a:t>
          </a:r>
          <a:endParaRPr lang="en-US" altLang="zh-CN" sz="1000" b="0" i="0" strike="noStrike">
            <a:solidFill>
              <a:srgbClr val="000000"/>
            </a:solidFill>
            <a:latin typeface="宋体" panose="02010600030101010101" charset="-122"/>
            <a:ea typeface="宋体" panose="02010600030101010101" charset="-122"/>
          </a:endParaRPr>
        </a:p>
      </cdr:txBody>
    </cdr:sp>
  </cdr:relSizeAnchor>
  <cdr:relSizeAnchor xmlns:cdr="http://schemas.openxmlformats.org/drawingml/2006/chartDrawing">
    <cdr:from>
      <cdr:x>0.39075</cdr:x>
      <cdr:y>0.40025</cdr:y>
    </cdr:from>
    <cdr:to>
      <cdr:x>0.40175</cdr:x>
      <cdr:y>0.45775</cdr:y>
    </cdr:to>
    <cdr:sp>
      <cdr:nvSpPr>
        <cdr:cNvPr id="3" name="矩形 2"/>
        <cdr:cNvSpPr>
          <a14:cpLocks xmlns:a14="http://schemas.microsoft.com/office/drawing/2010/main" noChangeArrowheads="1"/>
        </cdr:cNvSpPr>
      </cdr:nvSpPr>
      <cdr:spPr xmlns:a="http://schemas.openxmlformats.org/drawingml/2006/main">
        <a:xfrm xmlns:a="http://schemas.openxmlformats.org/drawingml/2006/main">
          <a:off x="2020988" y="1258086"/>
          <a:ext cx="56893" cy="180737"/>
        </a:xfrm>
        <a:prstGeom xmlns:a="http://schemas.openxmlformats.org/drawingml/2006/main" prst="rect">
          <a:avLst/>
        </a:prstGeom>
        <a:noFill/>
        <a:ln w="9525">
          <a:noFill/>
          <a:miter lim="800000"/>
        </a:ln>
        <a:effectLst/>
      </cdr:spPr>
    </cdr:sp>
  </cdr:relSizeAnchor>
</c:userShapes>
</file>

<file path=word/drawings/drawing2.xml><?xml version="1.0" encoding="utf-8"?>
<c:userShapes xmlns:c="http://schemas.openxmlformats.org/drawingml/2006/chart">
  <cdr:relSizeAnchor xmlns:cdr="http://schemas.openxmlformats.org/drawingml/2006/chartDrawing">
    <cdr:from>
      <cdr:x>0.506</cdr:x>
      <cdr:y>0.501</cdr:y>
    </cdr:from>
    <cdr:to>
      <cdr:x>0.516</cdr:x>
      <cdr:y>0.5415</cdr:y>
    </cdr:to>
    <cdr:sp>
      <cdr:nvSpPr>
        <cdr:cNvPr id="2" name="矩形 1"/>
        <cdr:cNvSpPr>
          <a14:cpLocks xmlns:a14="http://schemas.microsoft.com/office/drawing/2010/main" noChangeArrowheads="1"/>
        </cdr:cNvSpPr>
      </cdr:nvSpPr>
      <cdr:spPr xmlns:a="http://schemas.openxmlformats.org/drawingml/2006/main">
        <a:xfrm xmlns:a="http://schemas.openxmlformats.org/drawingml/2006/main">
          <a:off x="2858052" y="2238080"/>
          <a:ext cx="56484" cy="180922"/>
        </a:xfrm>
        <a:prstGeom xmlns:a="http://schemas.openxmlformats.org/drawingml/2006/main" prst="rect">
          <a:avLst/>
        </a:prstGeom>
        <a:noFill/>
        <a:ln w="9525">
          <a:noFill/>
          <a:miter lim="800000"/>
        </a:ln>
        <a:effectLst/>
      </cdr:spPr>
    </cdr:sp>
  </cdr:relSizeAnchor>
</c:userShapes>
</file>

<file path=word/drawings/drawing3.xml><?xml version="1.0" encoding="utf-8"?>
<c:userShapes xmlns:c="http://schemas.openxmlformats.org/drawingml/2006/chart">
  <cdr:relSizeAnchor xmlns:cdr="http://schemas.openxmlformats.org/drawingml/2006/chartDrawing">
    <cdr:from>
      <cdr:x>0.499</cdr:x>
      <cdr:y>0.4915</cdr:y>
    </cdr:from>
    <cdr:to>
      <cdr:x>0.50625</cdr:x>
      <cdr:y>0.5555</cdr:y>
    </cdr:to>
    <cdr:sp>
      <cdr:nvSpPr>
        <cdr:cNvPr id="2" name="矩形 1"/>
        <cdr:cNvSpPr>
          <a14:cpLocks xmlns:a14="http://schemas.microsoft.com/office/drawing/2010/main" noChangeArrowheads="1"/>
        </cdr:cNvSpPr>
      </cdr:nvSpPr>
      <cdr:spPr xmlns:a="http://schemas.openxmlformats.org/drawingml/2006/main">
        <a:xfrm xmlns:a="http://schemas.openxmlformats.org/drawingml/2006/main">
          <a:off x="2647407" y="1390417"/>
          <a:ext cx="38464" cy="181051"/>
        </a:xfrm>
        <a:prstGeom xmlns:a="http://schemas.openxmlformats.org/drawingml/2006/main" prst="rect">
          <a:avLst/>
        </a:prstGeom>
        <a:noFill/>
        <a:ln w="9525">
          <a:noFill/>
          <a:miter lim="800000"/>
        </a:ln>
        <a:effectLst/>
      </cdr:spPr>
    </cdr:sp>
  </cdr:relSizeAnchor>
  <cdr:relSizeAnchor xmlns:cdr="http://schemas.openxmlformats.org/drawingml/2006/chartDrawing">
    <cdr:from>
      <cdr:x>0.499</cdr:x>
      <cdr:y>0.4915</cdr:y>
    </cdr:from>
    <cdr:to>
      <cdr:x>0.50625</cdr:x>
      <cdr:y>0.5555</cdr:y>
    </cdr:to>
    <cdr:sp>
      <cdr:nvSpPr>
        <cdr:cNvPr id="3" name="矩形 2"/>
        <cdr:cNvSpPr>
          <a14:cpLocks xmlns:a14="http://schemas.microsoft.com/office/drawing/2010/main" noChangeArrowheads="1"/>
        </cdr:cNvSpPr>
      </cdr:nvSpPr>
      <cdr:spPr xmlns:a="http://schemas.openxmlformats.org/drawingml/2006/main">
        <a:xfrm xmlns:a="http://schemas.openxmlformats.org/drawingml/2006/main">
          <a:off x="2647407" y="1390417"/>
          <a:ext cx="38464" cy="181051"/>
        </a:xfrm>
        <a:prstGeom xmlns:a="http://schemas.openxmlformats.org/drawingml/2006/main" prst="rect">
          <a:avLst/>
        </a:prstGeom>
        <a:noFill/>
        <a:ln w="9525">
          <a:noFill/>
          <a:miter lim="800000"/>
        </a:ln>
        <a:effectLst/>
      </cdr:spPr>
    </cdr:sp>
  </cdr:relSizeAnchor>
  <cdr:relSizeAnchor xmlns:cdr="http://schemas.openxmlformats.org/drawingml/2006/chartDrawing">
    <cdr:from>
      <cdr:x>0.499</cdr:x>
      <cdr:y>0.4915</cdr:y>
    </cdr:from>
    <cdr:to>
      <cdr:x>0.50625</cdr:x>
      <cdr:y>0.5555</cdr:y>
    </cdr:to>
    <cdr:sp>
      <cdr:nvSpPr>
        <cdr:cNvPr id="4" name="矩形 3"/>
        <cdr:cNvSpPr>
          <a14:cpLocks xmlns:a14="http://schemas.microsoft.com/office/drawing/2010/main" noChangeArrowheads="1"/>
        </cdr:cNvSpPr>
      </cdr:nvSpPr>
      <cdr:spPr xmlns:a="http://schemas.openxmlformats.org/drawingml/2006/main">
        <a:xfrm xmlns:a="http://schemas.openxmlformats.org/drawingml/2006/main">
          <a:off x="2647407" y="1390417"/>
          <a:ext cx="38464" cy="181051"/>
        </a:xfrm>
        <a:prstGeom xmlns:a="http://schemas.openxmlformats.org/drawingml/2006/main" prst="rect">
          <a:avLst/>
        </a:prstGeom>
        <a:noFill/>
        <a:ln w="9525">
          <a:noFill/>
          <a:miter lim="800000"/>
        </a:ln>
        <a:effectLst/>
      </cdr:spPr>
    </cdr:sp>
  </cdr:relSizeAnchor>
  <cdr:relSizeAnchor xmlns:cdr="http://schemas.openxmlformats.org/drawingml/2006/chartDrawing">
    <cdr:from>
      <cdr:x>0.499</cdr:x>
      <cdr:y>0.4915</cdr:y>
    </cdr:from>
    <cdr:to>
      <cdr:x>0.50975</cdr:x>
      <cdr:y>0.5555</cdr:y>
    </cdr:to>
    <cdr:sp>
      <cdr:nvSpPr>
        <cdr:cNvPr id="5" name="矩形 4"/>
        <cdr:cNvSpPr>
          <a14:cpLocks xmlns:a14="http://schemas.microsoft.com/office/drawing/2010/main" noChangeArrowheads="1"/>
        </cdr:cNvSpPr>
      </cdr:nvSpPr>
      <cdr:spPr xmlns:a="http://schemas.openxmlformats.org/drawingml/2006/main">
        <a:xfrm xmlns:a="http://schemas.openxmlformats.org/drawingml/2006/main">
          <a:off x="2647407" y="1390417"/>
          <a:ext cx="57033" cy="181051"/>
        </a:xfrm>
        <a:prstGeom xmlns:a="http://schemas.openxmlformats.org/drawingml/2006/main" prst="rect">
          <a:avLst/>
        </a:prstGeom>
        <a:noFill/>
        <a:ln w="9525">
          <a:noFill/>
          <a:miter lim="800000"/>
        </a:ln>
        <a:effectLst/>
      </cdr:spPr>
    </cdr:sp>
  </cdr:relSizeAnchor>
  <cdr:relSizeAnchor xmlns:cdr="http://schemas.openxmlformats.org/drawingml/2006/chartDrawing">
    <cdr:from>
      <cdr:x>0.6735</cdr:x>
      <cdr:y>0.094</cdr:y>
    </cdr:from>
    <cdr:to>
      <cdr:x>0.819</cdr:x>
      <cdr:y>0.19175</cdr:y>
    </cdr:to>
    <cdr:sp>
      <cdr:nvSpPr>
        <cdr:cNvPr id="6" name="矩形 5"/>
        <cdr:cNvSpPr>
          <a14:cpLocks xmlns:a14="http://schemas.microsoft.com/office/drawing/2010/main" noChangeArrowheads="1"/>
        </cdr:cNvSpPr>
      </cdr:nvSpPr>
      <cdr:spPr xmlns:a="http://schemas.openxmlformats.org/drawingml/2006/main">
        <a:xfrm xmlns:a="http://schemas.openxmlformats.org/drawingml/2006/main">
          <a:off x="3573204" y="265919"/>
          <a:ext cx="771939" cy="276527"/>
        </a:xfrm>
        <a:prstGeom xmlns:a="http://schemas.openxmlformats.org/drawingml/2006/main" prst="rect">
          <a:avLst/>
        </a:prstGeom>
        <a:noFill/>
        <a:ln w="9525">
          <a:noFill/>
          <a:miter lim="800000"/>
        </a:ln>
        <a:effectLst/>
      </cdr:spPr>
      <cdr:txBody xmlns:a="http://schemas.openxmlformats.org/drawingml/2006/main">
        <a:bodyPr vertOverflow="clip" vert="horz" wrap="square" lIns="27432" tIns="18288" rIns="27432" bIns="18288" anchor="ctr" anchorCtr="0" upright="1">
          <a:normAutofit/>
        </a:bodyPr>
        <a:lstStyle/>
        <a:p>
          <a:pPr algn="ctr" rtl="0">
            <a:defRPr sz="1000"/>
          </a:pPr>
          <a:r>
            <a:rPr lang="zh-CN" altLang="en-US" sz="1000" b="0" i="0" strike="noStrike">
              <a:solidFill>
                <a:srgbClr val="000000"/>
              </a:solidFill>
              <a:latin typeface="宋体" panose="02010600030101010101" charset="-122"/>
              <a:ea typeface="宋体" panose="02010600030101010101" charset="-122"/>
            </a:rPr>
            <a:t>单位</a:t>
          </a:r>
          <a:r>
            <a:rPr lang="en-US" altLang="zh-CN" sz="1000" b="0" i="0" strike="noStrike">
              <a:solidFill>
                <a:srgbClr val="000000"/>
              </a:solidFill>
              <a:latin typeface="宋体" panose="02010600030101010101" charset="-122"/>
              <a:ea typeface="宋体" panose="02010600030101010101" charset="-122"/>
            </a:rPr>
            <a:t>(</a:t>
          </a:r>
          <a:r>
            <a:rPr lang="zh-CN" altLang="en-US" sz="1000" b="0" i="0" strike="noStrike">
              <a:solidFill>
                <a:srgbClr val="000000"/>
              </a:solidFill>
              <a:latin typeface="宋体" panose="02010600030101010101" charset="-122"/>
              <a:ea typeface="宋体" panose="02010600030101010101" charset="-122"/>
            </a:rPr>
            <a:t>万元</a:t>
          </a:r>
          <a:r>
            <a:rPr lang="en-US" altLang="zh-CN" sz="1000" b="0" i="0" strike="noStrike">
              <a:solidFill>
                <a:srgbClr val="000000"/>
              </a:solidFill>
              <a:latin typeface="宋体" panose="02010600030101010101" charset="-122"/>
              <a:ea typeface="宋体" panose="02010600030101010101" charset="-122"/>
            </a:rPr>
            <a:t>)</a:t>
          </a:r>
          <a:endParaRPr lang="en-US" altLang="zh-CN" sz="1000" b="0" i="0" strike="noStrike">
            <a:solidFill>
              <a:srgbClr val="000000"/>
            </a:solidFill>
            <a:latin typeface="宋体" panose="02010600030101010101" charset="-122"/>
            <a:ea typeface="宋体" panose="02010600030101010101" charset="-122"/>
          </a:endParaRPr>
        </a:p>
      </cdr:txBody>
    </cdr: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8</Pages>
  <Words>1048</Words>
  <Characters>5976</Characters>
  <Lines>49</Lines>
  <Paragraphs>14</Paragraphs>
  <TotalTime>846</TotalTime>
  <ScaleCrop>false</ScaleCrop>
  <LinksUpToDate>false</LinksUpToDate>
  <CharactersWithSpaces>7010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2016-03-10T07:03:00Z</dcterms:created>
  <dc:creator>番茄花园</dc:creator>
  <cp:lastModifiedBy>瞳孔裡住着星星</cp:lastModifiedBy>
  <cp:lastPrinted>2018-05-11T10:27:00Z</cp:lastPrinted>
  <dcterms:modified xsi:type="dcterms:W3CDTF">2024-03-27T03:06:45Z</dcterms:modified>
  <dc:title>米东区二○○八年财政收支总决算说明</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