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729A8">
      <w:pPr>
        <w:rPr>
          <w:rFonts w:hint="eastAsia" w:ascii="黑体" w:hAnsi="黑体" w:eastAsia="黑体"/>
          <w:sz w:val="32"/>
          <w:szCs w:val="32"/>
        </w:rPr>
      </w:pPr>
    </w:p>
    <w:p w14:paraId="3135CF67">
      <w:pPr>
        <w:jc w:val="center"/>
        <w:rPr>
          <w:rFonts w:hint="eastAsia" w:ascii="方正小标宋_GBK" w:hAnsi="宋体" w:eastAsia="方正小标宋_GBK"/>
          <w:sz w:val="44"/>
          <w:szCs w:val="44"/>
        </w:rPr>
      </w:pPr>
    </w:p>
    <w:p w14:paraId="786263D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中共乌</w:t>
      </w:r>
      <w:bookmarkStart w:id="52" w:name="_GoBack"/>
      <w:bookmarkEnd w:id="52"/>
      <w:r>
        <w:rPr>
          <w:rFonts w:hint="eastAsia" w:ascii="方正小标宋_GBK" w:hAnsi="宋体" w:eastAsia="方正小标宋_GBK"/>
          <w:sz w:val="44"/>
          <w:szCs w:val="44"/>
        </w:rPr>
        <w:t>鲁木齐市米东区委员会宣传部</w:t>
      </w:r>
    </w:p>
    <w:p w14:paraId="719CABC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2277FE5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06516D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12AEC28">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6B2ACA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F9628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E9712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4BD450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C0E8D0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5449A0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3D52A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3CB45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833BF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449DEE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0F8C54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2B4A5E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74CA366">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22540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A33833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53CA14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204F12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2A401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8C8CC5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A546BF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3BDCED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3B439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3FDEE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FB0E71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09D9A1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92C7A0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A52686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67C66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D704FBC">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8AFB77D">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81F083C">
      <w:r>
        <w:rPr>
          <w:rFonts w:hint="eastAsia" w:ascii="仿宋_GB2312" w:hAnsi="仿宋_GB2312" w:eastAsia="仿宋_GB2312" w:cs="仿宋_GB2312"/>
          <w:sz w:val="32"/>
          <w:szCs w:val="32"/>
        </w:rPr>
        <w:fldChar w:fldCharType="end"/>
      </w:r>
    </w:p>
    <w:p w14:paraId="498BA6C2">
      <w:pPr>
        <w:rPr>
          <w:rFonts w:ascii="仿宋_GB2312" w:eastAsia="仿宋_GB2312"/>
          <w:sz w:val="32"/>
          <w:szCs w:val="32"/>
        </w:rPr>
      </w:pPr>
      <w:r>
        <w:rPr>
          <w:rFonts w:hint="eastAsia" w:ascii="仿宋_GB2312" w:eastAsia="仿宋_GB2312"/>
          <w:sz w:val="32"/>
          <w:szCs w:val="32"/>
        </w:rPr>
        <w:br w:type="page"/>
      </w:r>
    </w:p>
    <w:p w14:paraId="0D894CD4">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7550727">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09455FE9">
      <w:pPr>
        <w:ind w:firstLine="640" w:firstLineChars="200"/>
        <w:jc w:val="left"/>
        <w:rPr>
          <w:rFonts w:ascii="仿宋_GB2312" w:eastAsia="仿宋_GB2312"/>
          <w:sz w:val="32"/>
          <w:szCs w:val="32"/>
        </w:rPr>
      </w:pPr>
      <w:r>
        <w:rPr>
          <w:rFonts w:hint="eastAsia" w:ascii="仿宋_GB2312" w:eastAsia="仿宋_GB2312"/>
          <w:sz w:val="32"/>
          <w:szCs w:val="32"/>
        </w:rPr>
        <w:t>（一）研究拟订宣传思想文化工作的方针、政策和事业发展总体规划,按照区委统一部署,协调宣传思想文化系统各部门之间的工作。</w:t>
      </w:r>
    </w:p>
    <w:p w14:paraId="457D1428">
      <w:pPr>
        <w:ind w:firstLine="640" w:firstLineChars="200"/>
        <w:jc w:val="left"/>
        <w:rPr>
          <w:rFonts w:ascii="仿宋_GB2312" w:eastAsia="仿宋_GB2312"/>
          <w:sz w:val="32"/>
          <w:szCs w:val="32"/>
        </w:rPr>
      </w:pPr>
      <w:r>
        <w:rPr>
          <w:rFonts w:hint="eastAsia" w:ascii="仿宋_GB2312" w:eastAsia="仿宋_GB2312"/>
          <w:sz w:val="32"/>
          <w:szCs w:val="32"/>
        </w:rPr>
        <w:t>（二）统筹协调党的意识形态工作。贯彻落实区委关于意识形态工作决策部署，组织协调意识形态工作责任制落实和日常监督检查，结合巡察工作开展专项检查。</w:t>
      </w:r>
    </w:p>
    <w:p w14:paraId="6A7B2A4E">
      <w:pPr>
        <w:ind w:firstLine="640" w:firstLineChars="200"/>
        <w:jc w:val="left"/>
        <w:rPr>
          <w:rFonts w:ascii="仿宋_GB2312" w:eastAsia="仿宋_GB2312"/>
          <w:sz w:val="32"/>
          <w:szCs w:val="32"/>
        </w:rPr>
      </w:pPr>
      <w:r>
        <w:rPr>
          <w:rFonts w:hint="eastAsia" w:ascii="仿宋_GB2312" w:eastAsia="仿宋_GB2312"/>
          <w:sz w:val="32"/>
          <w:szCs w:val="32"/>
        </w:rPr>
        <w:t>（三）统筹指导协调全区理论研究、理论学习、理论宣传工作，组织推动理论武装工作。</w:t>
      </w:r>
    </w:p>
    <w:p w14:paraId="1212E222">
      <w:pPr>
        <w:ind w:firstLine="640" w:firstLineChars="200"/>
        <w:jc w:val="left"/>
        <w:rPr>
          <w:rFonts w:ascii="仿宋_GB2312" w:eastAsia="仿宋_GB2312"/>
          <w:sz w:val="32"/>
          <w:szCs w:val="32"/>
        </w:rPr>
      </w:pPr>
      <w:r>
        <w:rPr>
          <w:rFonts w:hint="eastAsia" w:ascii="仿宋_GB2312" w:eastAsia="仿宋_GB2312"/>
          <w:sz w:val="32"/>
          <w:szCs w:val="32"/>
        </w:rPr>
        <w:t>（四）负责规划组织领导全区思想政治工作和群众性精神文明建设活动；会同相关部门做好全区国防教育工作；配合区委组织部做好党员教育工作；会同有关部门研究和改进群众思想教育工作。</w:t>
      </w:r>
    </w:p>
    <w:p w14:paraId="7979E620">
      <w:pPr>
        <w:ind w:firstLine="640" w:firstLineChars="200"/>
        <w:jc w:val="left"/>
        <w:rPr>
          <w:rFonts w:ascii="仿宋_GB2312" w:eastAsia="仿宋_GB2312"/>
          <w:sz w:val="32"/>
          <w:szCs w:val="32"/>
        </w:rPr>
      </w:pPr>
      <w:r>
        <w:rPr>
          <w:rFonts w:hint="eastAsia" w:ascii="仿宋_GB2312" w:eastAsia="仿宋_GB2312"/>
          <w:sz w:val="32"/>
          <w:szCs w:val="32"/>
        </w:rPr>
        <w:t>（五）统筹分析研判和引导社会舆论，指导协调区属各新闻单位工作，组织突发公共事件应急新闻工作；承担区突发公共事件应急新闻中心的日常工作。</w:t>
      </w:r>
    </w:p>
    <w:p w14:paraId="547E472B">
      <w:pPr>
        <w:ind w:firstLine="640" w:firstLineChars="200"/>
        <w:jc w:val="left"/>
        <w:rPr>
          <w:rFonts w:ascii="仿宋_GB2312" w:eastAsia="仿宋_GB2312"/>
          <w:sz w:val="32"/>
          <w:szCs w:val="32"/>
        </w:rPr>
      </w:pPr>
      <w:r>
        <w:rPr>
          <w:rFonts w:hint="eastAsia" w:ascii="仿宋_GB2312" w:eastAsia="仿宋_GB2312"/>
          <w:sz w:val="32"/>
          <w:szCs w:val="32"/>
        </w:rPr>
        <w:t>（六）贯彻落实新闻出版业的管理政策，管理新闻出版行政事务；组织协调有关行政审批工作，统筹规划和指导协调新闻出版事业、产业发展；监督管理出版物内容和质量，监督管理印刷业，管理著作权等；组织指导协调全区“扫黄打非”工作。</w:t>
      </w:r>
    </w:p>
    <w:p w14:paraId="0B7D2C0B">
      <w:pPr>
        <w:ind w:firstLine="640" w:firstLineChars="200"/>
        <w:jc w:val="left"/>
        <w:rPr>
          <w:rFonts w:ascii="仿宋_GB2312" w:eastAsia="仿宋_GB2312"/>
          <w:sz w:val="32"/>
          <w:szCs w:val="32"/>
        </w:rPr>
      </w:pPr>
      <w:r>
        <w:rPr>
          <w:rFonts w:hint="eastAsia" w:ascii="仿宋_GB2312" w:eastAsia="仿宋_GB2312"/>
          <w:sz w:val="32"/>
          <w:szCs w:val="32"/>
        </w:rPr>
        <w:t>（七）统筹指导协调全区互联网宣传和信息内容管理工作；统筹协调数字新媒体的建设与管理。</w:t>
      </w:r>
    </w:p>
    <w:p w14:paraId="642F694D">
      <w:pPr>
        <w:ind w:firstLine="640" w:firstLineChars="200"/>
        <w:jc w:val="left"/>
        <w:rPr>
          <w:rFonts w:ascii="仿宋_GB2312" w:eastAsia="仿宋_GB2312"/>
          <w:sz w:val="32"/>
          <w:szCs w:val="32"/>
        </w:rPr>
      </w:pPr>
      <w:r>
        <w:rPr>
          <w:rFonts w:hint="eastAsia" w:ascii="仿宋_GB2312" w:eastAsia="仿宋_GB2312"/>
          <w:sz w:val="32"/>
          <w:szCs w:val="32"/>
        </w:rPr>
        <w:t>（八）负责组织实施全区精神文明建设规划、协调、指导、创建工作，负责规划和统筹协调未成年人思想道德建设工作；统筹指导协调推动精神文化产品的创作和生产，协调组织中华优秀传统文化传承发展有关工作，指导协调推动群众文化建设。</w:t>
      </w:r>
    </w:p>
    <w:p w14:paraId="17F04641">
      <w:pPr>
        <w:ind w:firstLine="640" w:firstLineChars="200"/>
        <w:jc w:val="left"/>
        <w:rPr>
          <w:rFonts w:ascii="仿宋_GB2312" w:eastAsia="仿宋_GB2312"/>
          <w:sz w:val="32"/>
          <w:szCs w:val="32"/>
        </w:rPr>
      </w:pPr>
      <w:r>
        <w:rPr>
          <w:rFonts w:hint="eastAsia" w:ascii="仿宋_GB2312" w:eastAsia="仿宋_GB2312"/>
          <w:sz w:val="32"/>
          <w:szCs w:val="32"/>
        </w:rPr>
        <w:t>(九)负责全区宣传文化产品的审读审批鉴定,对全区审读审批鉴定工作进行集中统一管理;做好全区审读工作组织协调、督查落实、指导管理,推进审读工作体系化建设。</w:t>
      </w:r>
    </w:p>
    <w:p w14:paraId="77C3F8F0">
      <w:pPr>
        <w:ind w:firstLine="640" w:firstLineChars="200"/>
        <w:jc w:val="left"/>
        <w:rPr>
          <w:rFonts w:ascii="仿宋_GB2312" w:eastAsia="仿宋_GB2312"/>
          <w:sz w:val="32"/>
          <w:szCs w:val="32"/>
        </w:rPr>
      </w:pPr>
      <w:r>
        <w:rPr>
          <w:rFonts w:hint="eastAsia" w:ascii="仿宋_GB2312" w:eastAsia="仿宋_GB2312"/>
          <w:sz w:val="32"/>
          <w:szCs w:val="32"/>
        </w:rPr>
        <w:t>(十)指导监管电影发行、放映等工作;对新闻出版、广播影视、文化艺术业改革发展研究提出政策性建议,统筹指导协调文化体制改革和文化事业、文化产业及旅游业发展;指导协调国有文化资产监管工作。</w:t>
      </w:r>
    </w:p>
    <w:p w14:paraId="3431FA69">
      <w:pPr>
        <w:ind w:firstLine="640" w:firstLineChars="200"/>
        <w:jc w:val="left"/>
        <w:rPr>
          <w:rFonts w:ascii="仿宋_GB2312" w:eastAsia="仿宋_GB2312"/>
          <w:sz w:val="32"/>
          <w:szCs w:val="32"/>
        </w:rPr>
      </w:pPr>
      <w:r>
        <w:rPr>
          <w:rFonts w:hint="eastAsia" w:ascii="仿宋_GB2312" w:eastAsia="仿宋_GB2312"/>
          <w:sz w:val="32"/>
          <w:szCs w:val="32"/>
        </w:rPr>
        <w:t>(十一)统筹指导舆情信息工作,组织协调开展舆情信息收集分析研判工作,跟踪了解、研究掌握宣传舆情动态。</w:t>
      </w:r>
    </w:p>
    <w:p w14:paraId="7C606548">
      <w:pPr>
        <w:ind w:firstLine="640" w:firstLineChars="200"/>
        <w:jc w:val="left"/>
        <w:rPr>
          <w:rFonts w:ascii="仿宋_GB2312" w:eastAsia="仿宋_GB2312"/>
          <w:sz w:val="32"/>
          <w:szCs w:val="32"/>
        </w:rPr>
      </w:pPr>
      <w:r>
        <w:rPr>
          <w:rFonts w:hint="eastAsia" w:ascii="仿宋_GB2312" w:eastAsia="仿宋_GB2312"/>
          <w:sz w:val="32"/>
          <w:szCs w:val="32"/>
        </w:rPr>
        <w:t>(十二)统筹协调对外宣传工作,指导协调有关部门研究拟订对外宣传工作战略、重大方针政策和对外宣传事业发展总体规划;拟订我区重大问题对外宣传口径。</w:t>
      </w:r>
    </w:p>
    <w:p w14:paraId="191A84E1">
      <w:pPr>
        <w:ind w:firstLine="640" w:firstLineChars="200"/>
        <w:jc w:val="left"/>
        <w:rPr>
          <w:rFonts w:ascii="仿宋_GB2312" w:eastAsia="仿宋_GB2312"/>
          <w:sz w:val="32"/>
          <w:szCs w:val="32"/>
        </w:rPr>
      </w:pPr>
      <w:r>
        <w:rPr>
          <w:rFonts w:hint="eastAsia" w:ascii="仿宋_GB2312" w:eastAsia="仿宋_GB2312"/>
          <w:sz w:val="32"/>
          <w:szCs w:val="32"/>
        </w:rPr>
        <w:t>(十三)统筹协调组织开展新闻发布工作;承担我区新闻发布有关组织协调工作,负责区人民政府新闻发布组织实施工作;指导协调政府各部门和各乡镇(片区)的新闻发布工作,推动新闻发言人制度建设。</w:t>
      </w:r>
    </w:p>
    <w:p w14:paraId="296859D2">
      <w:pPr>
        <w:ind w:firstLine="640" w:firstLineChars="200"/>
        <w:jc w:val="left"/>
        <w:rPr>
          <w:rFonts w:ascii="仿宋_GB2312" w:eastAsia="仿宋_GB2312"/>
          <w:sz w:val="32"/>
          <w:szCs w:val="32"/>
        </w:rPr>
      </w:pPr>
      <w:r>
        <w:rPr>
          <w:rFonts w:hint="eastAsia" w:ascii="仿宋_GB2312" w:eastAsia="仿宋_GB2312"/>
          <w:sz w:val="32"/>
          <w:szCs w:val="32"/>
        </w:rPr>
        <w:t>(十四)配合组织部门抓好宣传、新闻、文化、出版、社会科学研究等方面宣传文化单位领导班子建设和领导干部的培养、教育、考察和监督工作;负责组织开展宣传思想文化系统干部教育培训和人才工作;组织协调新闻、出版、文艺和政工等系列专业技术职称评审工作。</w:t>
      </w:r>
    </w:p>
    <w:p w14:paraId="234A9BF7">
      <w:pPr>
        <w:ind w:firstLine="640" w:firstLineChars="200"/>
        <w:jc w:val="left"/>
        <w:rPr>
          <w:rFonts w:ascii="仿宋_GB2312" w:eastAsia="仿宋_GB2312"/>
          <w:sz w:val="32"/>
          <w:szCs w:val="32"/>
        </w:rPr>
      </w:pPr>
      <w:r>
        <w:rPr>
          <w:rFonts w:hint="eastAsia" w:ascii="仿宋_GB2312" w:eastAsia="仿宋_GB2312"/>
          <w:sz w:val="32"/>
          <w:szCs w:val="32"/>
        </w:rPr>
        <w:t>(十五)对区互联网信息办公室互联网宣传和信息内容管理方面的工作实施方针、政策的指导。</w:t>
      </w:r>
    </w:p>
    <w:p w14:paraId="44004E77">
      <w:pPr>
        <w:ind w:firstLine="640" w:firstLineChars="200"/>
        <w:jc w:val="left"/>
        <w:rPr>
          <w:rFonts w:ascii="仿宋_GB2312" w:eastAsia="仿宋_GB2312"/>
          <w:sz w:val="32"/>
          <w:szCs w:val="32"/>
        </w:rPr>
      </w:pPr>
      <w:r>
        <w:rPr>
          <w:rFonts w:hint="eastAsia" w:ascii="仿宋_GB2312" w:eastAsia="仿宋_GB2312"/>
          <w:sz w:val="32"/>
          <w:szCs w:val="32"/>
        </w:rPr>
        <w:t>(十六)承办区委交办的其他事项。</w:t>
      </w:r>
    </w:p>
    <w:p w14:paraId="5ACF0944">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3A34DF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中共乌鲁木齐市米东区委员会宣传部2023年度，实有人数</w:t>
      </w:r>
      <w:r>
        <w:rPr>
          <w:rFonts w:hint="eastAsia" w:ascii="仿宋_GB2312" w:eastAsia="仿宋_GB2312"/>
          <w:sz w:val="32"/>
          <w:szCs w:val="32"/>
          <w:lang w:val="zh-CN"/>
        </w:rPr>
        <w:t>21</w:t>
      </w:r>
      <w:r>
        <w:rPr>
          <w:rFonts w:hint="eastAsia" w:ascii="仿宋_GB2312" w:eastAsia="仿宋_GB2312"/>
          <w:sz w:val="32"/>
          <w:szCs w:val="32"/>
        </w:rPr>
        <w:t>人，其中：在职人员</w:t>
      </w:r>
      <w:r>
        <w:rPr>
          <w:rFonts w:hint="eastAsia" w:ascii="仿宋_GB2312" w:eastAsia="仿宋_GB2312"/>
          <w:sz w:val="32"/>
          <w:szCs w:val="32"/>
          <w:lang w:val="zh-CN"/>
        </w:rPr>
        <w:t>17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w:t>
      </w:r>
      <w:r>
        <w:rPr>
          <w:rFonts w:hint="eastAsia" w:ascii="仿宋_GB2312" w:eastAsia="仿宋_GB2312"/>
          <w:sz w:val="32"/>
          <w:szCs w:val="32"/>
        </w:rPr>
        <w:t>人。</w:t>
      </w:r>
    </w:p>
    <w:p w14:paraId="5E6B0103">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eastAsia="仿宋_GB2312"/>
          <w:kern w:val="0"/>
          <w:sz w:val="32"/>
        </w:rPr>
        <w:t>米东区新闻中心、米东区精神文明创建指导中心</w:t>
      </w:r>
      <w:r>
        <w:rPr>
          <w:rFonts w:hint="eastAsia" w:ascii="仿宋_GB2312" w:hAnsi="宋体" w:eastAsia="仿宋_GB2312" w:cs="宋体"/>
          <w:kern w:val="0"/>
          <w:sz w:val="32"/>
          <w:szCs w:val="32"/>
        </w:rPr>
        <w:t>。</w:t>
      </w:r>
    </w:p>
    <w:p w14:paraId="1147EDB7">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F774E77">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6F09DB8F">
      <w:pPr>
        <w:ind w:firstLine="640" w:firstLineChars="200"/>
        <w:jc w:val="left"/>
        <w:rPr>
          <w:rFonts w:ascii="仿宋_GB2312" w:eastAsia="仿宋_GB2312"/>
          <w:sz w:val="32"/>
          <w:szCs w:val="32"/>
        </w:rPr>
      </w:pPr>
      <w:r>
        <w:rPr>
          <w:rFonts w:hint="eastAsia" w:ascii="仿宋_GB2312" w:eastAsia="仿宋_GB2312"/>
          <w:sz w:val="32"/>
          <w:szCs w:val="32"/>
        </w:rPr>
        <w:t>2023年度收入总计476.77万元，其中：本年收入合计466.03万元，使用非财政拨款结余0.00万元，年初结转和结余10.74万元。</w:t>
      </w:r>
    </w:p>
    <w:p w14:paraId="6838DCDB">
      <w:pPr>
        <w:ind w:firstLine="640" w:firstLineChars="200"/>
        <w:jc w:val="left"/>
        <w:rPr>
          <w:rFonts w:ascii="仿宋_GB2312" w:eastAsia="仿宋_GB2312"/>
          <w:sz w:val="32"/>
          <w:szCs w:val="32"/>
        </w:rPr>
      </w:pPr>
      <w:r>
        <w:rPr>
          <w:rFonts w:hint="eastAsia" w:ascii="仿宋_GB2312" w:eastAsia="仿宋_GB2312"/>
          <w:sz w:val="32"/>
          <w:szCs w:val="32"/>
        </w:rPr>
        <w:t>2023年度支出总计476.77万元，其中：本年支出合计471.05万元，结余分配0.00万元，年末结转和结余5.72万元。</w:t>
      </w:r>
    </w:p>
    <w:p w14:paraId="687DAA94">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增加180.62万元</w:t>
      </w:r>
      <w:r>
        <w:rPr>
          <w:rFonts w:hint="eastAsia" w:ascii="仿宋_GB2312" w:eastAsia="仿宋_GB2312"/>
          <w:sz w:val="32"/>
          <w:szCs w:val="32"/>
        </w:rPr>
        <w:t>，增长60.99%，主要原因是：本年单位增加晚报征订及投递项目经费；单位人员增加，人员工资、津补贴等人员经费较上年增加。</w:t>
      </w:r>
    </w:p>
    <w:p w14:paraId="3805D49F">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52BA9DF8">
      <w:pPr>
        <w:ind w:firstLine="640" w:firstLineChars="200"/>
        <w:jc w:val="left"/>
        <w:rPr>
          <w:rFonts w:ascii="仿宋_GB2312" w:eastAsia="仿宋_GB2312"/>
          <w:sz w:val="32"/>
          <w:szCs w:val="32"/>
        </w:rPr>
      </w:pPr>
      <w:r>
        <w:rPr>
          <w:rFonts w:hint="eastAsia" w:ascii="仿宋_GB2312" w:eastAsia="仿宋_GB2312"/>
          <w:sz w:val="32"/>
          <w:szCs w:val="32"/>
        </w:rPr>
        <w:t>本年收入466.03万元，其中：财政拨款收入</w:t>
      </w:r>
      <w:r>
        <w:rPr>
          <w:rFonts w:hint="eastAsia" w:ascii="仿宋_GB2312" w:eastAsia="仿宋_GB2312"/>
          <w:sz w:val="32"/>
          <w:szCs w:val="32"/>
          <w:lang w:val="zh-CN"/>
        </w:rPr>
        <w:t>466.03</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5C4B1480">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475E516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本年支出471.05万元，其中：基本支出365.38万元，占77.57%；项目支出105.66万元，占22.43%；上缴上级支出0.00万元，占0.00%；经营支出0.00万元，占0.00%；对附属单位补助支出0.00万元，占0.00%。</w:t>
      </w:r>
    </w:p>
    <w:p w14:paraId="0866EE7D">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6FD7D8BF">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476.77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10.74</w:t>
      </w:r>
      <w:r>
        <w:rPr>
          <w:rFonts w:hint="eastAsia" w:ascii="仿宋_GB2312" w:eastAsia="仿宋_GB2312"/>
          <w:sz w:val="32"/>
          <w:szCs w:val="32"/>
        </w:rPr>
        <w:t>万元，本年财政拨款收入</w:t>
      </w:r>
      <w:r>
        <w:rPr>
          <w:rFonts w:hint="eastAsia" w:ascii="仿宋_GB2312" w:eastAsia="仿宋_GB2312"/>
          <w:sz w:val="32"/>
          <w:szCs w:val="32"/>
          <w:lang w:val="zh-CN"/>
        </w:rPr>
        <w:t>466.03</w:t>
      </w:r>
      <w:r>
        <w:rPr>
          <w:rFonts w:hint="eastAsia" w:ascii="仿宋_GB2312" w:eastAsia="仿宋_GB2312"/>
          <w:sz w:val="32"/>
          <w:szCs w:val="32"/>
        </w:rPr>
        <w:t>万元。财政拨款支出总计</w:t>
      </w:r>
      <w:r>
        <w:rPr>
          <w:rFonts w:hint="eastAsia" w:ascii="仿宋_GB2312" w:eastAsia="仿宋_GB2312"/>
          <w:sz w:val="32"/>
          <w:szCs w:val="32"/>
          <w:lang w:val="zh-CN"/>
        </w:rPr>
        <w:t>476.77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5.72</w:t>
      </w:r>
      <w:r>
        <w:rPr>
          <w:rFonts w:hint="eastAsia" w:ascii="仿宋_GB2312" w:eastAsia="仿宋_GB2312"/>
          <w:sz w:val="32"/>
          <w:szCs w:val="32"/>
        </w:rPr>
        <w:t>万元，本年财政拨款支出</w:t>
      </w:r>
      <w:r>
        <w:rPr>
          <w:rFonts w:hint="eastAsia" w:ascii="仿宋_GB2312" w:eastAsia="仿宋_GB2312"/>
          <w:sz w:val="32"/>
          <w:szCs w:val="32"/>
          <w:lang w:val="zh-CN"/>
        </w:rPr>
        <w:t>471.05</w:t>
      </w:r>
      <w:r>
        <w:rPr>
          <w:rFonts w:hint="eastAsia" w:ascii="仿宋_GB2312" w:eastAsia="仿宋_GB2312"/>
          <w:sz w:val="32"/>
          <w:szCs w:val="32"/>
        </w:rPr>
        <w:t>万元。</w:t>
      </w:r>
    </w:p>
    <w:p w14:paraId="46A2FF16">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增加180.62万元</w:t>
      </w:r>
      <w:r>
        <w:rPr>
          <w:rFonts w:hint="eastAsia" w:ascii="仿宋_GB2312" w:eastAsia="仿宋_GB2312"/>
          <w:sz w:val="32"/>
          <w:szCs w:val="32"/>
        </w:rPr>
        <w:t>，增长60.99%,主要原因是：本年单位增加晚报征订及投递项目经费；单位人员增加，人员工资、津补贴等人员经费较上年增加。与年初预算相比，年初预算数</w:t>
      </w:r>
      <w:r>
        <w:rPr>
          <w:rFonts w:hint="eastAsia" w:ascii="仿宋_GB2312" w:eastAsia="仿宋_GB2312"/>
          <w:sz w:val="32"/>
          <w:szCs w:val="32"/>
          <w:lang w:val="zh-CN"/>
        </w:rPr>
        <w:t>283.31</w:t>
      </w:r>
      <w:r>
        <w:rPr>
          <w:rFonts w:hint="eastAsia" w:ascii="仿宋_GB2312" w:eastAsia="仿宋_GB2312"/>
          <w:sz w:val="32"/>
          <w:szCs w:val="32"/>
        </w:rPr>
        <w:t>万元，决算数</w:t>
      </w:r>
      <w:r>
        <w:rPr>
          <w:rFonts w:hint="eastAsia" w:ascii="仿宋_GB2312" w:eastAsia="仿宋_GB2312"/>
          <w:sz w:val="32"/>
          <w:szCs w:val="32"/>
          <w:lang w:val="zh-CN"/>
        </w:rPr>
        <w:t>476.77</w:t>
      </w:r>
      <w:r>
        <w:rPr>
          <w:rFonts w:hint="eastAsia" w:ascii="仿宋_GB2312" w:eastAsia="仿宋_GB2312"/>
          <w:sz w:val="32"/>
          <w:szCs w:val="32"/>
        </w:rPr>
        <w:t>万元，预决算差异率68.29%，主要原因是：单位人员增加，年中追加人员工资、津补贴等人员经费。</w:t>
      </w:r>
    </w:p>
    <w:p w14:paraId="7620D7D0">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65044B2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0C53764">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2023年度一般公共预算财政拨款支出471.05万元，占本年支出合计的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增加185.64万元</w:t>
      </w:r>
      <w:r>
        <w:rPr>
          <w:rFonts w:hint="eastAsia" w:ascii="仿宋_GB2312" w:eastAsia="仿宋_GB2312"/>
          <w:sz w:val="32"/>
          <w:szCs w:val="32"/>
        </w:rPr>
        <w:t>，增长65.04%,主要原因是：本年单位增加晚报征订及投递项目经费；单位人员增加，人员工资、津补贴等人员经费较上年增加。与年初预算相比，年初预算数</w:t>
      </w:r>
      <w:r>
        <w:rPr>
          <w:rFonts w:hint="eastAsia" w:ascii="仿宋_GB2312" w:eastAsia="仿宋_GB2312"/>
          <w:sz w:val="32"/>
          <w:szCs w:val="32"/>
          <w:lang w:val="zh-CN"/>
        </w:rPr>
        <w:t>283.31</w:t>
      </w:r>
      <w:r>
        <w:rPr>
          <w:rFonts w:hint="eastAsia" w:ascii="仿宋_GB2312" w:eastAsia="仿宋_GB2312"/>
          <w:sz w:val="32"/>
          <w:szCs w:val="32"/>
        </w:rPr>
        <w:t>万元，决算数</w:t>
      </w:r>
      <w:r>
        <w:rPr>
          <w:rFonts w:hint="eastAsia" w:ascii="仿宋_GB2312" w:eastAsia="仿宋_GB2312"/>
          <w:sz w:val="32"/>
          <w:szCs w:val="32"/>
          <w:lang w:val="zh-CN"/>
        </w:rPr>
        <w:t>471.05</w:t>
      </w:r>
      <w:r>
        <w:rPr>
          <w:rFonts w:hint="eastAsia" w:ascii="仿宋_GB2312" w:eastAsia="仿宋_GB2312"/>
          <w:sz w:val="32"/>
          <w:szCs w:val="32"/>
        </w:rPr>
        <w:t>万元，预决算差异率</w:t>
      </w:r>
      <w:r>
        <w:rPr>
          <w:rFonts w:hint="eastAsia" w:ascii="仿宋_GB2312" w:eastAsia="仿宋_GB2312"/>
          <w:sz w:val="32"/>
          <w:szCs w:val="32"/>
          <w:lang w:val="zh-CN"/>
        </w:rPr>
        <w:t>66.27%</w:t>
      </w:r>
      <w:r>
        <w:rPr>
          <w:rFonts w:hint="eastAsia" w:ascii="仿宋_GB2312" w:eastAsia="仿宋_GB2312"/>
          <w:sz w:val="32"/>
          <w:szCs w:val="32"/>
        </w:rPr>
        <w:t>，主要原因是：单位人员增加，年中追加人员工资、津补贴等人员经费。</w:t>
      </w:r>
    </w:p>
    <w:p w14:paraId="58EAF80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93B0D53">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337.72</w:t>
      </w:r>
      <w:r>
        <w:rPr>
          <w:rFonts w:ascii="仿宋_GB2312" w:eastAsia="仿宋_GB2312"/>
          <w:kern w:val="2"/>
          <w:sz w:val="32"/>
          <w:szCs w:val="32"/>
          <w:lang w:val="zh-CN"/>
        </w:rPr>
        <w:t>万元，占</w:t>
      </w:r>
      <w:r>
        <w:rPr>
          <w:rFonts w:hint="eastAsia" w:ascii="仿宋_GB2312" w:eastAsia="仿宋_GB2312"/>
          <w:kern w:val="2"/>
          <w:sz w:val="32"/>
          <w:szCs w:val="32"/>
          <w:lang w:val="zh-CN"/>
        </w:rPr>
        <w:t>71.70%</w:t>
      </w:r>
      <w:r>
        <w:rPr>
          <w:rFonts w:ascii="仿宋_GB2312" w:eastAsia="仿宋_GB2312"/>
          <w:kern w:val="2"/>
          <w:sz w:val="32"/>
          <w:szCs w:val="32"/>
          <w:lang w:val="zh-CN"/>
        </w:rPr>
        <w:t>；</w:t>
      </w:r>
    </w:p>
    <w:p w14:paraId="28C6484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105.71</w:t>
      </w:r>
      <w:r>
        <w:rPr>
          <w:rFonts w:ascii="仿宋_GB2312" w:eastAsia="仿宋_GB2312"/>
          <w:kern w:val="2"/>
          <w:sz w:val="32"/>
          <w:szCs w:val="32"/>
          <w:lang w:val="zh-CN"/>
        </w:rPr>
        <w:t>万元，占</w:t>
      </w:r>
      <w:r>
        <w:rPr>
          <w:rFonts w:hint="eastAsia" w:ascii="仿宋_GB2312" w:eastAsia="仿宋_GB2312"/>
          <w:kern w:val="2"/>
          <w:sz w:val="32"/>
          <w:szCs w:val="32"/>
          <w:lang w:val="zh-CN"/>
        </w:rPr>
        <w:t>22.44%</w:t>
      </w:r>
      <w:r>
        <w:rPr>
          <w:rFonts w:ascii="仿宋_GB2312" w:eastAsia="仿宋_GB2312"/>
          <w:kern w:val="2"/>
          <w:sz w:val="32"/>
          <w:szCs w:val="32"/>
          <w:lang w:val="zh-CN"/>
        </w:rPr>
        <w:t>；</w:t>
      </w:r>
    </w:p>
    <w:p w14:paraId="59D064D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27.61</w:t>
      </w:r>
      <w:r>
        <w:rPr>
          <w:rFonts w:ascii="仿宋_GB2312" w:eastAsia="仿宋_GB2312"/>
          <w:kern w:val="2"/>
          <w:sz w:val="32"/>
          <w:szCs w:val="32"/>
          <w:lang w:val="zh-CN"/>
        </w:rPr>
        <w:t>万元，占</w:t>
      </w:r>
      <w:r>
        <w:rPr>
          <w:rFonts w:hint="eastAsia" w:ascii="仿宋_GB2312" w:eastAsia="仿宋_GB2312"/>
          <w:kern w:val="2"/>
          <w:sz w:val="32"/>
          <w:szCs w:val="32"/>
          <w:lang w:val="zh-CN"/>
        </w:rPr>
        <w:t>5.86%。</w:t>
      </w:r>
    </w:p>
    <w:p w14:paraId="2E22F82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E97633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1.一般公共服务支出（类）宣传事务（款）事业运行（项）:支出决算数为129.42万元，比上年决算增加129.42万元，增长100%，主要原因是：</w:t>
      </w:r>
      <w:r>
        <w:rPr>
          <w:rFonts w:hint="eastAsia" w:ascii="仿宋_GB2312" w:hAnsi="仿宋_GB2312" w:eastAsia="仿宋_GB2312" w:cs="仿宋_GB2312"/>
          <w:sz w:val="32"/>
          <w:szCs w:val="32"/>
          <w:lang w:val="zh-CN"/>
        </w:rPr>
        <w:t>科目调整细化，本年事业编人员工资、津补贴等事业人员经费调整至本科目。</w:t>
      </w:r>
    </w:p>
    <w:p w14:paraId="60C6D7E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2.文化旅游体育与传媒支出（类）其他文化旅游体育与传媒支出（款）宣传文化发展专项支出（项）:支出决算数为89.46万元，比上年决算增加85.33万元，增长2,066.10%，主要原因是：</w:t>
      </w:r>
      <w:r>
        <w:rPr>
          <w:rFonts w:hint="eastAsia" w:ascii="仿宋_GB2312" w:eastAsia="仿宋_GB2312"/>
          <w:sz w:val="32"/>
          <w:szCs w:val="32"/>
        </w:rPr>
        <w:t>本年单位增加晚报征订及投递项目经费</w:t>
      </w:r>
      <w:r>
        <w:rPr>
          <w:rFonts w:hint="eastAsia" w:ascii="仿宋_GB2312" w:hAnsi="仿宋_GB2312" w:eastAsia="仿宋_GB2312" w:cs="仿宋_GB2312"/>
          <w:sz w:val="32"/>
          <w:szCs w:val="32"/>
          <w:lang w:val="zh-CN"/>
        </w:rPr>
        <w:t>。</w:t>
      </w:r>
    </w:p>
    <w:p w14:paraId="475684D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3.文化旅游体育与传媒支出（类）其他文化旅游体育与传媒支出（款）其他文化旅游体育与传媒支出（项）:支出决算数为16.25万元，比上年决算增加16.25万元，增长100%，主要原因是：本年单位增加</w:t>
      </w:r>
      <w:r>
        <w:rPr>
          <w:rFonts w:hint="eastAsia" w:ascii="仿宋_GB2312" w:hAnsi="仿宋_GB2312" w:eastAsia="仿宋_GB2312" w:cs="仿宋_GB2312"/>
          <w:sz w:val="32"/>
          <w:szCs w:val="32"/>
          <w:lang w:val="zh-CN"/>
        </w:rPr>
        <w:t>中央补助地方公共文化服务体系建设补助资金。</w:t>
      </w:r>
    </w:p>
    <w:p w14:paraId="5D336C4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4.一般公共服务支出（类）宣传事务（款）行政运行（项）:支出决算数为208.30万元，比上年决算减少33.59万元，下降13.89%，主要原因是：</w:t>
      </w:r>
      <w:r>
        <w:rPr>
          <w:rFonts w:hint="eastAsia" w:ascii="仿宋_GB2312" w:hAnsi="仿宋_GB2312" w:eastAsia="仿宋_GB2312" w:cs="仿宋_GB2312"/>
          <w:sz w:val="32"/>
          <w:szCs w:val="32"/>
          <w:lang w:val="zh-CN"/>
        </w:rPr>
        <w:t>科目调整细化，本年将事业编人员工资、津补贴等事业人员经费调整至</w:t>
      </w:r>
      <w:r>
        <w:rPr>
          <w:rFonts w:hint="eastAsia" w:ascii="仿宋_GB2312" w:hAnsi="仿宋_GB2312" w:eastAsia="仿宋_GB2312" w:cs="仿宋_GB2312"/>
          <w:sz w:val="32"/>
          <w:szCs w:val="32"/>
        </w:rPr>
        <w:t>事业运行</w:t>
      </w:r>
      <w:r>
        <w:rPr>
          <w:rFonts w:hint="eastAsia" w:ascii="仿宋_GB2312" w:hAnsi="仿宋_GB2312" w:eastAsia="仿宋_GB2312" w:cs="仿宋_GB2312"/>
          <w:sz w:val="32"/>
          <w:szCs w:val="32"/>
          <w:lang w:val="zh-CN"/>
        </w:rPr>
        <w:t>。</w:t>
      </w:r>
    </w:p>
    <w:p w14:paraId="18CE75E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5.社会保障和就业支出（类）行政事业单位养老支出（款）机关事业单位基本养老保险缴费支出（项）:支出决算数为27.61万元，比上年决算增加3.47万元，增长14.37%，主要原因是：</w:t>
      </w:r>
      <w:r>
        <w:rPr>
          <w:rFonts w:hint="eastAsia" w:ascii="仿宋_GB2312" w:hAnsi="仿宋_GB2312" w:eastAsia="仿宋_GB2312" w:cs="仿宋_GB2312"/>
          <w:sz w:val="32"/>
          <w:szCs w:val="32"/>
          <w:lang w:val="zh-CN"/>
        </w:rPr>
        <w:t>单位人员增加，人员</w:t>
      </w:r>
      <w:r>
        <w:rPr>
          <w:rFonts w:hint="eastAsia" w:ascii="仿宋_GB2312" w:hAnsi="仿宋_GB2312" w:eastAsia="仿宋_GB2312" w:cs="仿宋_GB2312"/>
          <w:sz w:val="32"/>
          <w:szCs w:val="32"/>
        </w:rPr>
        <w:t>养老保险缴费增加</w:t>
      </w:r>
      <w:r>
        <w:rPr>
          <w:rFonts w:hint="eastAsia" w:ascii="仿宋_GB2312" w:hAnsi="仿宋_GB2312" w:eastAsia="仿宋_GB2312" w:cs="仿宋_GB2312"/>
          <w:sz w:val="32"/>
          <w:szCs w:val="32"/>
          <w:lang w:val="zh-CN"/>
        </w:rPr>
        <w:t>。</w:t>
      </w:r>
    </w:p>
    <w:p w14:paraId="438EE88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6.一般公共服务支出（类）宣传事务（款）一般行政管理事务（项）:支出决算数为0.00万元，比上年决算减少2.81万元，下降100%，主要原因是：</w:t>
      </w:r>
      <w:r>
        <w:rPr>
          <w:rFonts w:hint="eastAsia" w:ascii="仿宋_GB2312" w:eastAsia="仿宋_GB2312"/>
          <w:sz w:val="32"/>
          <w:szCs w:val="32"/>
          <w:lang w:val="zh-CN"/>
        </w:rPr>
        <w:t>单位科目调整，本年减少为民办实事业务经费</w:t>
      </w:r>
      <w:r>
        <w:rPr>
          <w:rFonts w:hint="eastAsia" w:ascii="仿宋_GB2312" w:hAnsi="仿宋_GB2312" w:eastAsia="仿宋_GB2312" w:cs="仿宋_GB2312"/>
          <w:sz w:val="32"/>
          <w:szCs w:val="32"/>
          <w:lang w:val="zh-CN"/>
        </w:rPr>
        <w:t>。</w:t>
      </w:r>
    </w:p>
    <w:p w14:paraId="5C7B5E4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7.一般公共服务支出（类）宣传事务（款）宣传管理（项）:支出决算数为0.00万元，比上年决算减少12.44万元，下降100%，主要原因是：</w:t>
      </w:r>
      <w:r>
        <w:rPr>
          <w:rFonts w:hint="eastAsia" w:ascii="仿宋_GB2312" w:eastAsia="仿宋_GB2312"/>
          <w:sz w:val="32"/>
          <w:szCs w:val="32"/>
          <w:lang w:val="zh-CN"/>
        </w:rPr>
        <w:t>单位科目调整，本年减少宣传思想工作经费</w:t>
      </w:r>
      <w:r>
        <w:rPr>
          <w:rFonts w:hint="eastAsia" w:ascii="仿宋_GB2312" w:hAnsi="仿宋_GB2312" w:eastAsia="仿宋_GB2312" w:cs="仿宋_GB2312"/>
          <w:sz w:val="32"/>
          <w:szCs w:val="32"/>
          <w:lang w:val="zh-CN"/>
        </w:rPr>
        <w:t>。</w:t>
      </w:r>
    </w:p>
    <w:p w14:paraId="03DDB95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C1B303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365.38万元，其中：人员经费309.28万元，包括：基本工资、津贴补贴、奖金、绩效工资、机关事业单位基本养老保险缴费、职工基本医疗保险缴费、公务员医疗补助缴费、其他社会保障缴费、住房公积金、生活补助、奖励金。</w:t>
      </w:r>
    </w:p>
    <w:p w14:paraId="7E9A0D4A">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公用经费56.10万元，包括：办公费、印刷费、邮电费、差旅费、租赁费、专用材料费、委托业务费、工会经费、福利费、公务用车运行维护费、其他交通费用、其他商品和服务支出</w:t>
      </w:r>
      <w:r>
        <w:rPr>
          <w:rFonts w:hint="eastAsia" w:ascii="仿宋_GB2312" w:hAnsi="宋体" w:eastAsia="仿宋_GB2312" w:cs="宋体"/>
          <w:kern w:val="0"/>
          <w:sz w:val="32"/>
          <w:szCs w:val="32"/>
        </w:rPr>
        <w:t>。</w:t>
      </w:r>
    </w:p>
    <w:p w14:paraId="76FCC15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991674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“三公”经费支出4.77万元，</w:t>
      </w:r>
      <w:r>
        <w:rPr>
          <w:rFonts w:hint="eastAsia" w:ascii="仿宋_GB2312" w:eastAsia="仿宋_GB2312"/>
          <w:sz w:val="32"/>
          <w:szCs w:val="32"/>
        </w:rPr>
        <w:t>比上年</w:t>
      </w:r>
      <w:r>
        <w:rPr>
          <w:rFonts w:hint="eastAsia" w:ascii="仿宋_GB2312" w:eastAsia="仿宋_GB2312"/>
          <w:sz w:val="32"/>
          <w:szCs w:val="32"/>
          <w:lang w:val="zh-CN"/>
        </w:rPr>
        <w:t>增加1.87万元，</w:t>
      </w:r>
      <w:r>
        <w:rPr>
          <w:rFonts w:hint="eastAsia" w:ascii="仿宋_GB2312" w:eastAsia="仿宋_GB2312"/>
          <w:sz w:val="32"/>
          <w:szCs w:val="32"/>
        </w:rPr>
        <w:t>增长64.48%,</w:t>
      </w:r>
      <w:r>
        <w:rPr>
          <w:rFonts w:hint="eastAsia" w:ascii="仿宋_GB2312" w:eastAsia="仿宋_GB2312"/>
          <w:sz w:val="32"/>
          <w:szCs w:val="32"/>
          <w:lang w:val="zh-CN"/>
        </w:rPr>
        <w:t>主要原因是：</w:t>
      </w:r>
      <w:bookmarkStart w:id="18" w:name="_Hlk176444232"/>
      <w:r>
        <w:rPr>
          <w:rFonts w:hint="eastAsia" w:ascii="仿宋_GB2312" w:eastAsia="仿宋_GB2312"/>
          <w:sz w:val="32"/>
          <w:szCs w:val="32"/>
          <w:lang w:val="zh-CN"/>
        </w:rPr>
        <w:t>车辆老化，车辆维修费、燃油费等较上年增加</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主要原因是：本年无此项经费；公务用车购置及运行维护费支出4.77万元，占100.00%，比上年增加1.87万元，</w:t>
      </w:r>
      <w:r>
        <w:rPr>
          <w:rFonts w:hint="eastAsia" w:ascii="仿宋_GB2312" w:eastAsia="仿宋_GB2312"/>
          <w:sz w:val="32"/>
          <w:szCs w:val="32"/>
        </w:rPr>
        <w:t>增长64.48%,</w:t>
      </w:r>
      <w:r>
        <w:rPr>
          <w:rFonts w:hint="eastAsia" w:ascii="仿宋_GB2312" w:eastAsia="仿宋_GB2312"/>
          <w:sz w:val="32"/>
          <w:szCs w:val="32"/>
          <w:lang w:val="zh-CN"/>
        </w:rPr>
        <w:t>主要原因是：车辆老化，车辆维修费、燃油费等较上年增加；公务接待费支出0.00万元，占0.00%，比上年增加0.00万元，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3A346F8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8A677B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754C5943">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公务用车购置及运行维护费4.77万元，其中：公务用车购置费0.00万元，公务用车运行维护费4.77万元。公务用车运行维护费开支内容包括</w:t>
      </w:r>
      <w:bookmarkStart w:id="19" w:name="_Hlk176442988"/>
      <w:r>
        <w:rPr>
          <w:rFonts w:hint="eastAsia" w:ascii="仿宋_GB2312" w:eastAsia="仿宋_GB2312" w:cs="仿宋_GB2312"/>
          <w:kern w:val="0"/>
          <w:sz w:val="32"/>
          <w:szCs w:val="32"/>
        </w:rPr>
        <w:t>公务用车燃油费、车辆维修维护费、保险费、过路费等</w:t>
      </w:r>
      <w:bookmarkEnd w:id="19"/>
      <w:r>
        <w:rPr>
          <w:rFonts w:hint="eastAsia" w:ascii="仿宋_GB2312" w:eastAsia="仿宋_GB2312"/>
          <w:sz w:val="32"/>
          <w:szCs w:val="32"/>
          <w:lang w:val="zh-CN"/>
        </w:rPr>
        <w:t>。公务用车购置数0辆，公务用车保有量2辆。国有资产占用情况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5辆，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原因是：差异车辆为3辆，属于业务用车，未使用财政拨款公务用车运行维护费。</w:t>
      </w:r>
    </w:p>
    <w:p w14:paraId="0D0943B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3778B92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预算数4.77万元，决算数4.77万元，预决算差异率0.00%，主要原因是：</w:t>
      </w:r>
      <w:bookmarkStart w:id="20" w:name="_Hlk176443013"/>
      <w:r>
        <w:rPr>
          <w:rFonts w:hint="eastAsia" w:ascii="仿宋_GB2312" w:eastAsia="仿宋_GB2312"/>
          <w:sz w:val="32"/>
          <w:szCs w:val="32"/>
          <w:lang w:val="zh-CN"/>
        </w:rPr>
        <w:t>本年严格按年初预算执行“三公”经费，预决算对比无差异</w:t>
      </w:r>
      <w:bookmarkEnd w:id="20"/>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预算数4.77万元，决算数4.77万元，预决算差异率0.00%，主要原因是：本年严格按年初预算执行“三公”经费，预决算对比无差异；公务接待费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2D63BA93">
      <w:pPr>
        <w:ind w:firstLine="640" w:firstLineChars="200"/>
        <w:jc w:val="left"/>
        <w:outlineLvl w:val="1"/>
        <w:rPr>
          <w:rFonts w:hint="eastAsia" w:ascii="黑体" w:hAnsi="黑体" w:eastAsia="黑体" w:cs="宋体"/>
          <w:bCs/>
          <w:kern w:val="0"/>
          <w:sz w:val="32"/>
          <w:szCs w:val="32"/>
        </w:rPr>
      </w:pPr>
      <w:bookmarkStart w:id="21" w:name="_Toc5810"/>
      <w:bookmarkStart w:id="22" w:name="_Toc7927"/>
      <w:r>
        <w:rPr>
          <w:rFonts w:hint="eastAsia" w:ascii="黑体" w:hAnsi="黑体" w:eastAsia="黑体" w:cs="宋体"/>
          <w:bCs/>
          <w:kern w:val="0"/>
          <w:sz w:val="32"/>
          <w:szCs w:val="32"/>
        </w:rPr>
        <w:t>八、政府性基金预算财政拨款收入支出决算情况说明</w:t>
      </w:r>
      <w:bookmarkEnd w:id="21"/>
      <w:bookmarkEnd w:id="22"/>
    </w:p>
    <w:p w14:paraId="2E341E4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34A6E9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822C40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68EBB2B">
      <w:pPr>
        <w:ind w:firstLine="640" w:firstLineChars="200"/>
        <w:jc w:val="left"/>
        <w:outlineLvl w:val="1"/>
        <w:rPr>
          <w:rFonts w:hint="eastAsia" w:ascii="黑体" w:hAnsi="黑体" w:eastAsia="黑体" w:cs="宋体"/>
          <w:bCs/>
          <w:kern w:val="0"/>
          <w:sz w:val="32"/>
          <w:szCs w:val="32"/>
        </w:rPr>
      </w:pPr>
      <w:bookmarkStart w:id="23" w:name="_Toc7314"/>
      <w:bookmarkStart w:id="24" w:name="_Toc1235"/>
      <w:r>
        <w:rPr>
          <w:rFonts w:hint="eastAsia" w:ascii="黑体" w:hAnsi="黑体" w:eastAsia="黑体" w:cs="宋体"/>
          <w:bCs/>
          <w:kern w:val="0"/>
          <w:sz w:val="32"/>
          <w:szCs w:val="32"/>
        </w:rPr>
        <w:t>十、其他重要事项的情况说明</w:t>
      </w:r>
      <w:bookmarkEnd w:id="23"/>
      <w:bookmarkEnd w:id="24"/>
    </w:p>
    <w:p w14:paraId="1CAF3E82">
      <w:pPr>
        <w:ind w:firstLine="640" w:firstLineChars="200"/>
        <w:jc w:val="left"/>
        <w:outlineLvl w:val="2"/>
        <w:rPr>
          <w:rFonts w:hint="eastAsia" w:ascii="黑体" w:hAnsi="黑体" w:eastAsia="黑体"/>
          <w:sz w:val="32"/>
          <w:szCs w:val="32"/>
        </w:rPr>
      </w:pPr>
      <w:bookmarkStart w:id="25" w:name="_Toc14519"/>
      <w:bookmarkStart w:id="26" w:name="_Toc13105"/>
      <w:r>
        <w:rPr>
          <w:rFonts w:hint="eastAsia" w:ascii="黑体" w:hAnsi="黑体" w:eastAsia="黑体"/>
          <w:sz w:val="32"/>
          <w:szCs w:val="32"/>
        </w:rPr>
        <w:t>（一）机关运行经费支出情况</w:t>
      </w:r>
      <w:bookmarkEnd w:id="25"/>
      <w:bookmarkEnd w:id="26"/>
    </w:p>
    <w:p w14:paraId="09FDCB8F">
      <w:pPr>
        <w:ind w:firstLine="640" w:firstLineChars="200"/>
        <w:rPr>
          <w:rFonts w:hint="eastAsia" w:ascii="仿宋_GB2312" w:hAnsi="仿宋_GB2312" w:eastAsia="仿宋_GB2312" w:cs="仿宋_GB2312"/>
          <w:sz w:val="32"/>
          <w:szCs w:val="32"/>
          <w:lang w:val="zh-CN"/>
        </w:rPr>
      </w:pPr>
      <w:bookmarkStart w:id="27" w:name="_Toc227"/>
      <w:bookmarkStart w:id="28"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中共乌鲁木齐市米东区委员会宣传部（行政单位和参照公务员法管理事业单位）机关运行经费支出56.10万元，</w:t>
      </w:r>
      <w:r>
        <w:rPr>
          <w:rFonts w:hint="eastAsia" w:ascii="仿宋_GB2312" w:hAnsi="仿宋_GB2312" w:eastAsia="仿宋_GB2312" w:cs="仿宋_GB2312"/>
          <w:sz w:val="32"/>
          <w:szCs w:val="32"/>
          <w:lang w:val="zh-CN"/>
        </w:rPr>
        <w:t>比上年增加50.08万元，增长831.89%，主要原因是：本年单位办公经费、印刷费、</w:t>
      </w:r>
      <w:r>
        <w:rPr>
          <w:rFonts w:hint="eastAsia" w:ascii="仿宋_GB2312" w:eastAsia="仿宋_GB2312"/>
          <w:sz w:val="32"/>
          <w:szCs w:val="32"/>
        </w:rPr>
        <w:t>专用材料费、公务用车运行维护费等较上年增加</w:t>
      </w:r>
      <w:r>
        <w:rPr>
          <w:rFonts w:hint="eastAsia" w:ascii="仿宋_GB2312" w:hAnsi="仿宋_GB2312" w:eastAsia="仿宋_GB2312" w:cs="仿宋_GB2312"/>
          <w:sz w:val="32"/>
          <w:szCs w:val="32"/>
          <w:lang w:val="zh-CN"/>
        </w:rPr>
        <w:t>。</w:t>
      </w:r>
    </w:p>
    <w:p w14:paraId="34A07ADB">
      <w:pPr>
        <w:ind w:firstLine="640" w:firstLineChars="200"/>
        <w:jc w:val="left"/>
        <w:rPr>
          <w:rFonts w:eastAsia="黑体"/>
          <w:sz w:val="32"/>
          <w:szCs w:val="30"/>
          <w:lang w:val="zh-CN"/>
        </w:rPr>
      </w:pPr>
      <w:r>
        <w:rPr>
          <w:rFonts w:hint="eastAsia" w:eastAsia="黑体"/>
          <w:sz w:val="32"/>
          <w:szCs w:val="30"/>
          <w:lang w:val="zh-CN"/>
        </w:rPr>
        <w:t>（二）政府采购情况</w:t>
      </w:r>
      <w:bookmarkEnd w:id="27"/>
      <w:bookmarkEnd w:id="28"/>
    </w:p>
    <w:p w14:paraId="0B95F0F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2023年度政府采购支出总额79.92万元，其中：政府采购货物支出5.44万元、政府采购工程支出11.26万元、政府采购服务支出63.22万元。</w:t>
      </w:r>
    </w:p>
    <w:p w14:paraId="1249D93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授予中小企业合同金额79.71万元，占政府采购支出总额的99.74%，其中：授予小微企业合同金额78.90万元，占政府采购支出总额的98.72%</w:t>
      </w:r>
      <w:r>
        <w:rPr>
          <w:rFonts w:hint="eastAsia" w:ascii="仿宋_GB2312" w:hAnsi="仿宋_GB2312" w:eastAsia="仿宋_GB2312" w:cs="仿宋_GB2312"/>
          <w:sz w:val="32"/>
          <w:szCs w:val="32"/>
        </w:rPr>
        <w:t>。</w:t>
      </w:r>
    </w:p>
    <w:p w14:paraId="361E261C">
      <w:pPr>
        <w:ind w:firstLine="640" w:firstLineChars="200"/>
        <w:jc w:val="left"/>
        <w:outlineLvl w:val="2"/>
        <w:rPr>
          <w:rFonts w:hint="eastAsia" w:ascii="黑体" w:hAnsi="黑体" w:eastAsia="黑体"/>
          <w:sz w:val="32"/>
          <w:szCs w:val="32"/>
        </w:rPr>
      </w:pPr>
      <w:bookmarkStart w:id="29" w:name="_Toc8391"/>
      <w:bookmarkStart w:id="30" w:name="_Toc4591"/>
      <w:r>
        <w:rPr>
          <w:rFonts w:hint="eastAsia" w:ascii="黑体" w:hAnsi="黑体" w:eastAsia="黑体"/>
          <w:sz w:val="32"/>
          <w:szCs w:val="32"/>
        </w:rPr>
        <w:t>（三）国有资产占用情况说明</w:t>
      </w:r>
      <w:bookmarkEnd w:id="29"/>
      <w:bookmarkEnd w:id="30"/>
    </w:p>
    <w:p w14:paraId="3DA8DCE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404.18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屋0.00平方米，价值0.00万元。车辆5辆，价值86.72万元，其中：副部（省）级及以上领导用车0辆、主要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用车0辆、其他用车5辆，其他用车主要是：单位业务用车；单价100万元（含）以上设备（不含车辆）0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23091B9">
      <w:pPr>
        <w:ind w:firstLine="640" w:firstLineChars="200"/>
        <w:jc w:val="left"/>
        <w:outlineLvl w:val="1"/>
        <w:rPr>
          <w:rFonts w:hint="eastAsia" w:ascii="黑体" w:hAnsi="黑体" w:eastAsia="黑体" w:cs="宋体"/>
          <w:bCs/>
          <w:kern w:val="0"/>
          <w:sz w:val="32"/>
          <w:szCs w:val="32"/>
        </w:rPr>
      </w:pPr>
      <w:bookmarkStart w:id="31" w:name="_Toc435"/>
      <w:bookmarkStart w:id="32" w:name="_Toc11283"/>
      <w:r>
        <w:rPr>
          <w:rFonts w:hint="eastAsia" w:ascii="黑体" w:hAnsi="黑体" w:eastAsia="黑体" w:cs="宋体"/>
          <w:bCs/>
          <w:kern w:val="0"/>
          <w:sz w:val="32"/>
          <w:szCs w:val="32"/>
        </w:rPr>
        <w:t>十一、预算绩效的情况说明</w:t>
      </w:r>
      <w:bookmarkEnd w:id="31"/>
      <w:bookmarkEnd w:id="32"/>
    </w:p>
    <w:p w14:paraId="6C5311F6">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476.7</w:t>
      </w:r>
      <w:r>
        <w:rPr>
          <w:rFonts w:hint="eastAsia" w:ascii="仿宋_GB2312" w:eastAsia="仿宋_GB2312"/>
          <w:sz w:val="32"/>
          <w:szCs w:val="32"/>
        </w:rPr>
        <w:t>6万元，实际执行总额</w:t>
      </w:r>
      <w:r>
        <w:rPr>
          <w:rFonts w:ascii="仿宋_GB2312" w:eastAsia="仿宋_GB2312"/>
          <w:sz w:val="32"/>
          <w:szCs w:val="32"/>
        </w:rPr>
        <w:t>471.05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111.</w:t>
      </w:r>
      <w:r>
        <w:rPr>
          <w:rFonts w:hint="eastAsia" w:ascii="仿宋_GB2312" w:eastAsia="仿宋_GB2312"/>
          <w:sz w:val="32"/>
          <w:szCs w:val="32"/>
        </w:rPr>
        <w:t>4</w:t>
      </w:r>
      <w:r>
        <w:rPr>
          <w:rFonts w:ascii="仿宋_GB2312" w:eastAsia="仿宋_GB2312"/>
          <w:sz w:val="32"/>
          <w:szCs w:val="32"/>
        </w:rPr>
        <w:t>6</w:t>
      </w:r>
      <w:r>
        <w:rPr>
          <w:rFonts w:hint="eastAsia" w:ascii="仿宋_GB2312" w:eastAsia="仿宋_GB2312"/>
          <w:sz w:val="32"/>
          <w:szCs w:val="32"/>
        </w:rPr>
        <w:t>万元，全年执行数</w:t>
      </w:r>
      <w:r>
        <w:rPr>
          <w:rFonts w:ascii="仿宋_GB2312" w:eastAsia="仿宋_GB2312"/>
          <w:sz w:val="32"/>
          <w:szCs w:val="32"/>
        </w:rPr>
        <w:t>105.</w:t>
      </w:r>
      <w:r>
        <w:rPr>
          <w:rFonts w:hint="eastAsia" w:ascii="仿宋_GB2312" w:eastAsia="仿宋_GB2312"/>
          <w:sz w:val="32"/>
          <w:szCs w:val="32"/>
        </w:rPr>
        <w:t>6</w:t>
      </w:r>
      <w:r>
        <w:rPr>
          <w:rFonts w:ascii="仿宋_GB2312" w:eastAsia="仿宋_GB2312"/>
          <w:sz w:val="32"/>
          <w:szCs w:val="32"/>
        </w:rPr>
        <w:t>6</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财务部门职能不明确，由于我单位没有会计，与财政安排代理记账，所以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三是宣传文化引领教育作用发挥有待加强，文化创新力不足、办法不多、传承不够,精神文明创建还有短板。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项目自评情况附绩效自评表及自评报告。</w:t>
      </w:r>
    </w:p>
    <w:p w14:paraId="20E21DAA">
      <w:pPr>
        <w:jc w:val="center"/>
        <w:rPr>
          <w:rFonts w:hint="eastAsia" w:ascii="宋体" w:hAnsi="宋体" w:cs="宋体"/>
          <w:b/>
          <w:bCs/>
          <w:kern w:val="0"/>
          <w:sz w:val="28"/>
          <w:szCs w:val="28"/>
        </w:rPr>
      </w:pPr>
      <w:bookmarkStart w:id="33" w:name="_Hlk174962300"/>
      <w:r>
        <w:rPr>
          <w:rFonts w:hint="eastAsia" w:ascii="宋体" w:hAnsi="宋体" w:cs="宋体"/>
          <w:b/>
          <w:bCs/>
          <w:kern w:val="0"/>
          <w:sz w:val="28"/>
          <w:szCs w:val="28"/>
        </w:rPr>
        <w:t>部门（单位）整体支出绩效目标自评表</w:t>
      </w:r>
    </w:p>
    <w:p w14:paraId="1D98C71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143083B6">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1AB060">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FECFF61">
            <w:pPr>
              <w:jc w:val="center"/>
            </w:pPr>
            <w:r>
              <w:rPr>
                <w:rFonts w:ascii="宋体" w:hAnsi="宋体"/>
                <w:sz w:val="18"/>
              </w:rPr>
              <w:t>米东</w:t>
            </w:r>
            <w:r>
              <w:rPr>
                <w:rFonts w:hint="eastAsia" w:ascii="宋体" w:hAnsi="宋体"/>
                <w:sz w:val="18"/>
                <w:lang w:eastAsia="zh-CN"/>
              </w:rPr>
              <w:t>区委宣传部</w:t>
            </w:r>
            <w:r>
              <w:rPr>
                <w:rFonts w:ascii="宋体" w:hAnsi="宋体"/>
                <w:sz w:val="18"/>
              </w:rPr>
              <w:t>机关</w:t>
            </w:r>
          </w:p>
        </w:tc>
        <w:tc>
          <w:tcPr>
            <w:tcW w:w="284" w:type="dxa"/>
            <w:tcBorders>
              <w:top w:val="nil"/>
              <w:left w:val="nil"/>
              <w:bottom w:val="nil"/>
              <w:right w:val="nil"/>
            </w:tcBorders>
            <w:shd w:val="clear" w:color="auto" w:fill="auto"/>
            <w:noWrap/>
            <w:vAlign w:val="center"/>
          </w:tcPr>
          <w:p w14:paraId="220E2866">
            <w:pPr>
              <w:widowControl/>
              <w:jc w:val="left"/>
              <w:rPr>
                <w:rFonts w:hint="eastAsia" w:ascii="宋体" w:hAnsi="宋体" w:cs="宋体"/>
                <w:b/>
                <w:bCs/>
                <w:kern w:val="0"/>
                <w:sz w:val="18"/>
                <w:szCs w:val="18"/>
              </w:rPr>
            </w:pPr>
          </w:p>
        </w:tc>
      </w:tr>
      <w:tr w14:paraId="743A8F34">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39888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E3676DB">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A7AA007">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6D59F8AB">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2FA5A6F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010237E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D27764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DF1681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1325D85">
            <w:pPr>
              <w:widowControl/>
              <w:jc w:val="center"/>
              <w:rPr>
                <w:rFonts w:hint="eastAsia" w:ascii="宋体" w:hAnsi="宋体" w:cs="宋体"/>
                <w:b/>
                <w:bCs/>
                <w:kern w:val="0"/>
                <w:sz w:val="18"/>
                <w:szCs w:val="18"/>
              </w:rPr>
            </w:pPr>
          </w:p>
        </w:tc>
      </w:tr>
      <w:tr w14:paraId="7047124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94C09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6AC4C20">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0AF12C1D">
            <w:pPr>
              <w:jc w:val="center"/>
            </w:pPr>
            <w:r>
              <w:rPr>
                <w:rFonts w:ascii="宋体" w:hAnsi="宋体"/>
                <w:sz w:val="18"/>
              </w:rPr>
              <w:t>301.38</w:t>
            </w:r>
          </w:p>
        </w:tc>
        <w:tc>
          <w:tcPr>
            <w:tcW w:w="1134" w:type="dxa"/>
            <w:tcBorders>
              <w:top w:val="nil"/>
              <w:left w:val="nil"/>
              <w:bottom w:val="single" w:color="auto" w:sz="4" w:space="0"/>
              <w:right w:val="single" w:color="auto" w:sz="4" w:space="0"/>
            </w:tcBorders>
            <w:shd w:val="clear" w:color="auto" w:fill="auto"/>
            <w:vAlign w:val="center"/>
          </w:tcPr>
          <w:p w14:paraId="613608C2">
            <w:pPr>
              <w:jc w:val="center"/>
            </w:pPr>
            <w:r>
              <w:rPr>
                <w:rFonts w:ascii="宋体" w:hAnsi="宋体"/>
                <w:sz w:val="18"/>
              </w:rPr>
              <w:t>476.76</w:t>
            </w:r>
          </w:p>
        </w:tc>
        <w:tc>
          <w:tcPr>
            <w:tcW w:w="2126" w:type="dxa"/>
            <w:tcBorders>
              <w:top w:val="nil"/>
              <w:left w:val="nil"/>
              <w:bottom w:val="single" w:color="auto" w:sz="4" w:space="0"/>
              <w:right w:val="single" w:color="auto" w:sz="4" w:space="0"/>
            </w:tcBorders>
            <w:shd w:val="clear" w:color="auto" w:fill="auto"/>
            <w:vAlign w:val="center"/>
          </w:tcPr>
          <w:p w14:paraId="70FAEB77">
            <w:pPr>
              <w:jc w:val="center"/>
            </w:pPr>
            <w:r>
              <w:rPr>
                <w:rFonts w:ascii="宋体" w:hAnsi="宋体"/>
                <w:sz w:val="18"/>
              </w:rPr>
              <w:t>471.05</w:t>
            </w:r>
          </w:p>
        </w:tc>
        <w:tc>
          <w:tcPr>
            <w:tcW w:w="1004" w:type="dxa"/>
            <w:tcBorders>
              <w:top w:val="nil"/>
              <w:left w:val="nil"/>
              <w:bottom w:val="single" w:color="auto" w:sz="4" w:space="0"/>
              <w:right w:val="single" w:color="auto" w:sz="4" w:space="0"/>
            </w:tcBorders>
            <w:shd w:val="clear" w:color="auto" w:fill="auto"/>
            <w:vAlign w:val="center"/>
          </w:tcPr>
          <w:p w14:paraId="65283122">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51F1DDC3">
            <w:pPr>
              <w:jc w:val="center"/>
            </w:pPr>
            <w:r>
              <w:rPr>
                <w:rFonts w:ascii="宋体" w:hAnsi="宋体"/>
                <w:sz w:val="18"/>
              </w:rPr>
              <w:t>98.8%</w:t>
            </w:r>
          </w:p>
        </w:tc>
        <w:tc>
          <w:tcPr>
            <w:tcW w:w="720" w:type="dxa"/>
            <w:tcBorders>
              <w:top w:val="nil"/>
              <w:left w:val="nil"/>
              <w:bottom w:val="single" w:color="auto" w:sz="4" w:space="0"/>
              <w:right w:val="single" w:color="auto" w:sz="4" w:space="0"/>
            </w:tcBorders>
            <w:shd w:val="clear" w:color="auto" w:fill="auto"/>
            <w:vAlign w:val="center"/>
          </w:tcPr>
          <w:p w14:paraId="46D557B5">
            <w:pPr>
              <w:jc w:val="center"/>
            </w:pPr>
            <w:r>
              <w:rPr>
                <w:rFonts w:ascii="宋体" w:hAnsi="宋体"/>
                <w:sz w:val="18"/>
              </w:rPr>
              <w:t>9.88</w:t>
            </w:r>
          </w:p>
        </w:tc>
        <w:tc>
          <w:tcPr>
            <w:tcW w:w="284" w:type="dxa"/>
            <w:tcBorders>
              <w:top w:val="nil"/>
              <w:left w:val="nil"/>
              <w:bottom w:val="nil"/>
              <w:right w:val="nil"/>
            </w:tcBorders>
            <w:shd w:val="clear" w:color="auto" w:fill="auto"/>
            <w:noWrap/>
            <w:vAlign w:val="center"/>
          </w:tcPr>
          <w:p w14:paraId="01929ABE">
            <w:pPr>
              <w:widowControl/>
              <w:jc w:val="center"/>
              <w:rPr>
                <w:rFonts w:hint="eastAsia" w:ascii="宋体" w:hAnsi="宋体" w:cs="宋体"/>
                <w:b/>
                <w:bCs/>
                <w:kern w:val="0"/>
                <w:sz w:val="18"/>
                <w:szCs w:val="18"/>
              </w:rPr>
            </w:pPr>
          </w:p>
        </w:tc>
      </w:tr>
      <w:tr w14:paraId="0BA5DAD1">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955B4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9DA9ED0">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230B4F15">
            <w:pPr>
              <w:jc w:val="center"/>
            </w:pPr>
            <w:r>
              <w:rPr>
                <w:rFonts w:ascii="宋体" w:hAnsi="宋体"/>
                <w:sz w:val="18"/>
              </w:rPr>
              <w:t>16.20</w:t>
            </w:r>
          </w:p>
        </w:tc>
        <w:tc>
          <w:tcPr>
            <w:tcW w:w="1134" w:type="dxa"/>
            <w:tcBorders>
              <w:top w:val="nil"/>
              <w:left w:val="nil"/>
              <w:bottom w:val="single" w:color="auto" w:sz="4" w:space="0"/>
              <w:right w:val="single" w:color="auto" w:sz="4" w:space="0"/>
            </w:tcBorders>
            <w:shd w:val="clear" w:color="auto" w:fill="auto"/>
            <w:vAlign w:val="center"/>
          </w:tcPr>
          <w:p w14:paraId="03E590FB">
            <w:pPr>
              <w:jc w:val="center"/>
            </w:pPr>
            <w:r>
              <w:rPr>
                <w:rFonts w:ascii="宋体" w:hAnsi="宋体"/>
                <w:sz w:val="18"/>
              </w:rPr>
              <w:t>16.20</w:t>
            </w:r>
          </w:p>
        </w:tc>
        <w:tc>
          <w:tcPr>
            <w:tcW w:w="2126" w:type="dxa"/>
            <w:tcBorders>
              <w:top w:val="nil"/>
              <w:left w:val="nil"/>
              <w:bottom w:val="single" w:color="auto" w:sz="4" w:space="0"/>
              <w:right w:val="single" w:color="auto" w:sz="4" w:space="0"/>
            </w:tcBorders>
            <w:shd w:val="clear" w:color="auto" w:fill="auto"/>
            <w:vAlign w:val="center"/>
          </w:tcPr>
          <w:p w14:paraId="18F79114">
            <w:pPr>
              <w:jc w:val="center"/>
            </w:pPr>
            <w:r>
              <w:rPr>
                <w:rFonts w:ascii="宋体" w:hAnsi="宋体"/>
                <w:sz w:val="18"/>
              </w:rPr>
              <w:t>16.20</w:t>
            </w:r>
          </w:p>
        </w:tc>
        <w:tc>
          <w:tcPr>
            <w:tcW w:w="1004" w:type="dxa"/>
            <w:tcBorders>
              <w:top w:val="nil"/>
              <w:left w:val="nil"/>
              <w:bottom w:val="single" w:color="auto" w:sz="4" w:space="0"/>
              <w:right w:val="single" w:color="auto" w:sz="4" w:space="0"/>
            </w:tcBorders>
            <w:shd w:val="clear" w:color="auto" w:fill="auto"/>
            <w:vAlign w:val="center"/>
          </w:tcPr>
          <w:p w14:paraId="6C855FF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3BF6D4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1D13CC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3165ACB">
            <w:pPr>
              <w:widowControl/>
              <w:jc w:val="center"/>
              <w:rPr>
                <w:rFonts w:hint="eastAsia" w:ascii="宋体" w:hAnsi="宋体" w:cs="宋体"/>
                <w:kern w:val="0"/>
                <w:sz w:val="18"/>
                <w:szCs w:val="18"/>
              </w:rPr>
            </w:pPr>
          </w:p>
        </w:tc>
      </w:tr>
      <w:tr w14:paraId="60B9FE94">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C838D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038F0A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6374101A">
            <w:pPr>
              <w:jc w:val="center"/>
            </w:pPr>
            <w:r>
              <w:rPr>
                <w:rFonts w:ascii="宋体" w:hAnsi="宋体"/>
                <w:sz w:val="18"/>
              </w:rPr>
              <w:t>1.87</w:t>
            </w:r>
          </w:p>
        </w:tc>
        <w:tc>
          <w:tcPr>
            <w:tcW w:w="1134" w:type="dxa"/>
            <w:tcBorders>
              <w:top w:val="nil"/>
              <w:left w:val="nil"/>
              <w:bottom w:val="single" w:color="auto" w:sz="4" w:space="0"/>
              <w:right w:val="single" w:color="auto" w:sz="4" w:space="0"/>
            </w:tcBorders>
            <w:shd w:val="clear" w:color="auto" w:fill="auto"/>
            <w:vAlign w:val="center"/>
          </w:tcPr>
          <w:p w14:paraId="769A9773">
            <w:pPr>
              <w:jc w:val="center"/>
            </w:pPr>
            <w:r>
              <w:rPr>
                <w:rFonts w:ascii="宋体" w:hAnsi="宋体"/>
                <w:sz w:val="18"/>
              </w:rPr>
              <w:t>0.20</w:t>
            </w:r>
          </w:p>
        </w:tc>
        <w:tc>
          <w:tcPr>
            <w:tcW w:w="2126" w:type="dxa"/>
            <w:tcBorders>
              <w:top w:val="nil"/>
              <w:left w:val="nil"/>
              <w:bottom w:val="single" w:color="auto" w:sz="4" w:space="0"/>
              <w:right w:val="single" w:color="auto" w:sz="4" w:space="0"/>
            </w:tcBorders>
            <w:shd w:val="clear" w:color="auto" w:fill="auto"/>
            <w:vAlign w:val="center"/>
          </w:tcPr>
          <w:p w14:paraId="23B10719">
            <w:pPr>
              <w:jc w:val="center"/>
            </w:pPr>
            <w:r>
              <w:rPr>
                <w:rFonts w:ascii="宋体" w:hAnsi="宋体"/>
                <w:sz w:val="18"/>
              </w:rPr>
              <w:t>0.20</w:t>
            </w:r>
          </w:p>
        </w:tc>
        <w:tc>
          <w:tcPr>
            <w:tcW w:w="1004" w:type="dxa"/>
            <w:tcBorders>
              <w:top w:val="nil"/>
              <w:left w:val="nil"/>
              <w:bottom w:val="single" w:color="auto" w:sz="4" w:space="0"/>
              <w:right w:val="single" w:color="auto" w:sz="4" w:space="0"/>
            </w:tcBorders>
            <w:shd w:val="clear" w:color="auto" w:fill="auto"/>
            <w:vAlign w:val="center"/>
          </w:tcPr>
          <w:p w14:paraId="596A0859">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3CF15F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A8BC56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F210497">
            <w:pPr>
              <w:widowControl/>
              <w:jc w:val="center"/>
              <w:rPr>
                <w:rFonts w:hint="eastAsia" w:ascii="宋体" w:hAnsi="宋体" w:cs="宋体"/>
                <w:kern w:val="0"/>
                <w:sz w:val="18"/>
                <w:szCs w:val="18"/>
              </w:rPr>
            </w:pPr>
          </w:p>
        </w:tc>
      </w:tr>
      <w:tr w14:paraId="139F69C7">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6858F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02AF152">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A78C9F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6E87686">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F17C732">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E41C52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C35F41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CE0E3C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A900F15">
            <w:pPr>
              <w:widowControl/>
              <w:jc w:val="center"/>
              <w:rPr>
                <w:rFonts w:hint="eastAsia" w:ascii="宋体" w:hAnsi="宋体" w:cs="宋体"/>
                <w:kern w:val="0"/>
                <w:sz w:val="18"/>
                <w:szCs w:val="18"/>
              </w:rPr>
            </w:pPr>
          </w:p>
        </w:tc>
      </w:tr>
      <w:tr w14:paraId="3EACD158">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A9C64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2809C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440BE06C">
            <w:pPr>
              <w:jc w:val="center"/>
            </w:pPr>
            <w:r>
              <w:rPr>
                <w:rFonts w:ascii="宋体" w:hAnsi="宋体"/>
                <w:sz w:val="18"/>
              </w:rPr>
              <w:t>283.31</w:t>
            </w:r>
          </w:p>
        </w:tc>
        <w:tc>
          <w:tcPr>
            <w:tcW w:w="1134" w:type="dxa"/>
            <w:tcBorders>
              <w:top w:val="nil"/>
              <w:left w:val="nil"/>
              <w:bottom w:val="single" w:color="auto" w:sz="4" w:space="0"/>
              <w:right w:val="single" w:color="auto" w:sz="4" w:space="0"/>
            </w:tcBorders>
            <w:shd w:val="clear" w:color="auto" w:fill="auto"/>
            <w:vAlign w:val="center"/>
          </w:tcPr>
          <w:p w14:paraId="16AD73DE">
            <w:pPr>
              <w:jc w:val="center"/>
            </w:pPr>
            <w:r>
              <w:rPr>
                <w:rFonts w:ascii="宋体" w:hAnsi="宋体"/>
                <w:sz w:val="18"/>
              </w:rPr>
              <w:t>460.36</w:t>
            </w:r>
          </w:p>
        </w:tc>
        <w:tc>
          <w:tcPr>
            <w:tcW w:w="2126" w:type="dxa"/>
            <w:tcBorders>
              <w:top w:val="nil"/>
              <w:left w:val="nil"/>
              <w:bottom w:val="single" w:color="auto" w:sz="4" w:space="0"/>
              <w:right w:val="single" w:color="auto" w:sz="4" w:space="0"/>
            </w:tcBorders>
            <w:shd w:val="clear" w:color="auto" w:fill="auto"/>
            <w:vAlign w:val="center"/>
          </w:tcPr>
          <w:p w14:paraId="1742BCF4">
            <w:pPr>
              <w:jc w:val="center"/>
            </w:pPr>
            <w:r>
              <w:rPr>
                <w:rFonts w:ascii="宋体" w:hAnsi="宋体"/>
                <w:sz w:val="18"/>
              </w:rPr>
              <w:t>454.65</w:t>
            </w:r>
          </w:p>
        </w:tc>
        <w:tc>
          <w:tcPr>
            <w:tcW w:w="1004" w:type="dxa"/>
            <w:tcBorders>
              <w:top w:val="nil"/>
              <w:left w:val="nil"/>
              <w:bottom w:val="single" w:color="auto" w:sz="4" w:space="0"/>
              <w:right w:val="single" w:color="auto" w:sz="4" w:space="0"/>
            </w:tcBorders>
            <w:shd w:val="clear" w:color="auto" w:fill="auto"/>
            <w:vAlign w:val="center"/>
          </w:tcPr>
          <w:p w14:paraId="7657A40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B3D3E2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786E15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C7FD220">
            <w:pPr>
              <w:widowControl/>
              <w:jc w:val="center"/>
              <w:rPr>
                <w:rFonts w:hint="eastAsia" w:ascii="宋体" w:hAnsi="宋体" w:cs="宋体"/>
                <w:kern w:val="0"/>
                <w:sz w:val="18"/>
                <w:szCs w:val="18"/>
              </w:rPr>
            </w:pPr>
          </w:p>
        </w:tc>
      </w:tr>
      <w:tr w14:paraId="324BF615">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E7EDE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9E2444">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6FE1EF6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9AA7D83">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C9DF9D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3873CA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62E69F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DA43BB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094AA0A">
            <w:pPr>
              <w:widowControl/>
              <w:jc w:val="center"/>
              <w:rPr>
                <w:rFonts w:hint="eastAsia" w:ascii="宋体" w:hAnsi="宋体" w:cs="宋体"/>
                <w:kern w:val="0"/>
                <w:sz w:val="18"/>
                <w:szCs w:val="18"/>
              </w:rPr>
            </w:pPr>
          </w:p>
        </w:tc>
      </w:tr>
      <w:tr w14:paraId="17EAB595">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2C632A">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CE50C6F">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A1AF7C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67A09E6D">
            <w:pPr>
              <w:widowControl/>
              <w:jc w:val="left"/>
              <w:rPr>
                <w:rFonts w:hint="eastAsia" w:ascii="宋体" w:hAnsi="宋体" w:cs="宋体"/>
                <w:b/>
                <w:bCs/>
                <w:kern w:val="0"/>
                <w:sz w:val="18"/>
                <w:szCs w:val="18"/>
              </w:rPr>
            </w:pPr>
          </w:p>
        </w:tc>
      </w:tr>
      <w:tr w14:paraId="1CC4AC8F">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44E3E1">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47E704E8">
            <w:pPr>
              <w:jc w:val="left"/>
            </w:pPr>
            <w:r>
              <w:rPr>
                <w:rFonts w:ascii="宋体" w:hAnsi="宋体"/>
                <w:sz w:val="18"/>
              </w:rPr>
              <w:t>1.加强全区公共文化服务体系建设，做好7个乡镇（81个）农家书屋图书配送到位；2..负责组织实施全区精神文明建设规划、协调、指导创建及全国文明城市创建工作，确保中央迎检顺利通过；3.贯彻落实新闻出版业务的管理政策，监督管理出版物内容和质量，监管印刷业，组织指导协调全区“扫黄打非”工作，全力扫除各类文化垃圾、坚决守好全区意识形态阵地，确保意识形态安全。</w:t>
            </w:r>
          </w:p>
        </w:tc>
        <w:tc>
          <w:tcPr>
            <w:tcW w:w="4689" w:type="dxa"/>
            <w:gridSpan w:val="4"/>
            <w:tcBorders>
              <w:top w:val="single" w:color="auto" w:sz="4" w:space="0"/>
              <w:left w:val="nil"/>
              <w:bottom w:val="single" w:color="auto" w:sz="4" w:space="0"/>
              <w:right w:val="single" w:color="auto" w:sz="4" w:space="0"/>
            </w:tcBorders>
            <w:shd w:val="clear" w:color="auto" w:fill="auto"/>
          </w:tcPr>
          <w:p w14:paraId="04B40DC7">
            <w:pPr>
              <w:jc w:val="left"/>
            </w:pPr>
            <w:r>
              <w:rPr>
                <w:rFonts w:ascii="宋体" w:hAnsi="宋体"/>
                <w:sz w:val="18"/>
              </w:rPr>
              <w:t>1.宣传宣讲持续深化。开展习近平新时代中国特色社会主义思想进万家活动，承接自治区百姓巡回宣讲团、市委“红山之声”百姓巡回宣讲活动和市社科讲堂12场，举办“礼赞党的二十大团结奋进新征程”理论宣讲比赛、“学思践悟二十大团结奋进新征程”学习强国答题挑战赛等群众性主题活动。依托区“稻粒”宣讲团、“马扎书记”宣讲队等特色宣讲力量，通过“宣讲+文艺”“宣讲+电影”等形式开展个性化、分众化、通俗化主题宣讲活动2.5万场次，党的创新理论更加深入基层、深入人心。2.树牢社会主义核心价值观，时代新风广泛弘扬。积极培育和践行社会主义核心价值观。在全区21条主次干道、大型商超、社区村等宣传阵地，以多方式、立体化、多角度传播核心价值观内容，不留死角全覆盖;3.切实增强“答卷”意识，常态实践活动让文明更有合力。文明城市创建的最终目的是改善人民生活环境和生活品质，米东区始终坚持以活动吸引群众参与，让市民深度融入文明城市创建.组织开展了春节、元宵节、清明节、端午节、七夕、中秋节、重阳节等“我们的节日”主题实践活动6场次。</w:t>
            </w:r>
          </w:p>
        </w:tc>
        <w:tc>
          <w:tcPr>
            <w:tcW w:w="284" w:type="dxa"/>
            <w:tcBorders>
              <w:top w:val="nil"/>
              <w:left w:val="nil"/>
              <w:bottom w:val="nil"/>
              <w:right w:val="nil"/>
            </w:tcBorders>
            <w:shd w:val="clear" w:color="auto" w:fill="auto"/>
            <w:noWrap/>
            <w:vAlign w:val="center"/>
          </w:tcPr>
          <w:p w14:paraId="0A814870">
            <w:pPr>
              <w:widowControl/>
              <w:jc w:val="left"/>
              <w:rPr>
                <w:rFonts w:hint="eastAsia" w:ascii="宋体" w:hAnsi="宋体" w:cs="宋体"/>
                <w:kern w:val="0"/>
                <w:sz w:val="18"/>
                <w:szCs w:val="18"/>
              </w:rPr>
            </w:pPr>
          </w:p>
        </w:tc>
      </w:tr>
      <w:tr w14:paraId="76856EB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01CA27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590C79B">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E465721">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B89745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3400D68">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5B4F41A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A96423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4177FC3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312E26E">
            <w:pPr>
              <w:widowControl/>
              <w:jc w:val="left"/>
              <w:rPr>
                <w:rFonts w:hint="eastAsia" w:ascii="宋体" w:hAnsi="宋体" w:cs="宋体"/>
                <w:b/>
                <w:bCs/>
                <w:kern w:val="0"/>
                <w:sz w:val="18"/>
                <w:szCs w:val="18"/>
              </w:rPr>
            </w:pPr>
          </w:p>
        </w:tc>
      </w:tr>
      <w:tr w14:paraId="46431192">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7F69EF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B3CE35C">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9EB2FD6">
            <w:pPr>
              <w:jc w:val="center"/>
            </w:pPr>
            <w:r>
              <w:rPr>
                <w:rFonts w:ascii="宋体" w:hAnsi="宋体"/>
                <w:sz w:val="18"/>
              </w:rPr>
              <w:t>开展“我们的节日”主题活动</w:t>
            </w:r>
          </w:p>
        </w:tc>
        <w:tc>
          <w:tcPr>
            <w:tcW w:w="1134" w:type="dxa"/>
            <w:tcBorders>
              <w:top w:val="nil"/>
              <w:left w:val="nil"/>
              <w:bottom w:val="single" w:color="auto" w:sz="4" w:space="0"/>
              <w:right w:val="single" w:color="auto" w:sz="4" w:space="0"/>
            </w:tcBorders>
            <w:shd w:val="clear" w:color="auto" w:fill="auto"/>
            <w:noWrap/>
            <w:vAlign w:val="center"/>
          </w:tcPr>
          <w:p w14:paraId="4E9728C4">
            <w:pPr>
              <w:jc w:val="center"/>
            </w:pPr>
            <w:r>
              <w:rPr>
                <w:rFonts w:ascii="宋体" w:hAnsi="宋体"/>
                <w:sz w:val="18"/>
              </w:rPr>
              <w:t>&gt;=6场次</w:t>
            </w:r>
          </w:p>
        </w:tc>
        <w:tc>
          <w:tcPr>
            <w:tcW w:w="2126" w:type="dxa"/>
            <w:tcBorders>
              <w:top w:val="nil"/>
              <w:left w:val="nil"/>
              <w:bottom w:val="single" w:color="auto" w:sz="4" w:space="0"/>
              <w:right w:val="single" w:color="auto" w:sz="4" w:space="0"/>
            </w:tcBorders>
            <w:shd w:val="clear" w:color="auto" w:fill="auto"/>
            <w:noWrap/>
            <w:vAlign w:val="center"/>
          </w:tcPr>
          <w:p w14:paraId="1803C325">
            <w:pPr>
              <w:jc w:val="center"/>
            </w:pPr>
            <w:r>
              <w:rPr>
                <w:rFonts w:ascii="宋体" w:hAnsi="宋体"/>
                <w:sz w:val="18"/>
              </w:rPr>
              <w:t>2022年全国文明城市目标任务（网上申报部分）米东区责任分解表</w:t>
            </w:r>
          </w:p>
        </w:tc>
        <w:tc>
          <w:tcPr>
            <w:tcW w:w="1004" w:type="dxa"/>
            <w:tcBorders>
              <w:top w:val="nil"/>
              <w:left w:val="nil"/>
              <w:bottom w:val="single" w:color="auto" w:sz="4" w:space="0"/>
              <w:right w:val="single" w:color="auto" w:sz="4" w:space="0"/>
            </w:tcBorders>
            <w:shd w:val="clear" w:color="auto" w:fill="auto"/>
            <w:noWrap/>
            <w:vAlign w:val="center"/>
          </w:tcPr>
          <w:p w14:paraId="6362110C">
            <w:pPr>
              <w:jc w:val="center"/>
            </w:pPr>
            <w:r>
              <w:rPr>
                <w:rFonts w:ascii="宋体" w:hAnsi="宋体"/>
                <w:sz w:val="18"/>
              </w:rPr>
              <w:t>6场次</w:t>
            </w:r>
          </w:p>
        </w:tc>
        <w:tc>
          <w:tcPr>
            <w:tcW w:w="839" w:type="dxa"/>
            <w:tcBorders>
              <w:top w:val="nil"/>
              <w:left w:val="nil"/>
              <w:bottom w:val="single" w:color="auto" w:sz="4" w:space="0"/>
              <w:right w:val="single" w:color="auto" w:sz="4" w:space="0"/>
            </w:tcBorders>
            <w:shd w:val="clear" w:color="auto" w:fill="auto"/>
            <w:noWrap/>
            <w:vAlign w:val="center"/>
          </w:tcPr>
          <w:p w14:paraId="4434D273">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397A5E7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687E403">
            <w:pPr>
              <w:widowControl/>
              <w:jc w:val="center"/>
              <w:rPr>
                <w:rFonts w:hint="eastAsia" w:ascii="宋体" w:hAnsi="宋体" w:cs="宋体"/>
                <w:kern w:val="0"/>
                <w:sz w:val="18"/>
                <w:szCs w:val="18"/>
              </w:rPr>
            </w:pPr>
          </w:p>
        </w:tc>
      </w:tr>
      <w:tr w14:paraId="2CB4305A">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605D6A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908522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F4496AE">
            <w:pPr>
              <w:jc w:val="center"/>
            </w:pPr>
            <w:r>
              <w:rPr>
                <w:rFonts w:ascii="宋体" w:hAnsi="宋体"/>
                <w:sz w:val="18"/>
              </w:rPr>
              <w:t>制作全区主次干道宣传道旗宣传牌</w:t>
            </w:r>
          </w:p>
        </w:tc>
        <w:tc>
          <w:tcPr>
            <w:tcW w:w="1134" w:type="dxa"/>
            <w:tcBorders>
              <w:top w:val="nil"/>
              <w:left w:val="nil"/>
              <w:bottom w:val="single" w:color="auto" w:sz="4" w:space="0"/>
              <w:right w:val="single" w:color="auto" w:sz="4" w:space="0"/>
            </w:tcBorders>
            <w:shd w:val="clear" w:color="auto" w:fill="auto"/>
            <w:noWrap/>
            <w:vAlign w:val="center"/>
          </w:tcPr>
          <w:p w14:paraId="15557C70">
            <w:pPr>
              <w:jc w:val="center"/>
            </w:pPr>
            <w:r>
              <w:rPr>
                <w:rFonts w:ascii="宋体" w:hAnsi="宋体"/>
                <w:sz w:val="18"/>
              </w:rPr>
              <w:t>&gt;=450组</w:t>
            </w:r>
          </w:p>
        </w:tc>
        <w:tc>
          <w:tcPr>
            <w:tcW w:w="2126" w:type="dxa"/>
            <w:tcBorders>
              <w:top w:val="nil"/>
              <w:left w:val="nil"/>
              <w:bottom w:val="single" w:color="auto" w:sz="4" w:space="0"/>
              <w:right w:val="single" w:color="auto" w:sz="4" w:space="0"/>
            </w:tcBorders>
            <w:shd w:val="clear" w:color="auto" w:fill="auto"/>
            <w:noWrap/>
            <w:vAlign w:val="center"/>
          </w:tcPr>
          <w:p w14:paraId="0B938565">
            <w:pPr>
              <w:jc w:val="center"/>
            </w:pPr>
            <w:r>
              <w:rPr>
                <w:rFonts w:ascii="宋体" w:hAnsi="宋体"/>
                <w:sz w:val="18"/>
              </w:rPr>
              <w:t>创建全国文明城市实地点位标准手册</w:t>
            </w:r>
          </w:p>
        </w:tc>
        <w:tc>
          <w:tcPr>
            <w:tcW w:w="1004" w:type="dxa"/>
            <w:tcBorders>
              <w:top w:val="nil"/>
              <w:left w:val="nil"/>
              <w:bottom w:val="single" w:color="auto" w:sz="4" w:space="0"/>
              <w:right w:val="single" w:color="auto" w:sz="4" w:space="0"/>
            </w:tcBorders>
            <w:shd w:val="clear" w:color="auto" w:fill="auto"/>
            <w:noWrap/>
            <w:vAlign w:val="center"/>
          </w:tcPr>
          <w:p w14:paraId="357129B7">
            <w:pPr>
              <w:jc w:val="center"/>
            </w:pPr>
            <w:r>
              <w:rPr>
                <w:rFonts w:ascii="宋体" w:hAnsi="宋体"/>
                <w:sz w:val="18"/>
              </w:rPr>
              <w:t>450组</w:t>
            </w:r>
          </w:p>
        </w:tc>
        <w:tc>
          <w:tcPr>
            <w:tcW w:w="839" w:type="dxa"/>
            <w:tcBorders>
              <w:top w:val="nil"/>
              <w:left w:val="nil"/>
              <w:bottom w:val="single" w:color="auto" w:sz="4" w:space="0"/>
              <w:right w:val="single" w:color="auto" w:sz="4" w:space="0"/>
            </w:tcBorders>
            <w:shd w:val="clear" w:color="auto" w:fill="auto"/>
            <w:noWrap/>
            <w:vAlign w:val="center"/>
          </w:tcPr>
          <w:p w14:paraId="515A29E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B061CE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4903E57">
            <w:pPr>
              <w:widowControl/>
              <w:jc w:val="center"/>
              <w:rPr>
                <w:rFonts w:hint="eastAsia" w:ascii="宋体" w:hAnsi="宋体" w:cs="宋体"/>
                <w:kern w:val="0"/>
                <w:sz w:val="18"/>
                <w:szCs w:val="18"/>
              </w:rPr>
            </w:pPr>
          </w:p>
        </w:tc>
      </w:tr>
      <w:tr w14:paraId="5D92D1EA">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7AFAEA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9CB50B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7E3A052">
            <w:pPr>
              <w:jc w:val="center"/>
            </w:pPr>
            <w:r>
              <w:rPr>
                <w:rFonts w:ascii="宋体" w:hAnsi="宋体"/>
                <w:sz w:val="18"/>
              </w:rPr>
              <w:t>《文化润疆·米东丛书》出版作品</w:t>
            </w:r>
          </w:p>
        </w:tc>
        <w:tc>
          <w:tcPr>
            <w:tcW w:w="1134" w:type="dxa"/>
            <w:tcBorders>
              <w:top w:val="nil"/>
              <w:left w:val="nil"/>
              <w:bottom w:val="single" w:color="auto" w:sz="4" w:space="0"/>
              <w:right w:val="single" w:color="auto" w:sz="4" w:space="0"/>
            </w:tcBorders>
            <w:shd w:val="clear" w:color="auto" w:fill="auto"/>
            <w:noWrap/>
            <w:vAlign w:val="center"/>
          </w:tcPr>
          <w:p w14:paraId="128A3399">
            <w:pPr>
              <w:jc w:val="center"/>
            </w:pPr>
            <w:r>
              <w:rPr>
                <w:rFonts w:ascii="宋体" w:hAnsi="宋体"/>
                <w:sz w:val="18"/>
              </w:rPr>
              <w:t>&gt;=2部</w:t>
            </w:r>
          </w:p>
        </w:tc>
        <w:tc>
          <w:tcPr>
            <w:tcW w:w="2126" w:type="dxa"/>
            <w:tcBorders>
              <w:top w:val="nil"/>
              <w:left w:val="nil"/>
              <w:bottom w:val="single" w:color="auto" w:sz="4" w:space="0"/>
              <w:right w:val="single" w:color="auto" w:sz="4" w:space="0"/>
            </w:tcBorders>
            <w:shd w:val="clear" w:color="auto" w:fill="auto"/>
            <w:noWrap/>
            <w:vAlign w:val="center"/>
          </w:tcPr>
          <w:p w14:paraId="5AEA24D6">
            <w:pPr>
              <w:jc w:val="center"/>
            </w:pPr>
            <w:r>
              <w:rPr>
                <w:rFonts w:ascii="宋体" w:hAnsi="宋体"/>
                <w:sz w:val="18"/>
              </w:rPr>
              <w:t>中共米东区委办公室 米东区人民政府办公室关于印发《2022年文化润疆工程实施方案》的通知</w:t>
            </w:r>
          </w:p>
        </w:tc>
        <w:tc>
          <w:tcPr>
            <w:tcW w:w="1004" w:type="dxa"/>
            <w:tcBorders>
              <w:top w:val="nil"/>
              <w:left w:val="nil"/>
              <w:bottom w:val="single" w:color="auto" w:sz="4" w:space="0"/>
              <w:right w:val="single" w:color="auto" w:sz="4" w:space="0"/>
            </w:tcBorders>
            <w:shd w:val="clear" w:color="auto" w:fill="auto"/>
            <w:noWrap/>
            <w:vAlign w:val="center"/>
          </w:tcPr>
          <w:p w14:paraId="6393FEAE">
            <w:pPr>
              <w:jc w:val="center"/>
            </w:pPr>
            <w:r>
              <w:rPr>
                <w:rFonts w:ascii="宋体" w:hAnsi="宋体"/>
                <w:sz w:val="18"/>
              </w:rPr>
              <w:t>0部</w:t>
            </w:r>
          </w:p>
        </w:tc>
        <w:tc>
          <w:tcPr>
            <w:tcW w:w="839" w:type="dxa"/>
            <w:tcBorders>
              <w:top w:val="nil"/>
              <w:left w:val="nil"/>
              <w:bottom w:val="single" w:color="auto" w:sz="4" w:space="0"/>
              <w:right w:val="single" w:color="auto" w:sz="4" w:space="0"/>
            </w:tcBorders>
            <w:shd w:val="clear" w:color="auto" w:fill="auto"/>
            <w:noWrap/>
            <w:vAlign w:val="center"/>
          </w:tcPr>
          <w:p w14:paraId="3F9E4A5A">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3697432D">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63F8DF13">
            <w:pPr>
              <w:widowControl/>
              <w:jc w:val="center"/>
              <w:rPr>
                <w:rFonts w:hint="eastAsia" w:ascii="宋体" w:hAnsi="宋体" w:cs="宋体"/>
                <w:kern w:val="0"/>
                <w:sz w:val="18"/>
                <w:szCs w:val="18"/>
              </w:rPr>
            </w:pPr>
          </w:p>
        </w:tc>
      </w:tr>
      <w:tr w14:paraId="4E8DEA1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8BDB1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4600BF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B7048D">
            <w:pPr>
              <w:jc w:val="center"/>
            </w:pPr>
            <w:r>
              <w:rPr>
                <w:rFonts w:ascii="宋体" w:hAnsi="宋体"/>
                <w:sz w:val="18"/>
              </w:rPr>
              <w:t>“稻粒”宣讲团宣讲活动</w:t>
            </w:r>
          </w:p>
        </w:tc>
        <w:tc>
          <w:tcPr>
            <w:tcW w:w="1134" w:type="dxa"/>
            <w:tcBorders>
              <w:top w:val="nil"/>
              <w:left w:val="nil"/>
              <w:bottom w:val="single" w:color="auto" w:sz="4" w:space="0"/>
              <w:right w:val="single" w:color="auto" w:sz="4" w:space="0"/>
            </w:tcBorders>
            <w:shd w:val="clear" w:color="auto" w:fill="auto"/>
            <w:noWrap/>
            <w:vAlign w:val="center"/>
          </w:tcPr>
          <w:p w14:paraId="2F36738F">
            <w:pPr>
              <w:jc w:val="center"/>
            </w:pPr>
            <w:r>
              <w:rPr>
                <w:rFonts w:ascii="宋体" w:hAnsi="宋体"/>
                <w:sz w:val="18"/>
              </w:rPr>
              <w:t>&gt;=50场次</w:t>
            </w:r>
          </w:p>
        </w:tc>
        <w:tc>
          <w:tcPr>
            <w:tcW w:w="2126" w:type="dxa"/>
            <w:tcBorders>
              <w:top w:val="nil"/>
              <w:left w:val="nil"/>
              <w:bottom w:val="single" w:color="auto" w:sz="4" w:space="0"/>
              <w:right w:val="single" w:color="auto" w:sz="4" w:space="0"/>
            </w:tcBorders>
            <w:shd w:val="clear" w:color="auto" w:fill="auto"/>
            <w:noWrap/>
            <w:vAlign w:val="center"/>
          </w:tcPr>
          <w:p w14:paraId="56FC02B9">
            <w:pPr>
              <w:jc w:val="center"/>
            </w:pPr>
            <w:r>
              <w:rPr>
                <w:rFonts w:ascii="宋体" w:hAnsi="宋体"/>
                <w:sz w:val="18"/>
              </w:rPr>
              <w:t>中共米东区委办公室 米东区人民政府办公室关于印发《2022年文化润疆工程实施方案》的通知</w:t>
            </w:r>
          </w:p>
        </w:tc>
        <w:tc>
          <w:tcPr>
            <w:tcW w:w="1004" w:type="dxa"/>
            <w:tcBorders>
              <w:top w:val="nil"/>
              <w:left w:val="nil"/>
              <w:bottom w:val="single" w:color="auto" w:sz="4" w:space="0"/>
              <w:right w:val="single" w:color="auto" w:sz="4" w:space="0"/>
            </w:tcBorders>
            <w:shd w:val="clear" w:color="auto" w:fill="auto"/>
            <w:noWrap/>
            <w:vAlign w:val="center"/>
          </w:tcPr>
          <w:p w14:paraId="1D0161E1">
            <w:pPr>
              <w:jc w:val="center"/>
            </w:pPr>
            <w:r>
              <w:rPr>
                <w:rFonts w:ascii="宋体" w:hAnsi="宋体"/>
                <w:sz w:val="18"/>
              </w:rPr>
              <w:t>50场次</w:t>
            </w:r>
          </w:p>
        </w:tc>
        <w:tc>
          <w:tcPr>
            <w:tcW w:w="839" w:type="dxa"/>
            <w:tcBorders>
              <w:top w:val="nil"/>
              <w:left w:val="nil"/>
              <w:bottom w:val="single" w:color="auto" w:sz="4" w:space="0"/>
              <w:right w:val="single" w:color="auto" w:sz="4" w:space="0"/>
            </w:tcBorders>
            <w:shd w:val="clear" w:color="auto" w:fill="auto"/>
            <w:noWrap/>
            <w:vAlign w:val="center"/>
          </w:tcPr>
          <w:p w14:paraId="5914B314">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0A26E4E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1283535">
            <w:pPr>
              <w:widowControl/>
              <w:jc w:val="center"/>
              <w:rPr>
                <w:rFonts w:hint="eastAsia" w:ascii="宋体" w:hAnsi="宋体" w:cs="宋体"/>
                <w:kern w:val="0"/>
                <w:sz w:val="18"/>
                <w:szCs w:val="18"/>
              </w:rPr>
            </w:pPr>
          </w:p>
        </w:tc>
      </w:tr>
      <w:tr w14:paraId="52B41FB3">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559C11B">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F51F95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16D7FC04">
            <w:pPr>
              <w:jc w:val="center"/>
            </w:pPr>
            <w:r>
              <w:rPr>
                <w:rFonts w:ascii="宋体" w:hAnsi="宋体"/>
                <w:sz w:val="18"/>
              </w:rPr>
              <w:t>79.88分</w:t>
            </w:r>
          </w:p>
        </w:tc>
        <w:tc>
          <w:tcPr>
            <w:tcW w:w="284" w:type="dxa"/>
            <w:tcBorders>
              <w:top w:val="nil"/>
              <w:left w:val="nil"/>
              <w:bottom w:val="nil"/>
              <w:right w:val="nil"/>
            </w:tcBorders>
            <w:shd w:val="clear" w:color="auto" w:fill="auto"/>
            <w:noWrap/>
            <w:vAlign w:val="center"/>
          </w:tcPr>
          <w:p w14:paraId="76EBE4C4">
            <w:pPr>
              <w:widowControl/>
              <w:jc w:val="left"/>
              <w:rPr>
                <w:rFonts w:hint="eastAsia" w:ascii="宋体" w:hAnsi="宋体" w:cs="宋体"/>
                <w:kern w:val="0"/>
                <w:sz w:val="18"/>
                <w:szCs w:val="18"/>
              </w:rPr>
            </w:pPr>
          </w:p>
        </w:tc>
      </w:tr>
    </w:tbl>
    <w:p w14:paraId="5152FC5A">
      <w:pPr>
        <w:jc w:val="center"/>
        <w:rPr>
          <w:rFonts w:hint="eastAsia" w:ascii="宋体" w:hAnsi="宋体" w:cs="宋体"/>
          <w:b/>
          <w:bCs/>
          <w:kern w:val="0"/>
          <w:sz w:val="28"/>
          <w:szCs w:val="28"/>
        </w:rPr>
      </w:pPr>
    </w:p>
    <w:p w14:paraId="4C38D54B">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6330F07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785E84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B912FE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2D17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7E3DC8F">
            <w:pPr>
              <w:jc w:val="center"/>
            </w:pPr>
            <w:r>
              <w:rPr>
                <w:rFonts w:ascii="宋体" w:hAnsi="宋体"/>
                <w:sz w:val="18"/>
              </w:rPr>
              <w:t>2023年东风工程出版物市场监管和版权保护工作经费</w:t>
            </w:r>
          </w:p>
        </w:tc>
      </w:tr>
      <w:tr w14:paraId="6D57A7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724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D7AD628">
            <w:pPr>
              <w:jc w:val="center"/>
              <w:rPr>
                <w:rFonts w:hint="eastAsia" w:eastAsia="宋体"/>
                <w:lang w:eastAsia="zh-CN"/>
              </w:rPr>
            </w:pPr>
            <w:r>
              <w:rPr>
                <w:rFonts w:ascii="宋体" w:hAnsi="宋体"/>
                <w:sz w:val="18"/>
              </w:rPr>
              <w:t>米东</w:t>
            </w:r>
            <w:r>
              <w:rPr>
                <w:rFonts w:hint="eastAsia" w:ascii="宋体" w:hAnsi="宋体"/>
                <w:sz w:val="18"/>
                <w:lang w:eastAsia="zh-CN"/>
              </w:rPr>
              <w:t>区委宣传部</w:t>
            </w:r>
          </w:p>
        </w:tc>
        <w:tc>
          <w:tcPr>
            <w:tcW w:w="1177" w:type="dxa"/>
            <w:tcBorders>
              <w:top w:val="nil"/>
              <w:left w:val="nil"/>
              <w:bottom w:val="single" w:color="auto" w:sz="4" w:space="0"/>
              <w:right w:val="single" w:color="auto" w:sz="4" w:space="0"/>
            </w:tcBorders>
            <w:shd w:val="clear" w:color="auto" w:fill="auto"/>
            <w:vAlign w:val="center"/>
          </w:tcPr>
          <w:p w14:paraId="6C76C4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34A1D6D">
            <w:pPr>
              <w:jc w:val="center"/>
              <w:rPr>
                <w:rFonts w:hint="eastAsia" w:eastAsia="宋体"/>
                <w:lang w:eastAsia="zh-CN"/>
              </w:rPr>
            </w:pPr>
            <w:r>
              <w:rPr>
                <w:rFonts w:ascii="宋体" w:hAnsi="宋体"/>
                <w:sz w:val="18"/>
              </w:rPr>
              <w:t>米东</w:t>
            </w:r>
            <w:r>
              <w:rPr>
                <w:rFonts w:hint="eastAsia" w:ascii="宋体" w:hAnsi="宋体"/>
                <w:sz w:val="18"/>
                <w:lang w:eastAsia="zh-CN"/>
              </w:rPr>
              <w:t>区委宣传部</w:t>
            </w:r>
          </w:p>
        </w:tc>
      </w:tr>
      <w:tr w14:paraId="34EEE1C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D30E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EC0D0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FBC28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07AB0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DE0D5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6B4B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03FD3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BA646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D750DA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59524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B77C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326E50">
            <w:pPr>
              <w:jc w:val="center"/>
            </w:pPr>
            <w:r>
              <w:rPr>
                <w:rFonts w:ascii="宋体" w:hAnsi="宋体"/>
                <w:sz w:val="18"/>
              </w:rPr>
              <w:t>6.00</w:t>
            </w:r>
          </w:p>
        </w:tc>
        <w:tc>
          <w:tcPr>
            <w:tcW w:w="1177" w:type="dxa"/>
            <w:tcBorders>
              <w:top w:val="nil"/>
              <w:left w:val="nil"/>
              <w:bottom w:val="single" w:color="auto" w:sz="4" w:space="0"/>
              <w:right w:val="single" w:color="auto" w:sz="4" w:space="0"/>
            </w:tcBorders>
            <w:shd w:val="clear" w:color="auto" w:fill="auto"/>
            <w:noWrap/>
            <w:vAlign w:val="center"/>
          </w:tcPr>
          <w:p w14:paraId="37BED046">
            <w:pPr>
              <w:jc w:val="center"/>
            </w:pPr>
            <w:r>
              <w:rPr>
                <w:rFonts w:ascii="宋体" w:hAnsi="宋体"/>
                <w:sz w:val="18"/>
              </w:rPr>
              <w:t>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E48E5C6">
            <w:pPr>
              <w:jc w:val="center"/>
            </w:pPr>
            <w:r>
              <w:rPr>
                <w:rFonts w:ascii="宋体" w:hAnsi="宋体"/>
                <w:sz w:val="18"/>
              </w:rPr>
              <w:t>0.20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DA3965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7CACD3C">
            <w:pPr>
              <w:jc w:val="center"/>
            </w:pPr>
            <w:r>
              <w:rPr>
                <w:rFonts w:ascii="宋体" w:hAnsi="宋体"/>
                <w:sz w:val="18"/>
              </w:rPr>
              <w:t>3.33%</w:t>
            </w:r>
          </w:p>
        </w:tc>
        <w:tc>
          <w:tcPr>
            <w:tcW w:w="1275" w:type="dxa"/>
            <w:tcBorders>
              <w:top w:val="nil"/>
              <w:left w:val="nil"/>
              <w:bottom w:val="single" w:color="auto" w:sz="4" w:space="0"/>
              <w:right w:val="single" w:color="auto" w:sz="4" w:space="0"/>
            </w:tcBorders>
            <w:shd w:val="clear" w:color="auto" w:fill="auto"/>
            <w:vAlign w:val="center"/>
          </w:tcPr>
          <w:p w14:paraId="4A3063E4">
            <w:pPr>
              <w:jc w:val="center"/>
            </w:pPr>
            <w:r>
              <w:rPr>
                <w:rFonts w:ascii="宋体" w:hAnsi="宋体"/>
                <w:sz w:val="18"/>
              </w:rPr>
              <w:t>0.33分</w:t>
            </w:r>
          </w:p>
        </w:tc>
      </w:tr>
      <w:tr w14:paraId="6DF448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9981C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13AA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8FEE9A">
            <w:pPr>
              <w:jc w:val="center"/>
            </w:pPr>
            <w:r>
              <w:rPr>
                <w:rFonts w:ascii="宋体" w:hAnsi="宋体"/>
                <w:sz w:val="18"/>
              </w:rPr>
              <w:t>6.00</w:t>
            </w:r>
          </w:p>
        </w:tc>
        <w:tc>
          <w:tcPr>
            <w:tcW w:w="1177" w:type="dxa"/>
            <w:tcBorders>
              <w:top w:val="nil"/>
              <w:left w:val="nil"/>
              <w:bottom w:val="single" w:color="auto" w:sz="4" w:space="0"/>
              <w:right w:val="single" w:color="auto" w:sz="4" w:space="0"/>
            </w:tcBorders>
            <w:shd w:val="clear" w:color="auto" w:fill="auto"/>
            <w:noWrap/>
            <w:vAlign w:val="center"/>
          </w:tcPr>
          <w:p w14:paraId="67C17ADC">
            <w:pPr>
              <w:jc w:val="center"/>
            </w:pPr>
            <w:r>
              <w:rPr>
                <w:rFonts w:ascii="宋体" w:hAnsi="宋体"/>
                <w:sz w:val="18"/>
              </w:rPr>
              <w:t>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4933FF0">
            <w:pPr>
              <w:jc w:val="center"/>
            </w:pPr>
            <w:r>
              <w:rPr>
                <w:rFonts w:ascii="宋体" w:hAnsi="宋体"/>
                <w:sz w:val="18"/>
              </w:rPr>
              <w:t>0.20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0890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AB1E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6CC12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174B07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93895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0930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97043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58A21D4">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F40862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6657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640A6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94184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143FC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4A347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70983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313A7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19EF3D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DFD4D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0F424C0">
            <w:pPr>
              <w:jc w:val="left"/>
            </w:pPr>
            <w:r>
              <w:rPr>
                <w:rFonts w:ascii="宋体" w:hAnsi="宋体"/>
                <w:sz w:val="18"/>
              </w:rPr>
              <w:t>本项目主要内容为制作8000个"扫黄打非"宣传品无纺布手提袋)、4万个纸杯宣传品并进行分发宣传，“扫黄打非”是维护意识形态安全的重要抓手，属地管理的责任分配至关重要，本项目的实施切实加大宣传力度，维护文化市场的健康和繁荣，荡涤文化污浊，保障人员基本文化权益，维护我区文化安全。</w:t>
            </w:r>
          </w:p>
        </w:tc>
        <w:tc>
          <w:tcPr>
            <w:tcW w:w="4625" w:type="dxa"/>
            <w:gridSpan w:val="7"/>
            <w:tcBorders>
              <w:top w:val="single" w:color="auto" w:sz="4" w:space="0"/>
              <w:left w:val="nil"/>
              <w:bottom w:val="single" w:color="auto" w:sz="4" w:space="0"/>
              <w:right w:val="single" w:color="000000" w:sz="4" w:space="0"/>
            </w:tcBorders>
            <w:shd w:val="clear" w:color="auto" w:fill="auto"/>
          </w:tcPr>
          <w:p w14:paraId="4132B6E3">
            <w:pPr>
              <w:jc w:val="left"/>
            </w:pPr>
            <w:r>
              <w:rPr>
                <w:rFonts w:ascii="宋体" w:hAnsi="宋体"/>
                <w:sz w:val="18"/>
              </w:rPr>
              <w:t>完成宣传品无纺布手提袋8000个；40000个纸杯宣传品，宣传品抽纸10000盒；宣传贯彻政策知晓率：90；加大宣传力度,荡涤文化污浊,保障人民基本文化权益：有效保障；群众满意度：90；"扫黄打非"宣传品.音频费用：4.45；制作"扫黄打非"宣传品(围裙抽纸)数：2；录制宣传音频数：1；制作"绿书签"护苗宣传品数：5；宣传品质量合格率：95%；内容合格率：95；经费支付及时率：95</w:t>
            </w:r>
          </w:p>
        </w:tc>
      </w:tr>
      <w:tr w14:paraId="02FC872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FD3C9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30B7E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AFFB2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649B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4B548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9B63A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EB9D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05D2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6295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9039D2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CD90FC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E3EF26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E6313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CFBA02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C3B5AB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C14365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E76486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AC38CB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AFA8D17">
            <w:pPr>
              <w:widowControl/>
              <w:jc w:val="left"/>
              <w:rPr>
                <w:rFonts w:hint="eastAsia" w:ascii="宋体" w:hAnsi="宋体" w:cs="宋体"/>
                <w:color w:val="000000"/>
                <w:kern w:val="0"/>
                <w:sz w:val="18"/>
                <w:szCs w:val="18"/>
              </w:rPr>
            </w:pPr>
          </w:p>
        </w:tc>
      </w:tr>
      <w:tr w14:paraId="7E3E70C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B1778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5434803">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12E905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64B0CD">
            <w:pPr>
              <w:jc w:val="center"/>
            </w:pPr>
            <w:r>
              <w:rPr>
                <w:rFonts w:ascii="宋体" w:hAnsi="宋体"/>
                <w:sz w:val="18"/>
              </w:rPr>
              <w:t>制作扫黄打非宣传品（无纺布手提袋）数量</w:t>
            </w:r>
          </w:p>
        </w:tc>
        <w:tc>
          <w:tcPr>
            <w:tcW w:w="1177" w:type="dxa"/>
            <w:tcBorders>
              <w:top w:val="nil"/>
              <w:left w:val="nil"/>
              <w:bottom w:val="single" w:color="auto" w:sz="4" w:space="0"/>
              <w:right w:val="single" w:color="auto" w:sz="4" w:space="0"/>
            </w:tcBorders>
            <w:shd w:val="clear" w:color="auto" w:fill="auto"/>
            <w:vAlign w:val="center"/>
          </w:tcPr>
          <w:p w14:paraId="2BDF75BA">
            <w:pPr>
              <w:jc w:val="center"/>
            </w:pPr>
            <w:r>
              <w:rPr>
                <w:rFonts w:ascii="宋体" w:hAnsi="宋体"/>
                <w:sz w:val="18"/>
              </w:rPr>
              <w:t>&gt;=8000个</w:t>
            </w:r>
          </w:p>
        </w:tc>
        <w:tc>
          <w:tcPr>
            <w:tcW w:w="1177" w:type="dxa"/>
            <w:tcBorders>
              <w:top w:val="nil"/>
              <w:left w:val="nil"/>
              <w:bottom w:val="single" w:color="auto" w:sz="4" w:space="0"/>
              <w:right w:val="single" w:color="auto" w:sz="4" w:space="0"/>
            </w:tcBorders>
            <w:shd w:val="clear" w:color="auto" w:fill="auto"/>
            <w:vAlign w:val="center"/>
          </w:tcPr>
          <w:p w14:paraId="36B41E76">
            <w:pPr>
              <w:jc w:val="center"/>
            </w:pPr>
            <w:r>
              <w:rPr>
                <w:rFonts w:ascii="宋体" w:hAnsi="宋体"/>
                <w:sz w:val="18"/>
              </w:rPr>
              <w:t>8000个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01700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34A51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AE8C04">
            <w:pPr>
              <w:jc w:val="center"/>
            </w:pPr>
          </w:p>
        </w:tc>
      </w:tr>
      <w:tr w14:paraId="16212D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9A84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38D2B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8F81E5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B1502A">
            <w:pPr>
              <w:jc w:val="center"/>
            </w:pPr>
            <w:r>
              <w:rPr>
                <w:rFonts w:ascii="宋体" w:hAnsi="宋体"/>
                <w:sz w:val="18"/>
              </w:rPr>
              <w:t>制作宣传品纸杯数量</w:t>
            </w:r>
          </w:p>
        </w:tc>
        <w:tc>
          <w:tcPr>
            <w:tcW w:w="1177" w:type="dxa"/>
            <w:tcBorders>
              <w:top w:val="nil"/>
              <w:left w:val="nil"/>
              <w:bottom w:val="single" w:color="auto" w:sz="4" w:space="0"/>
              <w:right w:val="single" w:color="auto" w:sz="4" w:space="0"/>
            </w:tcBorders>
            <w:shd w:val="clear" w:color="auto" w:fill="auto"/>
            <w:vAlign w:val="center"/>
          </w:tcPr>
          <w:p w14:paraId="6A5D43A1">
            <w:pPr>
              <w:jc w:val="center"/>
            </w:pPr>
            <w:r>
              <w:rPr>
                <w:rFonts w:ascii="宋体" w:hAnsi="宋体"/>
                <w:sz w:val="18"/>
              </w:rPr>
              <w:t>&gt;=40000个</w:t>
            </w:r>
          </w:p>
        </w:tc>
        <w:tc>
          <w:tcPr>
            <w:tcW w:w="1177" w:type="dxa"/>
            <w:tcBorders>
              <w:top w:val="nil"/>
              <w:left w:val="nil"/>
              <w:bottom w:val="single" w:color="auto" w:sz="4" w:space="0"/>
              <w:right w:val="single" w:color="auto" w:sz="4" w:space="0"/>
            </w:tcBorders>
            <w:shd w:val="clear" w:color="auto" w:fill="auto"/>
            <w:vAlign w:val="center"/>
          </w:tcPr>
          <w:p w14:paraId="16F878AB">
            <w:pPr>
              <w:jc w:val="center"/>
            </w:pPr>
            <w:r>
              <w:rPr>
                <w:rFonts w:ascii="宋体" w:hAnsi="宋体"/>
                <w:sz w:val="18"/>
              </w:rPr>
              <w:t>40000个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39F14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EA946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4CECB2">
            <w:pPr>
              <w:jc w:val="center"/>
            </w:pPr>
          </w:p>
        </w:tc>
      </w:tr>
      <w:tr w14:paraId="436F3B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C825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594A8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8D65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8C0E1D">
            <w:pPr>
              <w:jc w:val="center"/>
            </w:pPr>
            <w:r>
              <w:rPr>
                <w:rFonts w:ascii="宋体" w:hAnsi="宋体"/>
                <w:sz w:val="18"/>
              </w:rPr>
              <w:t>宣传品质量合格率</w:t>
            </w:r>
          </w:p>
        </w:tc>
        <w:tc>
          <w:tcPr>
            <w:tcW w:w="1177" w:type="dxa"/>
            <w:tcBorders>
              <w:top w:val="nil"/>
              <w:left w:val="nil"/>
              <w:bottom w:val="single" w:color="auto" w:sz="4" w:space="0"/>
              <w:right w:val="single" w:color="auto" w:sz="4" w:space="0"/>
            </w:tcBorders>
            <w:shd w:val="clear" w:color="auto" w:fill="auto"/>
            <w:vAlign w:val="center"/>
          </w:tcPr>
          <w:p w14:paraId="11064049">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7DCEA8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1D940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C5CF9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B92938">
            <w:pPr>
              <w:jc w:val="center"/>
            </w:pPr>
          </w:p>
        </w:tc>
      </w:tr>
      <w:tr w14:paraId="6C810E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5D091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3289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CB2A6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27089C">
            <w:pPr>
              <w:jc w:val="center"/>
            </w:pPr>
            <w:r>
              <w:rPr>
                <w:rFonts w:ascii="宋体" w:hAnsi="宋体"/>
                <w:sz w:val="18"/>
              </w:rPr>
              <w:t>经费支付及时率</w:t>
            </w:r>
          </w:p>
        </w:tc>
        <w:tc>
          <w:tcPr>
            <w:tcW w:w="1177" w:type="dxa"/>
            <w:tcBorders>
              <w:top w:val="nil"/>
              <w:left w:val="nil"/>
              <w:bottom w:val="single" w:color="auto" w:sz="4" w:space="0"/>
              <w:right w:val="single" w:color="auto" w:sz="4" w:space="0"/>
            </w:tcBorders>
            <w:shd w:val="clear" w:color="auto" w:fill="auto"/>
            <w:vAlign w:val="center"/>
          </w:tcPr>
          <w:p w14:paraId="6B823C49">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E4FA0C5">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D7A74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38C5B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064B3B">
            <w:pPr>
              <w:jc w:val="center"/>
            </w:pPr>
            <w:r>
              <w:rPr>
                <w:rFonts w:ascii="宋体" w:hAnsi="宋体"/>
                <w:sz w:val="18"/>
              </w:rPr>
              <w:t>资金因年底资金紧张未完成支付</w:t>
            </w:r>
          </w:p>
        </w:tc>
      </w:tr>
      <w:tr w14:paraId="03CA0E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120B1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4129E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FF08E7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96D42F">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4756DE33">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6A971D2C">
            <w:pPr>
              <w:jc w:val="center"/>
            </w:pPr>
            <w:r>
              <w:rPr>
                <w:rFonts w:ascii="宋体" w:hAnsi="宋体"/>
                <w:sz w:val="18"/>
              </w:rPr>
              <w:t>3.33%</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47083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13CB2D">
            <w:pPr>
              <w:jc w:val="center"/>
            </w:pPr>
            <w:r>
              <w:rPr>
                <w:rFonts w:ascii="宋体" w:hAnsi="宋体"/>
                <w:sz w:val="18"/>
              </w:rPr>
              <w:t>0.67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664DF9">
            <w:pPr>
              <w:jc w:val="center"/>
            </w:pPr>
            <w:r>
              <w:rPr>
                <w:rFonts w:ascii="宋体" w:hAnsi="宋体"/>
                <w:sz w:val="18"/>
              </w:rPr>
              <w:t>资金因年底资金紧张未完成支付</w:t>
            </w:r>
          </w:p>
        </w:tc>
      </w:tr>
      <w:tr w14:paraId="6145D8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88910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72FE69A">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53AE529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A2A6D2">
            <w:pPr>
              <w:jc w:val="center"/>
            </w:pPr>
            <w:r>
              <w:rPr>
                <w:rFonts w:ascii="宋体" w:hAnsi="宋体"/>
                <w:sz w:val="18"/>
              </w:rPr>
              <w:t>宣传贯彻政策知晓率</w:t>
            </w:r>
          </w:p>
        </w:tc>
        <w:tc>
          <w:tcPr>
            <w:tcW w:w="1177" w:type="dxa"/>
            <w:tcBorders>
              <w:top w:val="nil"/>
              <w:left w:val="nil"/>
              <w:bottom w:val="single" w:color="auto" w:sz="4" w:space="0"/>
              <w:right w:val="single" w:color="auto" w:sz="4" w:space="0"/>
            </w:tcBorders>
            <w:shd w:val="clear" w:color="auto" w:fill="auto"/>
            <w:vAlign w:val="center"/>
          </w:tcPr>
          <w:p w14:paraId="37E6A2D4">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6015F0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A687D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B66B8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4899ED">
            <w:pPr>
              <w:jc w:val="center"/>
            </w:pPr>
          </w:p>
        </w:tc>
      </w:tr>
      <w:tr w14:paraId="1E74DC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8381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F9D05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4BAA1E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E1DDE8">
            <w:pPr>
              <w:jc w:val="center"/>
            </w:pPr>
            <w:r>
              <w:rPr>
                <w:rFonts w:ascii="宋体" w:hAnsi="宋体"/>
                <w:sz w:val="18"/>
              </w:rPr>
              <w:t>加大宣传力度，荡涤文化污浊，保障人民基本文化权益</w:t>
            </w:r>
          </w:p>
        </w:tc>
        <w:tc>
          <w:tcPr>
            <w:tcW w:w="1177" w:type="dxa"/>
            <w:tcBorders>
              <w:top w:val="nil"/>
              <w:left w:val="nil"/>
              <w:bottom w:val="single" w:color="auto" w:sz="4" w:space="0"/>
              <w:right w:val="single" w:color="auto" w:sz="4" w:space="0"/>
            </w:tcBorders>
            <w:shd w:val="clear" w:color="auto" w:fill="auto"/>
            <w:vAlign w:val="center"/>
          </w:tcPr>
          <w:p w14:paraId="620AE698">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573D42D6">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3A01F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6AC5C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32946D">
            <w:pPr>
              <w:jc w:val="center"/>
            </w:pPr>
          </w:p>
        </w:tc>
      </w:tr>
      <w:tr w14:paraId="4E675D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36893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39F97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A24FE5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DFF7C">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3D7F1482">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F429E9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CBA94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29E42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21AFF0">
            <w:pPr>
              <w:jc w:val="center"/>
            </w:pPr>
          </w:p>
        </w:tc>
      </w:tr>
      <w:tr w14:paraId="61CFAF0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897CD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B86565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BAAF72F">
            <w:pPr>
              <w:jc w:val="center"/>
            </w:pPr>
            <w:r>
              <w:rPr>
                <w:rFonts w:ascii="宋体" w:hAnsi="宋体"/>
                <w:sz w:val="18"/>
              </w:rPr>
              <w:t>71.00分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D9AD07">
            <w:pPr>
              <w:jc w:val="center"/>
            </w:pPr>
          </w:p>
        </w:tc>
      </w:tr>
      <w:bookmarkEnd w:id="33"/>
    </w:tbl>
    <w:p w14:paraId="15073548">
      <w:pPr>
        <w:jc w:val="center"/>
        <w:rPr>
          <w:rFonts w:hint="eastAsia" w:ascii="宋体" w:hAnsi="宋体" w:cs="宋体"/>
          <w:b/>
          <w:bCs/>
          <w:kern w:val="0"/>
          <w:sz w:val="28"/>
          <w:szCs w:val="28"/>
        </w:rPr>
      </w:pPr>
    </w:p>
    <w:p w14:paraId="777B407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E64FEA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9098B0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8A3C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3B7523">
            <w:pPr>
              <w:jc w:val="center"/>
            </w:pPr>
            <w:r>
              <w:rPr>
                <w:rFonts w:ascii="宋体" w:hAnsi="宋体"/>
                <w:sz w:val="18"/>
              </w:rPr>
              <w:t>2023晚报征订及投递费</w:t>
            </w:r>
          </w:p>
        </w:tc>
      </w:tr>
      <w:tr w14:paraId="470E715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270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A51B493">
            <w:pPr>
              <w:jc w:val="center"/>
              <w:rPr>
                <w:rFonts w:hint="eastAsia" w:eastAsia="宋体"/>
                <w:lang w:eastAsia="zh-CN"/>
              </w:rPr>
            </w:pPr>
            <w:r>
              <w:rPr>
                <w:rFonts w:ascii="宋体" w:hAnsi="宋体"/>
                <w:sz w:val="18"/>
              </w:rPr>
              <w:t>米东</w:t>
            </w:r>
            <w:r>
              <w:rPr>
                <w:rFonts w:hint="eastAsia" w:ascii="宋体" w:hAnsi="宋体"/>
                <w:sz w:val="18"/>
                <w:lang w:eastAsia="zh-CN"/>
              </w:rPr>
              <w:t>区委宣传部</w:t>
            </w:r>
          </w:p>
        </w:tc>
        <w:tc>
          <w:tcPr>
            <w:tcW w:w="1177" w:type="dxa"/>
            <w:tcBorders>
              <w:top w:val="nil"/>
              <w:left w:val="nil"/>
              <w:bottom w:val="single" w:color="auto" w:sz="4" w:space="0"/>
              <w:right w:val="single" w:color="auto" w:sz="4" w:space="0"/>
            </w:tcBorders>
            <w:shd w:val="clear" w:color="auto" w:fill="auto"/>
            <w:vAlign w:val="center"/>
          </w:tcPr>
          <w:p w14:paraId="2B8964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0CF9831">
            <w:pPr>
              <w:jc w:val="center"/>
              <w:rPr>
                <w:rFonts w:hint="eastAsia" w:eastAsia="宋体"/>
                <w:lang w:eastAsia="zh-CN"/>
              </w:rPr>
            </w:pPr>
            <w:r>
              <w:rPr>
                <w:rFonts w:ascii="宋体" w:hAnsi="宋体"/>
                <w:sz w:val="18"/>
              </w:rPr>
              <w:t>米东</w:t>
            </w:r>
            <w:r>
              <w:rPr>
                <w:rFonts w:hint="eastAsia" w:ascii="宋体" w:hAnsi="宋体"/>
                <w:sz w:val="18"/>
                <w:lang w:eastAsia="zh-CN"/>
              </w:rPr>
              <w:t>区委宣传部</w:t>
            </w:r>
          </w:p>
        </w:tc>
      </w:tr>
      <w:tr w14:paraId="0D71D7F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1F9C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D42D6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1DDB0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0D030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DE51D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99DE9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0712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C59D5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4B76B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7809C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1B33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879EDE">
            <w:pPr>
              <w:jc w:val="center"/>
            </w:pPr>
            <w:r>
              <w:rPr>
                <w:rFonts w:ascii="宋体" w:hAnsi="宋体"/>
                <w:sz w:val="18"/>
              </w:rPr>
              <w:t>89.26</w:t>
            </w:r>
          </w:p>
        </w:tc>
        <w:tc>
          <w:tcPr>
            <w:tcW w:w="1177" w:type="dxa"/>
            <w:tcBorders>
              <w:top w:val="nil"/>
              <w:left w:val="nil"/>
              <w:bottom w:val="single" w:color="auto" w:sz="4" w:space="0"/>
              <w:right w:val="single" w:color="auto" w:sz="4" w:space="0"/>
            </w:tcBorders>
            <w:shd w:val="clear" w:color="auto" w:fill="auto"/>
            <w:noWrap/>
            <w:vAlign w:val="center"/>
          </w:tcPr>
          <w:p w14:paraId="6AE669BC">
            <w:pPr>
              <w:jc w:val="center"/>
            </w:pPr>
            <w:r>
              <w:rPr>
                <w:rFonts w:ascii="宋体" w:hAnsi="宋体"/>
                <w:sz w:val="18"/>
              </w:rPr>
              <w:t>89.26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4734F41">
            <w:pPr>
              <w:jc w:val="center"/>
            </w:pPr>
            <w:r>
              <w:rPr>
                <w:rFonts w:ascii="宋体" w:hAnsi="宋体"/>
                <w:sz w:val="18"/>
              </w:rPr>
              <w:t>89.26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6B43120">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9CD8185">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BEED6E8">
            <w:pPr>
              <w:jc w:val="center"/>
            </w:pPr>
            <w:r>
              <w:rPr>
                <w:rFonts w:ascii="宋体" w:hAnsi="宋体"/>
                <w:sz w:val="18"/>
              </w:rPr>
              <w:t>10.00分</w:t>
            </w:r>
          </w:p>
        </w:tc>
      </w:tr>
      <w:tr w14:paraId="273402A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A0488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0C26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1CE94F">
            <w:pPr>
              <w:jc w:val="center"/>
            </w:pPr>
            <w:r>
              <w:rPr>
                <w:rFonts w:ascii="宋体" w:hAnsi="宋体"/>
                <w:sz w:val="18"/>
              </w:rPr>
              <w:t>89.26</w:t>
            </w:r>
          </w:p>
        </w:tc>
        <w:tc>
          <w:tcPr>
            <w:tcW w:w="1177" w:type="dxa"/>
            <w:tcBorders>
              <w:top w:val="nil"/>
              <w:left w:val="nil"/>
              <w:bottom w:val="single" w:color="auto" w:sz="4" w:space="0"/>
              <w:right w:val="single" w:color="auto" w:sz="4" w:space="0"/>
            </w:tcBorders>
            <w:shd w:val="clear" w:color="auto" w:fill="auto"/>
            <w:noWrap/>
            <w:vAlign w:val="center"/>
          </w:tcPr>
          <w:p w14:paraId="502F7010">
            <w:pPr>
              <w:jc w:val="center"/>
            </w:pPr>
            <w:r>
              <w:rPr>
                <w:rFonts w:ascii="宋体" w:hAnsi="宋体"/>
                <w:sz w:val="18"/>
              </w:rPr>
              <w:t>89.26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6EAF306">
            <w:pPr>
              <w:jc w:val="center"/>
            </w:pPr>
            <w:r>
              <w:rPr>
                <w:rFonts w:ascii="宋体" w:hAnsi="宋体"/>
                <w:sz w:val="18"/>
              </w:rPr>
              <w:t>89.26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E7A05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329F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30D7A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C646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5639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E4E6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6BC4A4">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463C95B">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30729D">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4A9C0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F4EF6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35D8B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18473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7FCE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50F78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D8303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EF9442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C6FCAE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7C7471F">
            <w:pPr>
              <w:jc w:val="left"/>
            </w:pPr>
            <w:r>
              <w:rPr>
                <w:rFonts w:hint="eastAsia" w:ascii="宋体" w:hAnsi="宋体"/>
                <w:sz w:val="18"/>
                <w:lang w:eastAsia="zh-CN"/>
              </w:rPr>
              <w:t>认真贯彻</w:t>
            </w:r>
            <w:r>
              <w:rPr>
                <w:rFonts w:ascii="宋体" w:hAnsi="宋体"/>
                <w:sz w:val="18"/>
              </w:rPr>
              <w:t>落实自治区党委、市委和区委的决策部署，进一步加强宣传思想文化阵地建设，将群众面对面理论宣传思想教育作为意识形态工作的主要内容，长期开展此项工作，《乌鲁木齐晚报》征订投放对象重点为基层通讯员、基层宣讲员、道德模范、文联各协会、部分群众代表、文化书屋、民族团结大院等。全区2023年征订2000份，投递2022-2023年1200份以及宣传部2023年晚报及党报党刊款。顺利完成2023年晚报征订配送工作</w:t>
            </w:r>
          </w:p>
        </w:tc>
        <w:tc>
          <w:tcPr>
            <w:tcW w:w="4625" w:type="dxa"/>
            <w:gridSpan w:val="7"/>
            <w:tcBorders>
              <w:top w:val="single" w:color="auto" w:sz="4" w:space="0"/>
              <w:left w:val="nil"/>
              <w:bottom w:val="single" w:color="auto" w:sz="4" w:space="0"/>
              <w:right w:val="single" w:color="000000" w:sz="4" w:space="0"/>
            </w:tcBorders>
            <w:shd w:val="clear" w:color="auto" w:fill="auto"/>
          </w:tcPr>
          <w:p w14:paraId="1300563E">
            <w:pPr>
              <w:jc w:val="left"/>
            </w:pPr>
            <w:r>
              <w:rPr>
                <w:rFonts w:ascii="宋体" w:hAnsi="宋体"/>
                <w:sz w:val="18"/>
              </w:rPr>
              <w:t>完成全区2023年征订2000份，投递2022-2023年1200份以及宣传部2023年晚报及党报党刊款。顺利完成2023年晚报征订配送工作。</w:t>
            </w:r>
          </w:p>
        </w:tc>
      </w:tr>
      <w:tr w14:paraId="6C5183B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B8EF9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0CBBE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3698D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6DFD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DB2FD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6BFB5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9599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3DC2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5300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56A229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E380BB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726DA9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89C2AD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A247A7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47ABA1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342BBB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226F78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BF3A0F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C71D0F4">
            <w:pPr>
              <w:widowControl/>
              <w:jc w:val="left"/>
              <w:rPr>
                <w:rFonts w:hint="eastAsia" w:ascii="宋体" w:hAnsi="宋体" w:cs="宋体"/>
                <w:color w:val="000000"/>
                <w:kern w:val="0"/>
                <w:sz w:val="18"/>
                <w:szCs w:val="18"/>
              </w:rPr>
            </w:pPr>
          </w:p>
        </w:tc>
      </w:tr>
      <w:tr w14:paraId="630123A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BCED5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1E911B1">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558A84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3C0103">
            <w:pPr>
              <w:jc w:val="center"/>
            </w:pPr>
            <w:r>
              <w:rPr>
                <w:rFonts w:ascii="宋体" w:hAnsi="宋体"/>
                <w:sz w:val="18"/>
              </w:rPr>
              <w:t>乌市晚报征订量</w:t>
            </w:r>
          </w:p>
        </w:tc>
        <w:tc>
          <w:tcPr>
            <w:tcW w:w="1177" w:type="dxa"/>
            <w:tcBorders>
              <w:top w:val="nil"/>
              <w:left w:val="nil"/>
              <w:bottom w:val="single" w:color="auto" w:sz="4" w:space="0"/>
              <w:right w:val="single" w:color="auto" w:sz="4" w:space="0"/>
            </w:tcBorders>
            <w:shd w:val="clear" w:color="auto" w:fill="auto"/>
            <w:vAlign w:val="center"/>
          </w:tcPr>
          <w:p w14:paraId="69FF8E6E">
            <w:pPr>
              <w:jc w:val="center"/>
            </w:pPr>
            <w:r>
              <w:rPr>
                <w:rFonts w:ascii="宋体" w:hAnsi="宋体"/>
                <w:sz w:val="18"/>
              </w:rPr>
              <w:t>&gt;=2000份</w:t>
            </w:r>
          </w:p>
        </w:tc>
        <w:tc>
          <w:tcPr>
            <w:tcW w:w="1177" w:type="dxa"/>
            <w:tcBorders>
              <w:top w:val="nil"/>
              <w:left w:val="nil"/>
              <w:bottom w:val="single" w:color="auto" w:sz="4" w:space="0"/>
              <w:right w:val="single" w:color="auto" w:sz="4" w:space="0"/>
            </w:tcBorders>
            <w:shd w:val="clear" w:color="auto" w:fill="auto"/>
            <w:vAlign w:val="center"/>
          </w:tcPr>
          <w:p w14:paraId="0C07F099">
            <w:pPr>
              <w:jc w:val="center"/>
            </w:pPr>
            <w:r>
              <w:rPr>
                <w:rFonts w:ascii="宋体" w:hAnsi="宋体"/>
                <w:sz w:val="18"/>
              </w:rPr>
              <w:t>2000份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A5E0D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B082D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980B96">
            <w:pPr>
              <w:jc w:val="center"/>
            </w:pPr>
          </w:p>
        </w:tc>
      </w:tr>
      <w:tr w14:paraId="142F07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C287C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E0A92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7C6034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797B6A">
            <w:pPr>
              <w:jc w:val="center"/>
            </w:pPr>
            <w:r>
              <w:rPr>
                <w:rFonts w:ascii="宋体" w:hAnsi="宋体"/>
                <w:sz w:val="18"/>
              </w:rPr>
              <w:t>《乌市晚报（维文版）》投递量</w:t>
            </w:r>
          </w:p>
        </w:tc>
        <w:tc>
          <w:tcPr>
            <w:tcW w:w="1177" w:type="dxa"/>
            <w:tcBorders>
              <w:top w:val="nil"/>
              <w:left w:val="nil"/>
              <w:bottom w:val="single" w:color="auto" w:sz="4" w:space="0"/>
              <w:right w:val="single" w:color="auto" w:sz="4" w:space="0"/>
            </w:tcBorders>
            <w:shd w:val="clear" w:color="auto" w:fill="auto"/>
            <w:vAlign w:val="center"/>
          </w:tcPr>
          <w:p w14:paraId="59804E33">
            <w:pPr>
              <w:jc w:val="center"/>
            </w:pPr>
            <w:r>
              <w:rPr>
                <w:rFonts w:ascii="宋体" w:hAnsi="宋体"/>
                <w:sz w:val="18"/>
              </w:rPr>
              <w:t>=1200份</w:t>
            </w:r>
          </w:p>
        </w:tc>
        <w:tc>
          <w:tcPr>
            <w:tcW w:w="1177" w:type="dxa"/>
            <w:tcBorders>
              <w:top w:val="nil"/>
              <w:left w:val="nil"/>
              <w:bottom w:val="single" w:color="auto" w:sz="4" w:space="0"/>
              <w:right w:val="single" w:color="auto" w:sz="4" w:space="0"/>
            </w:tcBorders>
            <w:shd w:val="clear" w:color="auto" w:fill="auto"/>
            <w:vAlign w:val="center"/>
          </w:tcPr>
          <w:p w14:paraId="2A44D950">
            <w:pPr>
              <w:jc w:val="center"/>
            </w:pPr>
            <w:r>
              <w:rPr>
                <w:rFonts w:ascii="宋体" w:hAnsi="宋体"/>
                <w:sz w:val="18"/>
              </w:rPr>
              <w:t>1200份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51A3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F1FD7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957ED2">
            <w:pPr>
              <w:jc w:val="center"/>
            </w:pPr>
          </w:p>
        </w:tc>
      </w:tr>
      <w:tr w14:paraId="1A12AE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4AD7D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47AF9F">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629301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27C212">
            <w:pPr>
              <w:jc w:val="center"/>
            </w:pPr>
            <w:r>
              <w:rPr>
                <w:rFonts w:ascii="宋体" w:hAnsi="宋体"/>
                <w:sz w:val="18"/>
              </w:rPr>
              <w:t>配送报刊到位率</w:t>
            </w:r>
          </w:p>
        </w:tc>
        <w:tc>
          <w:tcPr>
            <w:tcW w:w="1177" w:type="dxa"/>
            <w:tcBorders>
              <w:top w:val="nil"/>
              <w:left w:val="nil"/>
              <w:bottom w:val="single" w:color="auto" w:sz="4" w:space="0"/>
              <w:right w:val="single" w:color="auto" w:sz="4" w:space="0"/>
            </w:tcBorders>
            <w:shd w:val="clear" w:color="auto" w:fill="auto"/>
            <w:vAlign w:val="center"/>
          </w:tcPr>
          <w:p w14:paraId="314CF7D8">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70CCE1F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06ED3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C85C3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87353F">
            <w:pPr>
              <w:jc w:val="center"/>
            </w:pPr>
          </w:p>
        </w:tc>
      </w:tr>
      <w:tr w14:paraId="664BBF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C593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CB7E9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8C468B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F1B947">
            <w:pPr>
              <w:jc w:val="center"/>
            </w:pPr>
            <w:r>
              <w:rPr>
                <w:rFonts w:ascii="宋体" w:hAnsi="宋体"/>
                <w:sz w:val="18"/>
              </w:rPr>
              <w:t>报刊质量合格率(%)</w:t>
            </w:r>
          </w:p>
        </w:tc>
        <w:tc>
          <w:tcPr>
            <w:tcW w:w="1177" w:type="dxa"/>
            <w:tcBorders>
              <w:top w:val="nil"/>
              <w:left w:val="nil"/>
              <w:bottom w:val="single" w:color="auto" w:sz="4" w:space="0"/>
              <w:right w:val="single" w:color="auto" w:sz="4" w:space="0"/>
            </w:tcBorders>
            <w:shd w:val="clear" w:color="auto" w:fill="auto"/>
            <w:vAlign w:val="center"/>
          </w:tcPr>
          <w:p w14:paraId="715DA43E">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3072DB5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55FD3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DFE19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DD9FE4">
            <w:pPr>
              <w:jc w:val="center"/>
            </w:pPr>
          </w:p>
        </w:tc>
      </w:tr>
      <w:tr w14:paraId="28B2A8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F8AB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CAA74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7FF37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AAD35A">
            <w:pPr>
              <w:jc w:val="center"/>
            </w:pPr>
            <w:r>
              <w:rPr>
                <w:rFonts w:ascii="宋体" w:hAnsi="宋体"/>
                <w:sz w:val="18"/>
              </w:rPr>
              <w:t>配送及时率</w:t>
            </w:r>
          </w:p>
        </w:tc>
        <w:tc>
          <w:tcPr>
            <w:tcW w:w="1177" w:type="dxa"/>
            <w:tcBorders>
              <w:top w:val="nil"/>
              <w:left w:val="nil"/>
              <w:bottom w:val="single" w:color="auto" w:sz="4" w:space="0"/>
              <w:right w:val="single" w:color="auto" w:sz="4" w:space="0"/>
            </w:tcBorders>
            <w:shd w:val="clear" w:color="auto" w:fill="auto"/>
            <w:vAlign w:val="center"/>
          </w:tcPr>
          <w:p w14:paraId="787AD7FE">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BBD233C">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FD874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3C219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E05892">
            <w:pPr>
              <w:jc w:val="center"/>
            </w:pPr>
          </w:p>
        </w:tc>
      </w:tr>
      <w:tr w14:paraId="4F8744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06E4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7D191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237D70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40FB50">
            <w:pPr>
              <w:jc w:val="center"/>
            </w:pPr>
            <w:r>
              <w:rPr>
                <w:rFonts w:ascii="宋体" w:hAnsi="宋体"/>
                <w:sz w:val="18"/>
              </w:rPr>
              <w:t>加强宣传思想文化阵地建设</w:t>
            </w:r>
          </w:p>
        </w:tc>
        <w:tc>
          <w:tcPr>
            <w:tcW w:w="1177" w:type="dxa"/>
            <w:tcBorders>
              <w:top w:val="nil"/>
              <w:left w:val="nil"/>
              <w:bottom w:val="single" w:color="auto" w:sz="4" w:space="0"/>
              <w:right w:val="single" w:color="auto" w:sz="4" w:space="0"/>
            </w:tcBorders>
            <w:shd w:val="clear" w:color="auto" w:fill="auto"/>
            <w:vAlign w:val="center"/>
          </w:tcPr>
          <w:p w14:paraId="5EF608C0">
            <w:pPr>
              <w:jc w:val="center"/>
            </w:pPr>
            <w:r>
              <w:rPr>
                <w:rFonts w:ascii="宋体" w:hAnsi="宋体"/>
                <w:sz w:val="18"/>
              </w:rPr>
              <w:t>有效加强</w:t>
            </w:r>
          </w:p>
        </w:tc>
        <w:tc>
          <w:tcPr>
            <w:tcW w:w="1177" w:type="dxa"/>
            <w:tcBorders>
              <w:top w:val="nil"/>
              <w:left w:val="nil"/>
              <w:bottom w:val="single" w:color="auto" w:sz="4" w:space="0"/>
              <w:right w:val="single" w:color="auto" w:sz="4" w:space="0"/>
            </w:tcBorders>
            <w:shd w:val="clear" w:color="auto" w:fill="auto"/>
            <w:vAlign w:val="center"/>
          </w:tcPr>
          <w:p w14:paraId="1FBA92AE">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99EA63">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C1B540">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53378E">
            <w:pPr>
              <w:jc w:val="center"/>
            </w:pPr>
          </w:p>
        </w:tc>
      </w:tr>
      <w:tr w14:paraId="3E1F92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5F0E0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0A9ECB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1EB484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419CAC">
            <w:pPr>
              <w:jc w:val="center"/>
            </w:pPr>
            <w:r>
              <w:rPr>
                <w:rFonts w:ascii="宋体" w:hAnsi="宋体"/>
                <w:sz w:val="18"/>
              </w:rPr>
              <w:t>投放对象满意度</w:t>
            </w:r>
          </w:p>
        </w:tc>
        <w:tc>
          <w:tcPr>
            <w:tcW w:w="1177" w:type="dxa"/>
            <w:tcBorders>
              <w:top w:val="nil"/>
              <w:left w:val="nil"/>
              <w:bottom w:val="single" w:color="auto" w:sz="4" w:space="0"/>
              <w:right w:val="single" w:color="auto" w:sz="4" w:space="0"/>
            </w:tcBorders>
            <w:shd w:val="clear" w:color="auto" w:fill="auto"/>
            <w:vAlign w:val="center"/>
          </w:tcPr>
          <w:p w14:paraId="52243F23">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396F49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31F4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756D8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F7F284">
            <w:pPr>
              <w:jc w:val="center"/>
            </w:pPr>
          </w:p>
        </w:tc>
      </w:tr>
      <w:tr w14:paraId="34F430C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C3CD12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4312AC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D41D036">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DD4D88">
            <w:pPr>
              <w:jc w:val="center"/>
            </w:pPr>
          </w:p>
        </w:tc>
      </w:tr>
    </w:tbl>
    <w:p w14:paraId="1700EC8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97E0E5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94091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A0F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B319C28">
            <w:pPr>
              <w:jc w:val="center"/>
            </w:pPr>
            <w:r>
              <w:rPr>
                <w:rFonts w:ascii="宋体" w:hAnsi="宋体"/>
                <w:sz w:val="18"/>
              </w:rPr>
              <w:t>乌财教材【2023】19号-关于提前下达2023年中央补助地方公共文化服务体系建设补助资金</w:t>
            </w:r>
          </w:p>
        </w:tc>
      </w:tr>
      <w:tr w14:paraId="421F5B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FCB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7C6D51C">
            <w:pPr>
              <w:jc w:val="center"/>
              <w:rPr>
                <w:rFonts w:hint="eastAsia" w:eastAsia="宋体"/>
                <w:lang w:eastAsia="zh-CN"/>
              </w:rPr>
            </w:pPr>
            <w:r>
              <w:rPr>
                <w:rFonts w:ascii="宋体" w:hAnsi="宋体"/>
                <w:sz w:val="18"/>
              </w:rPr>
              <w:t>米东</w:t>
            </w:r>
            <w:r>
              <w:rPr>
                <w:rFonts w:hint="eastAsia" w:ascii="宋体" w:hAnsi="宋体"/>
                <w:sz w:val="18"/>
                <w:lang w:eastAsia="zh-CN"/>
              </w:rPr>
              <w:t>区委宣传部</w:t>
            </w:r>
          </w:p>
        </w:tc>
        <w:tc>
          <w:tcPr>
            <w:tcW w:w="1177" w:type="dxa"/>
            <w:tcBorders>
              <w:top w:val="nil"/>
              <w:left w:val="nil"/>
              <w:bottom w:val="single" w:color="auto" w:sz="4" w:space="0"/>
              <w:right w:val="single" w:color="auto" w:sz="4" w:space="0"/>
            </w:tcBorders>
            <w:shd w:val="clear" w:color="auto" w:fill="auto"/>
            <w:vAlign w:val="center"/>
          </w:tcPr>
          <w:p w14:paraId="31EA7D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BDD4150">
            <w:pPr>
              <w:jc w:val="center"/>
              <w:rPr>
                <w:rFonts w:hint="eastAsia" w:eastAsia="宋体"/>
                <w:lang w:eastAsia="zh-CN"/>
              </w:rPr>
            </w:pPr>
            <w:r>
              <w:rPr>
                <w:rFonts w:ascii="宋体" w:hAnsi="宋体"/>
                <w:sz w:val="18"/>
              </w:rPr>
              <w:t>米东</w:t>
            </w:r>
            <w:r>
              <w:rPr>
                <w:rFonts w:hint="eastAsia" w:ascii="宋体" w:hAnsi="宋体"/>
                <w:sz w:val="18"/>
                <w:lang w:eastAsia="zh-CN"/>
              </w:rPr>
              <w:t>区委宣传部</w:t>
            </w:r>
          </w:p>
        </w:tc>
      </w:tr>
      <w:tr w14:paraId="42227F9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F9A1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AC985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E5C94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0AE3F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7C7A6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5456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B940F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A2C57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62BE6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855D8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62F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85B53A">
            <w:pPr>
              <w:jc w:val="center"/>
            </w:pPr>
            <w:r>
              <w:rPr>
                <w:rFonts w:ascii="宋体" w:hAnsi="宋体"/>
                <w:sz w:val="18"/>
              </w:rPr>
              <w:t>16.20</w:t>
            </w:r>
          </w:p>
        </w:tc>
        <w:tc>
          <w:tcPr>
            <w:tcW w:w="1177" w:type="dxa"/>
            <w:tcBorders>
              <w:top w:val="nil"/>
              <w:left w:val="nil"/>
              <w:bottom w:val="single" w:color="auto" w:sz="4" w:space="0"/>
              <w:right w:val="single" w:color="auto" w:sz="4" w:space="0"/>
            </w:tcBorders>
            <w:shd w:val="clear" w:color="auto" w:fill="auto"/>
            <w:noWrap/>
            <w:vAlign w:val="center"/>
          </w:tcPr>
          <w:p w14:paraId="46863282">
            <w:pPr>
              <w:jc w:val="center"/>
            </w:pPr>
            <w:r>
              <w:rPr>
                <w:rFonts w:ascii="宋体" w:hAnsi="宋体"/>
                <w:sz w:val="18"/>
              </w:rPr>
              <w:t>16.20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54C8729">
            <w:pPr>
              <w:jc w:val="center"/>
            </w:pPr>
            <w:r>
              <w:rPr>
                <w:rFonts w:ascii="宋体" w:hAnsi="宋体"/>
                <w:sz w:val="18"/>
              </w:rPr>
              <w:t>16.20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3E9F2E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1178A6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F25D4D5">
            <w:pPr>
              <w:jc w:val="center"/>
            </w:pPr>
            <w:r>
              <w:rPr>
                <w:rFonts w:ascii="宋体" w:hAnsi="宋体"/>
                <w:sz w:val="18"/>
              </w:rPr>
              <w:t>10.00分</w:t>
            </w:r>
          </w:p>
        </w:tc>
      </w:tr>
      <w:tr w14:paraId="5ECC62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304D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1F51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89CC7E">
            <w:pPr>
              <w:jc w:val="center"/>
            </w:pPr>
            <w:r>
              <w:rPr>
                <w:rFonts w:ascii="宋体" w:hAnsi="宋体"/>
                <w:sz w:val="18"/>
              </w:rPr>
              <w:t>16.20</w:t>
            </w:r>
          </w:p>
        </w:tc>
        <w:tc>
          <w:tcPr>
            <w:tcW w:w="1177" w:type="dxa"/>
            <w:tcBorders>
              <w:top w:val="nil"/>
              <w:left w:val="nil"/>
              <w:bottom w:val="single" w:color="auto" w:sz="4" w:space="0"/>
              <w:right w:val="single" w:color="auto" w:sz="4" w:space="0"/>
            </w:tcBorders>
            <w:shd w:val="clear" w:color="auto" w:fill="auto"/>
            <w:noWrap/>
            <w:vAlign w:val="center"/>
          </w:tcPr>
          <w:p w14:paraId="7176F847">
            <w:pPr>
              <w:jc w:val="center"/>
            </w:pPr>
            <w:r>
              <w:rPr>
                <w:rFonts w:ascii="宋体" w:hAnsi="宋体"/>
                <w:sz w:val="18"/>
              </w:rPr>
              <w:t>16.20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C1FBB64">
            <w:pPr>
              <w:jc w:val="center"/>
            </w:pPr>
            <w:r>
              <w:rPr>
                <w:rFonts w:ascii="宋体" w:hAnsi="宋体"/>
                <w:sz w:val="18"/>
              </w:rPr>
              <w:t>16.20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864F8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49AFB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8BEE7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3646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D9546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87AD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0BE60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483667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FFFB71B">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0205D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4B597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57471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F85E7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4459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928E2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08352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2B98F8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B4D9C1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B698DB9">
            <w:pPr>
              <w:jc w:val="left"/>
            </w:pPr>
            <w:r>
              <w:rPr>
                <w:rFonts w:ascii="宋体" w:hAnsi="宋体"/>
                <w:sz w:val="18"/>
              </w:rPr>
              <w:t>提高政治站位，着力加强思想文化引领，落实国家标准，确保每年每个农家书屋出版物补充更新资金不少于2000元，补充更新图书不少于60种，充分发挥优秀出版物的导向引领作用，为广大农民群众提供强大的精神力量。</w:t>
            </w:r>
          </w:p>
        </w:tc>
        <w:tc>
          <w:tcPr>
            <w:tcW w:w="4625" w:type="dxa"/>
            <w:gridSpan w:val="7"/>
            <w:tcBorders>
              <w:top w:val="single" w:color="auto" w:sz="4" w:space="0"/>
              <w:left w:val="nil"/>
              <w:bottom w:val="single" w:color="auto" w:sz="4" w:space="0"/>
              <w:right w:val="single" w:color="000000" w:sz="4" w:space="0"/>
            </w:tcBorders>
            <w:shd w:val="clear" w:color="auto" w:fill="auto"/>
          </w:tcPr>
          <w:p w14:paraId="5B6EBF9B">
            <w:pPr>
              <w:jc w:val="left"/>
            </w:pPr>
            <w:r>
              <w:rPr>
                <w:rFonts w:ascii="宋体" w:hAnsi="宋体"/>
                <w:sz w:val="18"/>
              </w:rPr>
              <w:t>提高政治站位，着力加强思想文化引领，落实国家标准，确保了每年每个农家书屋出版物补充更新资金不少于2000元，补充更新图书不少于60种，充分发挥优秀出版物的导向引领作用，为广大农民群众提供强大的精神力量</w:t>
            </w:r>
          </w:p>
        </w:tc>
      </w:tr>
      <w:tr w14:paraId="738E516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C2F47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92896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51611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A049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2361B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0D47D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D235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5C7F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8A8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A69224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5D6724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EE9EF2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89305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D1167C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FC7313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7B7981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952A26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22CAFB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75DF411">
            <w:pPr>
              <w:widowControl/>
              <w:jc w:val="left"/>
              <w:rPr>
                <w:rFonts w:hint="eastAsia" w:ascii="宋体" w:hAnsi="宋体" w:cs="宋体"/>
                <w:color w:val="000000"/>
                <w:kern w:val="0"/>
                <w:sz w:val="18"/>
                <w:szCs w:val="18"/>
              </w:rPr>
            </w:pPr>
          </w:p>
        </w:tc>
      </w:tr>
      <w:tr w14:paraId="384665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55633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CCC6296">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7EF0F5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2DAB85">
            <w:pPr>
              <w:jc w:val="center"/>
            </w:pPr>
            <w:r>
              <w:rPr>
                <w:rFonts w:ascii="宋体" w:hAnsi="宋体"/>
                <w:sz w:val="18"/>
              </w:rPr>
              <w:t>全区农家书屋个数</w:t>
            </w:r>
          </w:p>
        </w:tc>
        <w:tc>
          <w:tcPr>
            <w:tcW w:w="1177" w:type="dxa"/>
            <w:tcBorders>
              <w:top w:val="nil"/>
              <w:left w:val="nil"/>
              <w:bottom w:val="single" w:color="auto" w:sz="4" w:space="0"/>
              <w:right w:val="single" w:color="auto" w:sz="4" w:space="0"/>
            </w:tcBorders>
            <w:shd w:val="clear" w:color="auto" w:fill="auto"/>
            <w:vAlign w:val="center"/>
          </w:tcPr>
          <w:p w14:paraId="5819D878">
            <w:pPr>
              <w:jc w:val="center"/>
            </w:pPr>
            <w:r>
              <w:rPr>
                <w:rFonts w:ascii="宋体" w:hAnsi="宋体"/>
                <w:sz w:val="18"/>
              </w:rPr>
              <w:t>=81个</w:t>
            </w:r>
          </w:p>
        </w:tc>
        <w:tc>
          <w:tcPr>
            <w:tcW w:w="1177" w:type="dxa"/>
            <w:tcBorders>
              <w:top w:val="nil"/>
              <w:left w:val="nil"/>
              <w:bottom w:val="single" w:color="auto" w:sz="4" w:space="0"/>
              <w:right w:val="single" w:color="auto" w:sz="4" w:space="0"/>
            </w:tcBorders>
            <w:shd w:val="clear" w:color="auto" w:fill="auto"/>
            <w:vAlign w:val="center"/>
          </w:tcPr>
          <w:p w14:paraId="7292548C">
            <w:pPr>
              <w:jc w:val="center"/>
            </w:pPr>
            <w:r>
              <w:rPr>
                <w:rFonts w:ascii="宋体" w:hAnsi="宋体"/>
                <w:sz w:val="18"/>
              </w:rPr>
              <w:t>81个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C280B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D097B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5919FB">
            <w:pPr>
              <w:jc w:val="center"/>
            </w:pPr>
          </w:p>
        </w:tc>
      </w:tr>
      <w:tr w14:paraId="7684CB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A2B6F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523E5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E2E0EA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F428D5">
            <w:pPr>
              <w:jc w:val="center"/>
            </w:pPr>
            <w:r>
              <w:rPr>
                <w:rFonts w:ascii="宋体" w:hAnsi="宋体"/>
                <w:sz w:val="18"/>
              </w:rPr>
              <w:t>补充更新图书种类</w:t>
            </w:r>
          </w:p>
        </w:tc>
        <w:tc>
          <w:tcPr>
            <w:tcW w:w="1177" w:type="dxa"/>
            <w:tcBorders>
              <w:top w:val="nil"/>
              <w:left w:val="nil"/>
              <w:bottom w:val="single" w:color="auto" w:sz="4" w:space="0"/>
              <w:right w:val="single" w:color="auto" w:sz="4" w:space="0"/>
            </w:tcBorders>
            <w:shd w:val="clear" w:color="auto" w:fill="auto"/>
            <w:vAlign w:val="center"/>
          </w:tcPr>
          <w:p w14:paraId="0CCF2DE7">
            <w:pPr>
              <w:jc w:val="center"/>
            </w:pPr>
            <w:r>
              <w:rPr>
                <w:rFonts w:ascii="宋体" w:hAnsi="宋体"/>
                <w:sz w:val="18"/>
              </w:rPr>
              <w:t>&gt;=60种</w:t>
            </w:r>
          </w:p>
        </w:tc>
        <w:tc>
          <w:tcPr>
            <w:tcW w:w="1177" w:type="dxa"/>
            <w:tcBorders>
              <w:top w:val="nil"/>
              <w:left w:val="nil"/>
              <w:bottom w:val="single" w:color="auto" w:sz="4" w:space="0"/>
              <w:right w:val="single" w:color="auto" w:sz="4" w:space="0"/>
            </w:tcBorders>
            <w:shd w:val="clear" w:color="auto" w:fill="auto"/>
            <w:vAlign w:val="center"/>
          </w:tcPr>
          <w:p w14:paraId="0320A514">
            <w:pPr>
              <w:jc w:val="center"/>
            </w:pPr>
            <w:r>
              <w:rPr>
                <w:rFonts w:ascii="宋体" w:hAnsi="宋体"/>
                <w:sz w:val="18"/>
              </w:rPr>
              <w:t>60种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699F8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1A88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04502E">
            <w:pPr>
              <w:jc w:val="center"/>
            </w:pPr>
          </w:p>
        </w:tc>
      </w:tr>
      <w:tr w14:paraId="6BCA58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764E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B19F8A">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142632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E37A5B">
            <w:pPr>
              <w:jc w:val="center"/>
            </w:pPr>
            <w:r>
              <w:rPr>
                <w:rFonts w:ascii="宋体" w:hAnsi="宋体"/>
                <w:sz w:val="18"/>
              </w:rPr>
              <w:t>图书发放覆盖率</w:t>
            </w:r>
          </w:p>
        </w:tc>
        <w:tc>
          <w:tcPr>
            <w:tcW w:w="1177" w:type="dxa"/>
            <w:tcBorders>
              <w:top w:val="nil"/>
              <w:left w:val="nil"/>
              <w:bottom w:val="single" w:color="auto" w:sz="4" w:space="0"/>
              <w:right w:val="single" w:color="auto" w:sz="4" w:space="0"/>
            </w:tcBorders>
            <w:shd w:val="clear" w:color="auto" w:fill="auto"/>
            <w:vAlign w:val="center"/>
          </w:tcPr>
          <w:p w14:paraId="63D9DA0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78F6BF5">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2D6F2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0EA44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C21C75">
            <w:pPr>
              <w:jc w:val="center"/>
            </w:pPr>
          </w:p>
        </w:tc>
      </w:tr>
      <w:tr w14:paraId="58E2DD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C4F3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C6DCE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A150B1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585425">
            <w:pPr>
              <w:jc w:val="center"/>
            </w:pPr>
            <w:r>
              <w:rPr>
                <w:rFonts w:ascii="宋体" w:hAnsi="宋体"/>
                <w:sz w:val="18"/>
              </w:rPr>
              <w:t>补充更新图书质量合格率</w:t>
            </w:r>
          </w:p>
        </w:tc>
        <w:tc>
          <w:tcPr>
            <w:tcW w:w="1177" w:type="dxa"/>
            <w:tcBorders>
              <w:top w:val="nil"/>
              <w:left w:val="nil"/>
              <w:bottom w:val="single" w:color="auto" w:sz="4" w:space="0"/>
              <w:right w:val="single" w:color="auto" w:sz="4" w:space="0"/>
            </w:tcBorders>
            <w:shd w:val="clear" w:color="auto" w:fill="auto"/>
            <w:vAlign w:val="center"/>
          </w:tcPr>
          <w:p w14:paraId="1BA0C59E">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01C9FE6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30FA7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04E97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7E5DD8">
            <w:pPr>
              <w:jc w:val="center"/>
            </w:pPr>
          </w:p>
        </w:tc>
      </w:tr>
      <w:tr w14:paraId="5A04A0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58033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7F2F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41393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3D06D0">
            <w:pPr>
              <w:jc w:val="center"/>
            </w:pPr>
            <w:r>
              <w:rPr>
                <w:rFonts w:ascii="宋体" w:hAnsi="宋体"/>
                <w:sz w:val="18"/>
              </w:rPr>
              <w:t>资金支付及时率</w:t>
            </w:r>
          </w:p>
        </w:tc>
        <w:tc>
          <w:tcPr>
            <w:tcW w:w="1177" w:type="dxa"/>
            <w:tcBorders>
              <w:top w:val="nil"/>
              <w:left w:val="nil"/>
              <w:bottom w:val="single" w:color="auto" w:sz="4" w:space="0"/>
              <w:right w:val="single" w:color="auto" w:sz="4" w:space="0"/>
            </w:tcBorders>
            <w:shd w:val="clear" w:color="auto" w:fill="auto"/>
            <w:vAlign w:val="center"/>
          </w:tcPr>
          <w:p w14:paraId="203B41DD">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C5A8F2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31C8A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EB2BB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FA1502">
            <w:pPr>
              <w:jc w:val="center"/>
            </w:pPr>
          </w:p>
        </w:tc>
      </w:tr>
      <w:tr w14:paraId="051546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869B1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F98C0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C7D3F4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F09D98">
            <w:pPr>
              <w:jc w:val="center"/>
            </w:pPr>
            <w:r>
              <w:rPr>
                <w:rFonts w:ascii="宋体" w:hAnsi="宋体"/>
                <w:sz w:val="18"/>
              </w:rPr>
              <w:t>每个农家书屋图书补充更新资金</w:t>
            </w:r>
          </w:p>
        </w:tc>
        <w:tc>
          <w:tcPr>
            <w:tcW w:w="1177" w:type="dxa"/>
            <w:tcBorders>
              <w:top w:val="nil"/>
              <w:left w:val="nil"/>
              <w:bottom w:val="single" w:color="auto" w:sz="4" w:space="0"/>
              <w:right w:val="single" w:color="auto" w:sz="4" w:space="0"/>
            </w:tcBorders>
            <w:shd w:val="clear" w:color="auto" w:fill="auto"/>
            <w:vAlign w:val="center"/>
          </w:tcPr>
          <w:p w14:paraId="68DAA928">
            <w:pPr>
              <w:jc w:val="center"/>
            </w:pPr>
            <w:r>
              <w:rPr>
                <w:rFonts w:ascii="宋体" w:hAnsi="宋体"/>
                <w:sz w:val="18"/>
              </w:rPr>
              <w:t>=2000元</w:t>
            </w:r>
          </w:p>
        </w:tc>
        <w:tc>
          <w:tcPr>
            <w:tcW w:w="1177" w:type="dxa"/>
            <w:tcBorders>
              <w:top w:val="nil"/>
              <w:left w:val="nil"/>
              <w:bottom w:val="single" w:color="auto" w:sz="4" w:space="0"/>
              <w:right w:val="single" w:color="auto" w:sz="4" w:space="0"/>
            </w:tcBorders>
            <w:shd w:val="clear" w:color="auto" w:fill="auto"/>
            <w:vAlign w:val="center"/>
          </w:tcPr>
          <w:p w14:paraId="279854AD">
            <w:pPr>
              <w:jc w:val="center"/>
            </w:pPr>
            <w:r>
              <w:rPr>
                <w:rFonts w:ascii="宋体" w:hAnsi="宋体"/>
                <w:sz w:val="18"/>
              </w:rPr>
              <w:t>2000元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F52EF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17837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1B1585">
            <w:pPr>
              <w:jc w:val="center"/>
            </w:pPr>
          </w:p>
        </w:tc>
      </w:tr>
      <w:tr w14:paraId="231DAD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2EB1B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665107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E34EA7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1487AA">
            <w:pPr>
              <w:jc w:val="center"/>
            </w:pPr>
            <w:r>
              <w:rPr>
                <w:rFonts w:ascii="宋体" w:hAnsi="宋体"/>
                <w:sz w:val="18"/>
              </w:rPr>
              <w:t>着力发挥优秀出版物的导向引领作用</w:t>
            </w:r>
          </w:p>
        </w:tc>
        <w:tc>
          <w:tcPr>
            <w:tcW w:w="1177" w:type="dxa"/>
            <w:tcBorders>
              <w:top w:val="nil"/>
              <w:left w:val="nil"/>
              <w:bottom w:val="single" w:color="auto" w:sz="4" w:space="0"/>
              <w:right w:val="single" w:color="auto" w:sz="4" w:space="0"/>
            </w:tcBorders>
            <w:shd w:val="clear" w:color="auto" w:fill="auto"/>
            <w:vAlign w:val="center"/>
          </w:tcPr>
          <w:p w14:paraId="11A55ED3">
            <w:pPr>
              <w:jc w:val="center"/>
            </w:pPr>
            <w:r>
              <w:rPr>
                <w:rFonts w:ascii="宋体" w:hAnsi="宋体"/>
                <w:sz w:val="18"/>
              </w:rPr>
              <w:t>有效发挥</w:t>
            </w:r>
          </w:p>
        </w:tc>
        <w:tc>
          <w:tcPr>
            <w:tcW w:w="1177" w:type="dxa"/>
            <w:tcBorders>
              <w:top w:val="nil"/>
              <w:left w:val="nil"/>
              <w:bottom w:val="single" w:color="auto" w:sz="4" w:space="0"/>
              <w:right w:val="single" w:color="auto" w:sz="4" w:space="0"/>
            </w:tcBorders>
            <w:shd w:val="clear" w:color="auto" w:fill="auto"/>
            <w:vAlign w:val="center"/>
          </w:tcPr>
          <w:p w14:paraId="103384DE">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7D05A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4F8D3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E89EB8">
            <w:pPr>
              <w:jc w:val="center"/>
            </w:pPr>
          </w:p>
        </w:tc>
      </w:tr>
      <w:tr w14:paraId="01DFAC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90D5A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612DB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2240C0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EEC2CE">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11B45D9D">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F77FE6A">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68130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AFE52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F7575F">
            <w:pPr>
              <w:jc w:val="center"/>
            </w:pPr>
          </w:p>
        </w:tc>
      </w:tr>
      <w:tr w14:paraId="69C05F9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CEBA3A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6F1C58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4340C63">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CBEFEE">
            <w:pPr>
              <w:jc w:val="center"/>
            </w:pPr>
          </w:p>
        </w:tc>
      </w:tr>
    </w:tbl>
    <w:p w14:paraId="1421084B">
      <w:pPr>
        <w:jc w:val="left"/>
        <w:rPr>
          <w:rFonts w:hint="eastAsia" w:ascii="宋体" w:hAnsi="宋体" w:cs="宋体"/>
          <w:b/>
          <w:bCs/>
          <w:kern w:val="0"/>
          <w:sz w:val="18"/>
          <w:szCs w:val="18"/>
        </w:rPr>
      </w:pPr>
    </w:p>
    <w:p w14:paraId="73464F9C">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871729B">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734664AB">
      <w:pPr>
        <w:jc w:val="center"/>
        <w:outlineLvl w:val="0"/>
        <w:rPr>
          <w:rFonts w:hint="eastAsia" w:ascii="黑体" w:hAnsi="黑体" w:eastAsia="黑体"/>
          <w:sz w:val="32"/>
          <w:szCs w:val="32"/>
        </w:rPr>
      </w:pPr>
      <w:bookmarkStart w:id="34" w:name="_Toc3250"/>
      <w:bookmarkStart w:id="35"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4"/>
      <w:bookmarkEnd w:id="35"/>
    </w:p>
    <w:p w14:paraId="6E90F5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A25040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9189D3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0543FE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B24D4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EF1046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1F41F3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034BA4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DB059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A725CD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060FFB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43F1E9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485848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39608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1389A5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386F000">
      <w:pPr>
        <w:ind w:firstLine="640" w:firstLineChars="200"/>
        <w:outlineLvl w:val="1"/>
        <w:rPr>
          <w:rFonts w:hint="eastAsia" w:ascii="黑体" w:hAnsi="黑体" w:eastAsia="仿宋_GB2312" w:cs="宋体"/>
          <w:bCs/>
          <w:kern w:val="0"/>
          <w:sz w:val="32"/>
          <w:szCs w:val="32"/>
        </w:rPr>
      </w:pPr>
      <w:bookmarkStart w:id="36" w:name="_Toc2183"/>
      <w:bookmarkStart w:id="37" w:name="_Toc6062"/>
      <w:r>
        <w:rPr>
          <w:rFonts w:hint="eastAsia" w:ascii="黑体" w:hAnsi="黑体" w:eastAsia="仿宋_GB2312" w:cs="宋体"/>
          <w:bCs/>
          <w:kern w:val="0"/>
          <w:sz w:val="32"/>
          <w:szCs w:val="32"/>
        </w:rPr>
        <w:t>一、《收入支出决算总表》</w:t>
      </w:r>
      <w:bookmarkEnd w:id="36"/>
      <w:bookmarkEnd w:id="37"/>
    </w:p>
    <w:p w14:paraId="7AB20065">
      <w:pPr>
        <w:ind w:firstLine="640" w:firstLineChars="200"/>
        <w:outlineLvl w:val="1"/>
        <w:rPr>
          <w:rFonts w:hint="eastAsia" w:ascii="黑体" w:hAnsi="黑体" w:eastAsia="仿宋_GB2312" w:cs="宋体"/>
          <w:bCs/>
          <w:kern w:val="0"/>
          <w:sz w:val="32"/>
          <w:szCs w:val="32"/>
        </w:rPr>
      </w:pPr>
      <w:bookmarkStart w:id="38" w:name="_Toc24532"/>
      <w:bookmarkStart w:id="39" w:name="_Toc30364"/>
      <w:r>
        <w:rPr>
          <w:rFonts w:hint="eastAsia" w:ascii="黑体" w:hAnsi="黑体" w:eastAsia="仿宋_GB2312" w:cs="宋体"/>
          <w:bCs/>
          <w:kern w:val="0"/>
          <w:sz w:val="32"/>
          <w:szCs w:val="32"/>
        </w:rPr>
        <w:t>二、《收入决算表》</w:t>
      </w:r>
      <w:bookmarkEnd w:id="38"/>
      <w:bookmarkEnd w:id="39"/>
    </w:p>
    <w:p w14:paraId="19C61F13">
      <w:pPr>
        <w:ind w:firstLine="640" w:firstLineChars="200"/>
        <w:outlineLvl w:val="1"/>
        <w:rPr>
          <w:rFonts w:hint="eastAsia" w:ascii="黑体" w:hAnsi="黑体" w:eastAsia="仿宋_GB2312" w:cs="宋体"/>
          <w:bCs/>
          <w:kern w:val="0"/>
          <w:sz w:val="32"/>
          <w:szCs w:val="32"/>
        </w:rPr>
      </w:pPr>
      <w:bookmarkStart w:id="40" w:name="_Toc32434"/>
      <w:bookmarkStart w:id="41" w:name="_Toc21304"/>
      <w:r>
        <w:rPr>
          <w:rFonts w:hint="eastAsia" w:ascii="黑体" w:hAnsi="黑体" w:eastAsia="仿宋_GB2312" w:cs="宋体"/>
          <w:bCs/>
          <w:kern w:val="0"/>
          <w:sz w:val="32"/>
          <w:szCs w:val="32"/>
        </w:rPr>
        <w:t>三、《支出决算表》</w:t>
      </w:r>
      <w:bookmarkEnd w:id="40"/>
      <w:bookmarkEnd w:id="41"/>
    </w:p>
    <w:p w14:paraId="60A2E375">
      <w:pPr>
        <w:ind w:firstLine="640" w:firstLineChars="200"/>
        <w:outlineLvl w:val="1"/>
        <w:rPr>
          <w:rFonts w:hint="eastAsia" w:ascii="黑体" w:hAnsi="黑体" w:eastAsia="仿宋_GB2312" w:cs="宋体"/>
          <w:bCs/>
          <w:kern w:val="0"/>
          <w:sz w:val="32"/>
          <w:szCs w:val="32"/>
        </w:rPr>
      </w:pPr>
      <w:bookmarkStart w:id="42" w:name="_Toc14238"/>
      <w:bookmarkStart w:id="43" w:name="_Toc28786"/>
      <w:r>
        <w:rPr>
          <w:rFonts w:hint="eastAsia" w:ascii="黑体" w:hAnsi="黑体" w:eastAsia="仿宋_GB2312" w:cs="宋体"/>
          <w:bCs/>
          <w:kern w:val="0"/>
          <w:sz w:val="32"/>
          <w:szCs w:val="32"/>
        </w:rPr>
        <w:t>四、《财政拨款收入支出决算总表》</w:t>
      </w:r>
      <w:bookmarkEnd w:id="42"/>
      <w:bookmarkEnd w:id="43"/>
    </w:p>
    <w:p w14:paraId="63FCEB40">
      <w:pPr>
        <w:ind w:firstLine="640" w:firstLineChars="200"/>
        <w:outlineLvl w:val="1"/>
        <w:rPr>
          <w:rFonts w:hint="eastAsia" w:ascii="黑体" w:hAnsi="黑体" w:eastAsia="仿宋_GB2312" w:cs="宋体"/>
          <w:bCs/>
          <w:kern w:val="0"/>
          <w:sz w:val="32"/>
          <w:szCs w:val="32"/>
        </w:rPr>
      </w:pPr>
      <w:bookmarkStart w:id="44" w:name="_Toc10347"/>
      <w:bookmarkStart w:id="45" w:name="_Toc14869"/>
      <w:r>
        <w:rPr>
          <w:rFonts w:hint="eastAsia" w:ascii="黑体" w:hAnsi="黑体" w:eastAsia="仿宋_GB2312" w:cs="宋体"/>
          <w:bCs/>
          <w:kern w:val="0"/>
          <w:sz w:val="32"/>
          <w:szCs w:val="32"/>
        </w:rPr>
        <w:t>五、《一般公共预算财政拨款支出决算表》</w:t>
      </w:r>
      <w:bookmarkEnd w:id="44"/>
      <w:bookmarkEnd w:id="45"/>
    </w:p>
    <w:p w14:paraId="78D9D7BB">
      <w:pPr>
        <w:ind w:firstLine="640" w:firstLineChars="200"/>
        <w:outlineLvl w:val="1"/>
        <w:rPr>
          <w:rFonts w:hint="eastAsia" w:ascii="黑体" w:hAnsi="黑体" w:eastAsia="仿宋_GB2312" w:cs="宋体"/>
          <w:bCs/>
          <w:kern w:val="0"/>
          <w:sz w:val="32"/>
          <w:szCs w:val="32"/>
        </w:rPr>
      </w:pPr>
      <w:bookmarkStart w:id="46" w:name="_Toc8884"/>
      <w:bookmarkStart w:id="47" w:name="_Toc5626"/>
      <w:r>
        <w:rPr>
          <w:rFonts w:hint="eastAsia" w:ascii="黑体" w:hAnsi="黑体" w:eastAsia="仿宋_GB2312" w:cs="宋体"/>
          <w:bCs/>
          <w:kern w:val="0"/>
          <w:sz w:val="32"/>
          <w:szCs w:val="32"/>
        </w:rPr>
        <w:t>六、《一般公共预算财政拨款基本支出决算表》</w:t>
      </w:r>
      <w:bookmarkEnd w:id="46"/>
      <w:bookmarkEnd w:id="47"/>
    </w:p>
    <w:p w14:paraId="583606D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8" w:name="_Toc32663"/>
      <w:bookmarkStart w:id="49" w:name="_Toc29106"/>
      <w:r>
        <w:rPr>
          <w:rFonts w:hint="eastAsia" w:ascii="黑体" w:hAnsi="黑体" w:eastAsia="仿宋_GB2312" w:cs="宋体"/>
          <w:bCs/>
          <w:kern w:val="0"/>
          <w:sz w:val="32"/>
          <w:szCs w:val="32"/>
        </w:rPr>
        <w:t>《财政拨款“三公”经费支出决算表》</w:t>
      </w:r>
      <w:bookmarkEnd w:id="48"/>
      <w:bookmarkEnd w:id="49"/>
    </w:p>
    <w:p w14:paraId="2BB11AC8">
      <w:pPr>
        <w:ind w:firstLine="640" w:firstLineChars="200"/>
        <w:outlineLvl w:val="1"/>
        <w:rPr>
          <w:rFonts w:hint="eastAsia" w:ascii="黑体" w:hAnsi="黑体" w:eastAsia="仿宋_GB2312" w:cs="宋体"/>
          <w:bCs/>
          <w:kern w:val="0"/>
          <w:sz w:val="32"/>
          <w:szCs w:val="32"/>
        </w:rPr>
      </w:pPr>
      <w:bookmarkStart w:id="50" w:name="_Toc7643"/>
      <w:bookmarkStart w:id="51" w:name="_Toc5453"/>
      <w:r>
        <w:rPr>
          <w:rFonts w:hint="eastAsia" w:ascii="黑体" w:hAnsi="黑体" w:eastAsia="仿宋_GB2312" w:cs="宋体"/>
          <w:bCs/>
          <w:kern w:val="0"/>
          <w:sz w:val="32"/>
          <w:szCs w:val="32"/>
        </w:rPr>
        <w:t>八、《政府性基金预算财政拨款收入支出决算表》</w:t>
      </w:r>
      <w:bookmarkEnd w:id="50"/>
      <w:bookmarkEnd w:id="51"/>
    </w:p>
    <w:p w14:paraId="445D38B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756421D">
      <w:pPr>
        <w:ind w:firstLine="640" w:firstLineChars="200"/>
        <w:rPr>
          <w:rFonts w:ascii="仿宋_GB2312" w:eastAsia="仿宋_GB2312"/>
          <w:sz w:val="32"/>
          <w:szCs w:val="32"/>
        </w:rPr>
      </w:pPr>
    </w:p>
    <w:p w14:paraId="533326C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4BBF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C649A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7C649A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4632B"/>
    <w:rsid w:val="000304EE"/>
    <w:rsid w:val="0004632B"/>
    <w:rsid w:val="000A421E"/>
    <w:rsid w:val="001036CA"/>
    <w:rsid w:val="0017287C"/>
    <w:rsid w:val="00213C59"/>
    <w:rsid w:val="00240320"/>
    <w:rsid w:val="00291EBF"/>
    <w:rsid w:val="003210CE"/>
    <w:rsid w:val="003B66C6"/>
    <w:rsid w:val="00730845"/>
    <w:rsid w:val="007C0BCD"/>
    <w:rsid w:val="00B70D59"/>
    <w:rsid w:val="00D068E9"/>
    <w:rsid w:val="00EB1D06"/>
    <w:rsid w:val="00EB6E02"/>
    <w:rsid w:val="00EC7DB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8318E9"/>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5C7C17"/>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1846</Words>
  <Characters>10523</Characters>
  <Lines>87</Lines>
  <Paragraphs>24</Paragraphs>
  <TotalTime>293</TotalTime>
  <ScaleCrop>false</ScaleCrop>
  <LinksUpToDate>false</LinksUpToDate>
  <CharactersWithSpaces>12345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2024-11-19T10:36:46Z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