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9884D8">
      <w:pPr>
        <w:rPr>
          <w:rFonts w:hint="eastAsia" w:ascii="黑体" w:hAnsi="黑体" w:eastAsia="黑体"/>
          <w:sz w:val="32"/>
          <w:szCs w:val="32"/>
        </w:rPr>
      </w:pPr>
    </w:p>
    <w:p w14:paraId="5D2D17A0">
      <w:pPr>
        <w:jc w:val="center"/>
        <w:rPr>
          <w:rFonts w:hint="eastAsia" w:ascii="方正小标宋_GBK" w:hAnsi="宋体" w:eastAsia="方正小标宋_GBK"/>
          <w:sz w:val="44"/>
          <w:szCs w:val="44"/>
        </w:rPr>
      </w:pPr>
    </w:p>
    <w:p w14:paraId="25F04811">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乌鲁木齐市米东区科学技术协会</w:t>
      </w:r>
    </w:p>
    <w:p w14:paraId="0E098015">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14:paraId="1D83592F">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5301125A">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6B29DBF6">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3FE86155">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50EAC22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592869C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7E6ED5ED">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7D11CEB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2F3553B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2BD9AE0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58F744B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21144DC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22F91D6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49E96B7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1ACC311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2683DAB5">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2B6A10B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1F0F4652">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28098079">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0F925CC7">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7CFE085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38921D50">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587B52B7">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0E21095B">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2470977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0E706F6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0A6F7A5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71B5625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5689FA9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066071F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3D00E02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65A426AF">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656D04B4">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225A5445">
      <w:r>
        <w:rPr>
          <w:rFonts w:hint="eastAsia" w:ascii="仿宋_GB2312" w:hAnsi="仿宋_GB2312" w:eastAsia="仿宋_GB2312" w:cs="仿宋_GB2312"/>
          <w:sz w:val="32"/>
          <w:szCs w:val="32"/>
        </w:rPr>
        <w:fldChar w:fldCharType="end"/>
      </w:r>
    </w:p>
    <w:p w14:paraId="7E5F9D99">
      <w:pPr>
        <w:rPr>
          <w:rFonts w:ascii="仿宋_GB2312" w:eastAsia="仿宋_GB2312"/>
          <w:sz w:val="32"/>
          <w:szCs w:val="32"/>
        </w:rPr>
      </w:pPr>
      <w:r>
        <w:rPr>
          <w:rFonts w:hint="eastAsia" w:ascii="仿宋_GB2312" w:eastAsia="仿宋_GB2312"/>
          <w:sz w:val="32"/>
          <w:szCs w:val="32"/>
        </w:rPr>
        <w:br w:type="page"/>
      </w:r>
    </w:p>
    <w:p w14:paraId="352E022D">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41163B1C">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548235F8">
      <w:pPr>
        <w:ind w:firstLine="640" w:firstLineChars="200"/>
        <w:rPr>
          <w:rFonts w:ascii="仿宋_GB2312" w:eastAsia="仿宋_GB2312"/>
          <w:sz w:val="32"/>
          <w:szCs w:val="32"/>
        </w:rPr>
      </w:pPr>
      <w:r>
        <w:rPr>
          <w:rFonts w:hint="eastAsia" w:ascii="仿宋_GB2312" w:eastAsia="仿宋_GB2312"/>
          <w:sz w:val="32"/>
          <w:szCs w:val="32"/>
        </w:rPr>
        <w:t>组织学会、协会、研究会开展学术交流、活跃学术思想，评选自然科学优秀论文。组织科技工作者参政议政，参与本区科技、经济发展的规划论证，为领导决策提供科学依据；组织全区科技工作者开展多种形式的科普活动，举办各类科普集市，加强科普宣传阵地建设，办好每年的科普宣传周、科普日等活动；组织科技人员进入经济建设主战场，开展科技咨询服务，促进科技成果转化，为企业引进项目、人才、技术攻关提供服务，为本区企业的发展服务；结合本地实际，建立农村专业技术协会，并逐步发展成为“产前、产中、产后”一条龙服务的社会化服务体系，为农村经济发展服务。</w:t>
      </w:r>
    </w:p>
    <w:p w14:paraId="5EDEE3EB">
      <w:pPr>
        <w:ind w:firstLine="640" w:firstLineChars="200"/>
        <w:rPr>
          <w:rFonts w:ascii="仿宋_GB2312" w:eastAsia="仿宋_GB2312"/>
          <w:sz w:val="32"/>
          <w:szCs w:val="32"/>
        </w:rPr>
      </w:pPr>
      <w:r>
        <w:rPr>
          <w:rFonts w:hint="eastAsia" w:ascii="仿宋_GB2312" w:eastAsia="仿宋_GB2312"/>
          <w:sz w:val="32"/>
          <w:szCs w:val="32"/>
        </w:rPr>
        <w:t>大力推广农村先进适用技术，在农村党员、基层干部中开展科技培训，为农村培养致富带头人，促进农业生产的发展；组织科技人员开展科技扶贫，帮助贫困农户脱贫致富；组织企业科技人员开展“讲理想、比贡献、奋力实现中国梦”活动，在农村开展“讲精神文明、比科技致富、创建科普文明镇村”活动，提倡科学文明，反对封建迷信，促进农村精神文明建设；开展青少年科技教育活动，大力培养科技后备人才；协助区委、区政府做好科技人员工作，表彰奖励优秀科技工作者，举荐人才，广泛联系科技工作者，维护科技工作者的合法权益，反映科技人员的意见、呼声。</w:t>
      </w:r>
    </w:p>
    <w:p w14:paraId="0CE674F2">
      <w:pPr>
        <w:ind w:firstLine="640" w:firstLineChars="200"/>
        <w:rPr>
          <w:rFonts w:ascii="仿宋_GB2312" w:eastAsia="仿宋_GB2312"/>
          <w:sz w:val="32"/>
          <w:szCs w:val="32"/>
        </w:rPr>
      </w:pPr>
      <w:r>
        <w:rPr>
          <w:rFonts w:hint="eastAsia" w:ascii="仿宋_GB2312" w:eastAsia="仿宋_GB2312"/>
          <w:sz w:val="32"/>
          <w:szCs w:val="32"/>
        </w:rPr>
        <w:t>对所属区级学会和镇区科协、企业科协进行业务指导。</w:t>
      </w:r>
    </w:p>
    <w:p w14:paraId="00211E3E">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1191D817">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乌鲁木齐市米东区科学技术协会2023年度，实有人数</w:t>
      </w:r>
      <w:r>
        <w:rPr>
          <w:rFonts w:hint="eastAsia" w:ascii="仿宋_GB2312" w:eastAsia="仿宋_GB2312"/>
          <w:sz w:val="32"/>
          <w:szCs w:val="32"/>
          <w:lang w:val="zh-CN"/>
        </w:rPr>
        <w:t>9</w:t>
      </w:r>
      <w:r>
        <w:rPr>
          <w:rFonts w:hint="eastAsia" w:ascii="仿宋_GB2312" w:eastAsia="仿宋_GB2312"/>
          <w:sz w:val="32"/>
          <w:szCs w:val="32"/>
        </w:rPr>
        <w:t>人，其中：在职人员</w:t>
      </w:r>
      <w:r>
        <w:rPr>
          <w:rFonts w:hint="eastAsia" w:ascii="仿宋_GB2312" w:eastAsia="仿宋_GB2312"/>
          <w:sz w:val="32"/>
          <w:szCs w:val="32"/>
          <w:lang w:val="zh-CN"/>
        </w:rPr>
        <w:t>4</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5</w:t>
      </w:r>
      <w:r>
        <w:rPr>
          <w:rFonts w:hint="eastAsia" w:ascii="仿宋_GB2312" w:eastAsia="仿宋_GB2312"/>
          <w:sz w:val="32"/>
          <w:szCs w:val="32"/>
        </w:rPr>
        <w:t>人。</w:t>
      </w:r>
    </w:p>
    <w:p w14:paraId="30126C24">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办公室。</w:t>
      </w:r>
    </w:p>
    <w:p w14:paraId="70C62504">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7C86F200">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14:paraId="5FFEEB66">
      <w:pPr>
        <w:ind w:firstLine="640" w:firstLineChars="200"/>
        <w:rPr>
          <w:rFonts w:ascii="仿宋_GB2312" w:eastAsia="仿宋_GB2312"/>
          <w:sz w:val="32"/>
          <w:szCs w:val="32"/>
        </w:rPr>
      </w:pPr>
      <w:r>
        <w:rPr>
          <w:rFonts w:hint="eastAsia" w:ascii="仿宋_GB2312" w:eastAsia="仿宋_GB2312"/>
          <w:sz w:val="32"/>
          <w:szCs w:val="32"/>
        </w:rPr>
        <w:t>2023年度收入总计151.75万元，其中：本年收入合计145.87万元，使用非财政拨款结余0.00万元，年初结转和结余5.89万元。</w:t>
      </w:r>
    </w:p>
    <w:p w14:paraId="51999C91">
      <w:pPr>
        <w:ind w:firstLine="640" w:firstLineChars="200"/>
        <w:rPr>
          <w:rFonts w:ascii="仿宋_GB2312" w:eastAsia="仿宋_GB2312"/>
          <w:sz w:val="32"/>
          <w:szCs w:val="32"/>
        </w:rPr>
      </w:pPr>
      <w:r>
        <w:rPr>
          <w:rFonts w:hint="eastAsia" w:ascii="仿宋_GB2312" w:eastAsia="仿宋_GB2312"/>
          <w:sz w:val="32"/>
          <w:szCs w:val="32"/>
        </w:rPr>
        <w:t>2023年度支出总计151.75万元，其中：本年支出合计92.04万元，结余分配0.00万元，年末结转和结余59.71万元。</w:t>
      </w:r>
    </w:p>
    <w:p w14:paraId="0D1851D4">
      <w:pPr>
        <w:ind w:firstLine="640" w:firstLineChars="200"/>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增加58.85万元</w:t>
      </w:r>
      <w:r>
        <w:rPr>
          <w:rFonts w:hint="eastAsia" w:ascii="仿宋_GB2312" w:eastAsia="仿宋_GB2312"/>
          <w:sz w:val="32"/>
          <w:szCs w:val="32"/>
        </w:rPr>
        <w:t>，增长63.35%，主要原因是：</w:t>
      </w:r>
      <w:r>
        <w:rPr>
          <w:rFonts w:hint="eastAsia" w:ascii="仿宋_GB2312" w:hAnsi="仿宋_GB2312" w:eastAsia="仿宋_GB2312" w:cs="仿宋_GB2312"/>
          <w:sz w:val="32"/>
          <w:szCs w:val="32"/>
          <w:lang w:val="zh-CN"/>
        </w:rPr>
        <w:t>单位本年为民办实事、办好事社区工作专项项目经费增加</w:t>
      </w:r>
      <w:r>
        <w:rPr>
          <w:rFonts w:hint="eastAsia" w:ascii="仿宋_GB2312" w:eastAsia="仿宋_GB2312"/>
          <w:sz w:val="32"/>
          <w:szCs w:val="32"/>
        </w:rPr>
        <w:t>。</w:t>
      </w:r>
    </w:p>
    <w:p w14:paraId="7907DBBF">
      <w:pPr>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14:paraId="3D863542">
      <w:pPr>
        <w:ind w:firstLine="640" w:firstLineChars="200"/>
        <w:jc w:val="left"/>
        <w:rPr>
          <w:rFonts w:ascii="仿宋_GB2312" w:eastAsia="仿宋_GB2312"/>
          <w:sz w:val="32"/>
          <w:szCs w:val="32"/>
        </w:rPr>
      </w:pPr>
      <w:r>
        <w:rPr>
          <w:rFonts w:hint="eastAsia" w:ascii="仿宋_GB2312" w:eastAsia="仿宋_GB2312"/>
          <w:sz w:val="32"/>
          <w:szCs w:val="32"/>
        </w:rPr>
        <w:t>本年收入145.87万元，其中：财政拨款收入</w:t>
      </w:r>
      <w:r>
        <w:rPr>
          <w:rFonts w:hint="eastAsia" w:ascii="仿宋_GB2312" w:eastAsia="仿宋_GB2312"/>
          <w:sz w:val="32"/>
          <w:szCs w:val="32"/>
          <w:lang w:val="zh-CN"/>
        </w:rPr>
        <w:t>95.87</w:t>
      </w:r>
      <w:r>
        <w:rPr>
          <w:rFonts w:hint="eastAsia" w:ascii="仿宋_GB2312" w:eastAsia="仿宋_GB2312"/>
          <w:sz w:val="32"/>
          <w:szCs w:val="32"/>
        </w:rPr>
        <w:t>万元，占</w:t>
      </w:r>
      <w:r>
        <w:rPr>
          <w:rFonts w:hint="eastAsia" w:ascii="仿宋_GB2312" w:eastAsia="仿宋_GB2312"/>
          <w:sz w:val="32"/>
          <w:szCs w:val="32"/>
          <w:lang w:val="zh-CN"/>
        </w:rPr>
        <w:t>65.72%</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50.00</w:t>
      </w:r>
      <w:r>
        <w:rPr>
          <w:rFonts w:hint="eastAsia" w:ascii="仿宋_GB2312" w:eastAsia="仿宋_GB2312"/>
          <w:sz w:val="32"/>
          <w:szCs w:val="32"/>
        </w:rPr>
        <w:t>万元，占</w:t>
      </w:r>
      <w:r>
        <w:rPr>
          <w:rFonts w:hint="eastAsia" w:ascii="仿宋_GB2312" w:eastAsia="仿宋_GB2312"/>
          <w:sz w:val="32"/>
          <w:szCs w:val="32"/>
          <w:lang w:val="zh-CN"/>
        </w:rPr>
        <w:t>34.28%</w:t>
      </w:r>
      <w:r>
        <w:rPr>
          <w:rFonts w:hint="eastAsia" w:ascii="仿宋_GB2312" w:eastAsia="仿宋_GB2312"/>
          <w:sz w:val="32"/>
          <w:szCs w:val="32"/>
        </w:rPr>
        <w:t>。</w:t>
      </w:r>
    </w:p>
    <w:p w14:paraId="60B5FD04">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14:paraId="40B86CB4">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本年支出92.04万元，其中：基本支出81.22万元，占88.24%；项目支出10.83万元，占11.77%；上缴上级支出0.00万元，占0.00%；经营支出0.00万元，占0.00%；对附属单位补助支出0.00万元，占0.00%。</w:t>
      </w:r>
    </w:p>
    <w:p w14:paraId="7E2EFE98">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6BE9F8D0">
      <w:pPr>
        <w:ind w:firstLine="640" w:firstLineChars="200"/>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101.75</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5.89</w:t>
      </w:r>
      <w:r>
        <w:rPr>
          <w:rFonts w:hint="eastAsia" w:ascii="仿宋_GB2312" w:eastAsia="仿宋_GB2312"/>
          <w:sz w:val="32"/>
          <w:szCs w:val="32"/>
        </w:rPr>
        <w:t>万元，本年财政拨款收入</w:t>
      </w:r>
      <w:r>
        <w:rPr>
          <w:rFonts w:hint="eastAsia" w:ascii="仿宋_GB2312" w:eastAsia="仿宋_GB2312"/>
          <w:sz w:val="32"/>
          <w:szCs w:val="32"/>
          <w:lang w:val="zh-CN"/>
        </w:rPr>
        <w:t>95.87</w:t>
      </w:r>
      <w:r>
        <w:rPr>
          <w:rFonts w:hint="eastAsia" w:ascii="仿宋_GB2312" w:eastAsia="仿宋_GB2312"/>
          <w:sz w:val="32"/>
          <w:szCs w:val="32"/>
        </w:rPr>
        <w:t>万元。财政拨款支出总计</w:t>
      </w:r>
      <w:r>
        <w:rPr>
          <w:rFonts w:hint="eastAsia" w:ascii="仿宋_GB2312" w:eastAsia="仿宋_GB2312"/>
          <w:sz w:val="32"/>
          <w:szCs w:val="32"/>
          <w:lang w:val="zh-CN"/>
        </w:rPr>
        <w:t>101.75</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9.71</w:t>
      </w:r>
      <w:r>
        <w:rPr>
          <w:rFonts w:hint="eastAsia" w:ascii="仿宋_GB2312" w:eastAsia="仿宋_GB2312"/>
          <w:sz w:val="32"/>
          <w:szCs w:val="32"/>
        </w:rPr>
        <w:t>万元，本年财政拨款支出</w:t>
      </w:r>
      <w:r>
        <w:rPr>
          <w:rFonts w:hint="eastAsia" w:ascii="仿宋_GB2312" w:eastAsia="仿宋_GB2312"/>
          <w:sz w:val="32"/>
          <w:szCs w:val="32"/>
          <w:lang w:val="zh-CN"/>
        </w:rPr>
        <w:t>92.04</w:t>
      </w:r>
      <w:r>
        <w:rPr>
          <w:rFonts w:hint="eastAsia" w:ascii="仿宋_GB2312" w:eastAsia="仿宋_GB2312"/>
          <w:sz w:val="32"/>
          <w:szCs w:val="32"/>
        </w:rPr>
        <w:t>万元。</w:t>
      </w:r>
    </w:p>
    <w:p w14:paraId="09FB3D79">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增加8.85万元</w:t>
      </w:r>
      <w:r>
        <w:rPr>
          <w:rFonts w:hint="eastAsia" w:ascii="仿宋_GB2312" w:eastAsia="仿宋_GB2312"/>
          <w:sz w:val="32"/>
          <w:szCs w:val="32"/>
        </w:rPr>
        <w:t>，增长9.53%,主要原因是：</w:t>
      </w:r>
      <w:r>
        <w:rPr>
          <w:rFonts w:hint="eastAsia" w:ascii="仿宋_GB2312" w:hAnsi="仿宋_GB2312" w:eastAsia="仿宋_GB2312" w:cs="仿宋_GB2312"/>
          <w:sz w:val="32"/>
          <w:szCs w:val="32"/>
          <w:lang w:val="zh-CN"/>
        </w:rPr>
        <w:t>单位本年为民办实事、办好事社区工作专项项目经费增加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81.19</w:t>
      </w:r>
      <w:r>
        <w:rPr>
          <w:rFonts w:hint="eastAsia" w:ascii="仿宋_GB2312" w:eastAsia="仿宋_GB2312"/>
          <w:sz w:val="32"/>
          <w:szCs w:val="32"/>
        </w:rPr>
        <w:t>万元，决算数</w:t>
      </w:r>
      <w:r>
        <w:rPr>
          <w:rFonts w:hint="eastAsia" w:ascii="仿宋_GB2312" w:eastAsia="仿宋_GB2312"/>
          <w:sz w:val="32"/>
          <w:szCs w:val="32"/>
          <w:lang w:val="zh-CN"/>
        </w:rPr>
        <w:t>101.75</w:t>
      </w:r>
      <w:r>
        <w:rPr>
          <w:rFonts w:hint="eastAsia" w:ascii="仿宋_GB2312" w:eastAsia="仿宋_GB2312"/>
          <w:sz w:val="32"/>
          <w:szCs w:val="32"/>
        </w:rPr>
        <w:t>万元，预决算差异率25.32%，主要原因是：</w:t>
      </w:r>
      <w:r>
        <w:rPr>
          <w:rFonts w:hint="eastAsia" w:ascii="仿宋_GB2312" w:hAnsi="仿宋_GB2312" w:eastAsia="仿宋_GB2312" w:cs="仿宋_GB2312"/>
          <w:sz w:val="32"/>
          <w:szCs w:val="32"/>
          <w:lang w:val="zh-CN"/>
        </w:rPr>
        <w:t>年中追加为民办实事、办好事社区工作专项项目经费</w:t>
      </w:r>
      <w:r>
        <w:rPr>
          <w:rFonts w:hint="eastAsia" w:ascii="仿宋_GB2312" w:eastAsia="仿宋_GB2312"/>
          <w:sz w:val="32"/>
          <w:szCs w:val="32"/>
        </w:rPr>
        <w:t>。</w:t>
      </w:r>
    </w:p>
    <w:p w14:paraId="067212D1">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614896D1">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38CEC74A">
      <w:pPr>
        <w:ind w:firstLine="640" w:firstLineChars="200"/>
        <w:rPr>
          <w:rFonts w:ascii="仿宋_GB2312" w:eastAsia="仿宋_GB2312"/>
          <w:sz w:val="32"/>
          <w:szCs w:val="32"/>
        </w:rPr>
      </w:pPr>
      <w:r>
        <w:rPr>
          <w:rFonts w:hint="eastAsia" w:ascii="仿宋_GB2312" w:eastAsia="仿宋_GB2312"/>
          <w:sz w:val="32"/>
          <w:szCs w:val="32"/>
        </w:rPr>
        <w:t>2023年度一般公共预算财政拨款支出92.04万元，占本年支出合计的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增加5.03万元</w:t>
      </w:r>
      <w:r>
        <w:rPr>
          <w:rFonts w:hint="eastAsia" w:ascii="仿宋_GB2312" w:eastAsia="仿宋_GB2312"/>
          <w:sz w:val="32"/>
          <w:szCs w:val="32"/>
        </w:rPr>
        <w:t>，增长5.78%,主要原因是：</w:t>
      </w:r>
      <w:r>
        <w:rPr>
          <w:rFonts w:hint="eastAsia" w:ascii="仿宋_GB2312" w:hAnsi="仿宋_GB2312" w:eastAsia="仿宋_GB2312" w:cs="仿宋_GB2312"/>
          <w:sz w:val="32"/>
          <w:szCs w:val="32"/>
          <w:lang w:val="zh-CN"/>
        </w:rPr>
        <w:t>单位本年为民办实事、办好事社区工作专项项目经费增加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81.19</w:t>
      </w:r>
      <w:r>
        <w:rPr>
          <w:rFonts w:hint="eastAsia" w:ascii="仿宋_GB2312" w:eastAsia="仿宋_GB2312"/>
          <w:sz w:val="32"/>
          <w:szCs w:val="32"/>
        </w:rPr>
        <w:t>万元，决算数</w:t>
      </w:r>
      <w:r>
        <w:rPr>
          <w:rFonts w:hint="eastAsia" w:ascii="仿宋_GB2312" w:eastAsia="仿宋_GB2312"/>
          <w:sz w:val="32"/>
          <w:szCs w:val="32"/>
          <w:lang w:val="zh-CN"/>
        </w:rPr>
        <w:t>92.04</w:t>
      </w:r>
      <w:r>
        <w:rPr>
          <w:rFonts w:hint="eastAsia" w:ascii="仿宋_GB2312" w:eastAsia="仿宋_GB2312"/>
          <w:sz w:val="32"/>
          <w:szCs w:val="32"/>
        </w:rPr>
        <w:t>万元，预决算差异率</w:t>
      </w:r>
      <w:r>
        <w:rPr>
          <w:rFonts w:hint="eastAsia" w:ascii="仿宋_GB2312" w:eastAsia="仿宋_GB2312"/>
          <w:sz w:val="32"/>
          <w:szCs w:val="32"/>
          <w:lang w:val="zh-CN"/>
        </w:rPr>
        <w:t>13.36%</w:t>
      </w:r>
      <w:r>
        <w:rPr>
          <w:rFonts w:hint="eastAsia" w:ascii="仿宋_GB2312" w:eastAsia="仿宋_GB2312"/>
          <w:sz w:val="32"/>
          <w:szCs w:val="32"/>
        </w:rPr>
        <w:t>，主要原因是：</w:t>
      </w:r>
      <w:r>
        <w:rPr>
          <w:rFonts w:hint="eastAsia" w:ascii="仿宋_GB2312" w:hAnsi="仿宋_GB2312" w:eastAsia="仿宋_GB2312" w:cs="仿宋_GB2312"/>
          <w:sz w:val="32"/>
          <w:szCs w:val="32"/>
          <w:lang w:val="zh-CN"/>
        </w:rPr>
        <w:t>年中追加为民办实事、办好事社区工作专项项目经费</w:t>
      </w:r>
      <w:r>
        <w:rPr>
          <w:rFonts w:hint="eastAsia" w:ascii="仿宋_GB2312" w:eastAsia="仿宋_GB2312"/>
          <w:sz w:val="32"/>
          <w:szCs w:val="32"/>
        </w:rPr>
        <w:t>。</w:t>
      </w:r>
    </w:p>
    <w:p w14:paraId="6FC022EB">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390884B0">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hint="eastAsia" w:ascii="仿宋_GB2312" w:eastAsia="仿宋_GB2312"/>
          <w:kern w:val="2"/>
          <w:sz w:val="32"/>
          <w:szCs w:val="32"/>
          <w:lang w:val="zh-CN"/>
        </w:rPr>
        <w:t>0.70</w:t>
      </w:r>
      <w:r>
        <w:rPr>
          <w:rFonts w:ascii="仿宋_GB2312" w:eastAsia="仿宋_GB2312"/>
          <w:kern w:val="2"/>
          <w:sz w:val="32"/>
          <w:szCs w:val="32"/>
          <w:lang w:val="zh-CN"/>
        </w:rPr>
        <w:t>万元，占</w:t>
      </w:r>
      <w:r>
        <w:rPr>
          <w:rFonts w:hint="eastAsia" w:ascii="仿宋_GB2312" w:eastAsia="仿宋_GB2312"/>
          <w:kern w:val="2"/>
          <w:sz w:val="32"/>
          <w:szCs w:val="32"/>
          <w:lang w:val="zh-CN"/>
        </w:rPr>
        <w:t>0.76%</w:t>
      </w:r>
      <w:r>
        <w:rPr>
          <w:rFonts w:ascii="仿宋_GB2312" w:eastAsia="仿宋_GB2312"/>
          <w:kern w:val="2"/>
          <w:sz w:val="32"/>
          <w:szCs w:val="32"/>
          <w:lang w:val="zh-CN"/>
        </w:rPr>
        <w:t>；</w:t>
      </w:r>
    </w:p>
    <w:p w14:paraId="1C08918F">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rPr>
        <w:t>2.</w:t>
      </w:r>
      <w:r>
        <w:rPr>
          <w:rFonts w:ascii="仿宋_GB2312" w:eastAsia="仿宋_GB2312"/>
          <w:kern w:val="2"/>
          <w:sz w:val="32"/>
          <w:szCs w:val="32"/>
          <w:lang w:val="zh-CN"/>
        </w:rPr>
        <w:t>科学技术支出（类）</w:t>
      </w:r>
      <w:r>
        <w:rPr>
          <w:rFonts w:hint="eastAsia" w:ascii="仿宋_GB2312" w:eastAsia="仿宋_GB2312"/>
          <w:kern w:val="2"/>
          <w:sz w:val="32"/>
          <w:szCs w:val="32"/>
          <w:lang w:val="zh-CN"/>
        </w:rPr>
        <w:t>86.32</w:t>
      </w:r>
      <w:r>
        <w:rPr>
          <w:rFonts w:ascii="仿宋_GB2312" w:eastAsia="仿宋_GB2312"/>
          <w:kern w:val="2"/>
          <w:sz w:val="32"/>
          <w:szCs w:val="32"/>
          <w:lang w:val="zh-CN"/>
        </w:rPr>
        <w:t>万元，占</w:t>
      </w:r>
      <w:r>
        <w:rPr>
          <w:rFonts w:hint="eastAsia" w:ascii="仿宋_GB2312" w:eastAsia="仿宋_GB2312"/>
          <w:kern w:val="2"/>
          <w:sz w:val="32"/>
          <w:szCs w:val="32"/>
          <w:lang w:val="zh-CN"/>
        </w:rPr>
        <w:t>93.79%</w:t>
      </w:r>
      <w:r>
        <w:rPr>
          <w:rFonts w:ascii="仿宋_GB2312" w:eastAsia="仿宋_GB2312"/>
          <w:kern w:val="2"/>
          <w:sz w:val="32"/>
          <w:szCs w:val="32"/>
        </w:rPr>
        <w:t>；</w:t>
      </w:r>
    </w:p>
    <w:p w14:paraId="0D9FECB8">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3</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5.03</w:t>
      </w:r>
      <w:r>
        <w:rPr>
          <w:rFonts w:ascii="仿宋_GB2312" w:eastAsia="仿宋_GB2312"/>
          <w:kern w:val="2"/>
          <w:sz w:val="32"/>
          <w:szCs w:val="32"/>
          <w:lang w:val="zh-CN"/>
        </w:rPr>
        <w:t>万元，占</w:t>
      </w:r>
      <w:r>
        <w:rPr>
          <w:rFonts w:hint="eastAsia" w:ascii="仿宋_GB2312" w:eastAsia="仿宋_GB2312"/>
          <w:kern w:val="2"/>
          <w:sz w:val="32"/>
          <w:szCs w:val="32"/>
          <w:lang w:val="zh-CN"/>
        </w:rPr>
        <w:t>5.47%。</w:t>
      </w:r>
    </w:p>
    <w:p w14:paraId="19067E6C">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292CC06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1.一般公共服务支出（类）群众团体事务（款）行政运行（项）:支出决算数为0.70万元，比上年决算增加0.70万元，增长100%，主要原因是：</w:t>
      </w:r>
      <w:r>
        <w:rPr>
          <w:rFonts w:hint="eastAsia" w:ascii="仿宋_GB2312" w:hAnsi="仿宋_GB2312" w:eastAsia="仿宋_GB2312" w:cs="仿宋_GB2312"/>
          <w:sz w:val="32"/>
          <w:szCs w:val="32"/>
          <w:lang w:val="zh-CN"/>
        </w:rPr>
        <w:t>单位本年长聘人员工资福利补助较上年增加。</w:t>
      </w:r>
    </w:p>
    <w:p w14:paraId="34DD76EC">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2.科学技术支出（类）科学技术普及（款）科普活动（项）:支出决算数为8.00万元，比上年决算减少12.00万元，下降60.00%，主要原因是：</w:t>
      </w:r>
      <w:r>
        <w:rPr>
          <w:rFonts w:hint="eastAsia" w:ascii="仿宋_GB2312" w:hAnsi="仿宋_GB2312" w:eastAsia="仿宋_GB2312" w:cs="仿宋_GB2312"/>
          <w:sz w:val="32"/>
          <w:szCs w:val="32"/>
          <w:lang w:val="zh-CN"/>
        </w:rPr>
        <w:t>单位本年自治区“基层科普行动计划”项目资金减少。</w:t>
      </w:r>
    </w:p>
    <w:p w14:paraId="2F28173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3.科学技术支出（类）科学技术普及（款）机构运行（项）:支出决算数为78.32万元，比上年决算增加15.82万元，增长25.31%，主要原因是：</w:t>
      </w:r>
      <w:r>
        <w:rPr>
          <w:rFonts w:hint="eastAsia" w:ascii="仿宋_GB2312" w:hAnsi="仿宋_GB2312" w:eastAsia="仿宋_GB2312" w:cs="仿宋_GB2312"/>
          <w:sz w:val="32"/>
          <w:szCs w:val="32"/>
          <w:lang w:val="zh-CN"/>
        </w:rPr>
        <w:t>单位本年补发以前年度人员绩效工资、奖金等人员经费。</w:t>
      </w:r>
    </w:p>
    <w:p w14:paraId="300FB73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4.社会保障和就业支出（类）民政管理事务（款）基层政权建设和社区治理（项）:支出决算数为2.83万元，比上年决算增加2.83万元，增长100%，主要原因是：</w:t>
      </w:r>
      <w:r>
        <w:rPr>
          <w:rFonts w:hint="eastAsia" w:ascii="仿宋_GB2312" w:hAnsi="仿宋_GB2312" w:eastAsia="仿宋_GB2312" w:cs="仿宋_GB2312"/>
          <w:sz w:val="32"/>
          <w:szCs w:val="32"/>
          <w:lang w:val="zh-CN"/>
        </w:rPr>
        <w:t>单位本年为民办实事、办好事社区工作专项项目经费增加。</w:t>
      </w:r>
    </w:p>
    <w:p w14:paraId="65F51DE2">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5.社会保障和就业支出（类）行政事业单位养老支出（款）机关事业单位基本养老保险缴费支出（项）:支出决算数为2.20万元，比上年决算减少2.31万元，下降51.22%，主要原因是：</w:t>
      </w:r>
      <w:r>
        <w:rPr>
          <w:rFonts w:hint="eastAsia" w:ascii="仿宋_GB2312" w:hAnsi="仿宋_GB2312" w:eastAsia="仿宋_GB2312" w:cs="仿宋_GB2312"/>
          <w:sz w:val="32"/>
          <w:szCs w:val="32"/>
          <w:lang w:val="zh-CN"/>
        </w:rPr>
        <w:t>单位本年社保缴费基数调减，相应人员养老保险缴费减少。</w:t>
      </w:r>
    </w:p>
    <w:p w14:paraId="078863F0">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166E92D5">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81.22万元，其中：人员经费71.36万元，包括：基本工资、津贴补贴、奖金、机关事业单位基本养老保险缴费、职工基本医疗保险缴费、公务员医疗补助缴费、其他社会保障缴费、住房公积金、其他工资福利支出、奖励金。</w:t>
      </w:r>
    </w:p>
    <w:p w14:paraId="456C1700">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公用经费9.85万元，包括：办公费、手续费、邮电费、差旅费、劳务费、委托业务费、工会经费、福利费、公务用车运行维护费、其他商品</w:t>
      </w:r>
      <w:r>
        <w:rPr>
          <w:rFonts w:hint="eastAsia" w:ascii="仿宋_GB2312" w:eastAsia="仿宋_GB2312"/>
          <w:sz w:val="32"/>
          <w:szCs w:val="32"/>
          <w:lang w:val="zh-CN"/>
        </w:rPr>
        <w:t>和服务支出。</w:t>
      </w:r>
    </w:p>
    <w:p w14:paraId="5EBB2BC5">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4D8B1D6D">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“三公”经费支出3.56万元，</w:t>
      </w:r>
      <w:r>
        <w:rPr>
          <w:rFonts w:hint="eastAsia" w:ascii="仿宋_GB2312" w:eastAsia="仿宋_GB2312"/>
          <w:sz w:val="32"/>
          <w:szCs w:val="32"/>
        </w:rPr>
        <w:t>比上年</w:t>
      </w:r>
      <w:r>
        <w:rPr>
          <w:rFonts w:hint="eastAsia" w:ascii="仿宋_GB2312" w:eastAsia="仿宋_GB2312"/>
          <w:sz w:val="32"/>
          <w:szCs w:val="32"/>
          <w:lang w:val="zh-CN"/>
        </w:rPr>
        <w:t>增加0.66万元，</w:t>
      </w:r>
      <w:r>
        <w:rPr>
          <w:rFonts w:hint="eastAsia" w:ascii="仿宋_GB2312" w:eastAsia="仿宋_GB2312"/>
          <w:sz w:val="32"/>
          <w:szCs w:val="32"/>
        </w:rPr>
        <w:t>增长22.76%,</w:t>
      </w:r>
      <w:r>
        <w:rPr>
          <w:rFonts w:hint="eastAsia" w:ascii="仿宋_GB2312" w:eastAsia="仿宋_GB2312"/>
          <w:sz w:val="32"/>
          <w:szCs w:val="32"/>
          <w:lang w:val="zh-CN"/>
        </w:rPr>
        <w:t>主要原因是：车辆出行次数增加，车辆维修维护费、燃油费等增加。其中：因公出国（境）费支出0.00万元，占0.00%，比上年增加0.00万元，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主要原因是：单位本年无此项经费；公务用车购置及运行维护费支出3.56万元，占100.00%，比上年增加0.66万元，</w:t>
      </w:r>
      <w:r>
        <w:rPr>
          <w:rFonts w:hint="eastAsia" w:ascii="仿宋_GB2312" w:eastAsia="仿宋_GB2312"/>
          <w:sz w:val="32"/>
          <w:szCs w:val="32"/>
        </w:rPr>
        <w:t>增长22.76%,</w:t>
      </w:r>
      <w:r>
        <w:rPr>
          <w:rFonts w:hint="eastAsia" w:ascii="仿宋_GB2312" w:eastAsia="仿宋_GB2312"/>
          <w:sz w:val="32"/>
          <w:szCs w:val="32"/>
          <w:lang w:val="zh-CN"/>
        </w:rPr>
        <w:t>主要原因是：车辆出行次数增加，车辆维修维护费、燃油费等增加；公务接待费支出0.00万元，占0.00%，比上年增加0.00万元，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14:paraId="6CF4B7E9">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03405345">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14:paraId="55C727A7">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3.56万元，其中：公务用车购置费0.00万元，公务用车运行维护费3.56万元。公务用车运行维护费开支内容包括公务用车燃油费、车辆维修维护费、保险费、过路费等。公务用车购置数0辆，公务用车保有量2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3辆，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原因是：差异车辆为一般业务用车1辆，车辆费用未使用财政拨款公务用车运行维护费支付。</w:t>
      </w:r>
    </w:p>
    <w:p w14:paraId="5449043E">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14:paraId="10348F73">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预算数3.56万元，决算数3.56万元，预决算差异率0.00%，主要原因是：严格按预算执行，预决算对比无差异。其中：因公出国（境）费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预算数3.56万元，决算数3.56万元，预决算差异率0.00%，主要原因是：严格按预算执行，预决算对比无差异；公务接待费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14:paraId="4B6FE8D9">
      <w:pPr>
        <w:ind w:firstLine="640" w:firstLineChars="200"/>
        <w:jc w:val="left"/>
        <w:outlineLvl w:val="1"/>
        <w:rPr>
          <w:rFonts w:hint="eastAsia"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14:paraId="266A954A">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314901D6">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7A6E446E">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4A70A5D8">
      <w:pPr>
        <w:ind w:firstLine="640" w:firstLineChars="200"/>
        <w:jc w:val="left"/>
        <w:outlineLvl w:val="1"/>
        <w:rPr>
          <w:rFonts w:hint="eastAsia"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14:paraId="5E971C58">
      <w:pPr>
        <w:ind w:firstLine="640" w:firstLineChars="200"/>
        <w:jc w:val="left"/>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14:paraId="0B5EBFD2">
      <w:pPr>
        <w:ind w:firstLine="640" w:firstLineChars="200"/>
        <w:rPr>
          <w:rFonts w:hint="eastAsia" w:ascii="仿宋_GB2312" w:hAnsi="仿宋_GB2312" w:eastAsia="仿宋_GB2312" w:cs="仿宋_GB2312"/>
          <w:sz w:val="32"/>
          <w:szCs w:val="32"/>
          <w:lang w:val="zh-CN"/>
        </w:rPr>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乌鲁木齐市米东区科学技术协会（行政单位和参照公务员法管理事业单位）机关运行经费支出9.85万元，</w:t>
      </w:r>
      <w:r>
        <w:rPr>
          <w:rFonts w:hint="eastAsia" w:ascii="仿宋_GB2312" w:hAnsi="仿宋_GB2312" w:eastAsia="仿宋_GB2312" w:cs="仿宋_GB2312"/>
          <w:sz w:val="32"/>
          <w:szCs w:val="32"/>
          <w:lang w:val="zh-CN"/>
        </w:rPr>
        <w:t>比上年增加0.57万元，增长6.14%，主要原因是：单位本年</w:t>
      </w:r>
      <w:r>
        <w:rPr>
          <w:rFonts w:hint="eastAsia" w:ascii="仿宋_GB2312" w:eastAsia="仿宋_GB2312"/>
          <w:sz w:val="32"/>
          <w:szCs w:val="32"/>
        </w:rPr>
        <w:t>办公费、劳务费、委托业务费、公务用车运行维护费较上年增加</w:t>
      </w:r>
      <w:r>
        <w:rPr>
          <w:rFonts w:hint="eastAsia" w:ascii="仿宋_GB2312" w:hAnsi="仿宋_GB2312" w:eastAsia="仿宋_GB2312" w:cs="仿宋_GB2312"/>
          <w:sz w:val="32"/>
          <w:szCs w:val="32"/>
          <w:lang w:val="zh-CN"/>
        </w:rPr>
        <w:t>。</w:t>
      </w:r>
    </w:p>
    <w:p w14:paraId="4CF18F10">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6A0A465B">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14:paraId="273A0054">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14:paraId="772B663C">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14:paraId="56FE1630">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105.79</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屋0.00平方米，价值0.00万元。车辆3辆，价值64.52万元，其中：副部（省）级及以上领导用车0辆、主要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用车0辆、其他用车3辆，其他用车主要是：单位业务用车；单价100万元（含）以上设备（不含车辆）0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6CA61C28">
      <w:pPr>
        <w:ind w:firstLine="640" w:firstLineChars="200"/>
        <w:jc w:val="left"/>
        <w:outlineLvl w:val="1"/>
        <w:rPr>
          <w:rFonts w:hint="eastAsia"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14:paraId="2152BDB6">
      <w:pPr>
        <w:ind w:firstLine="640" w:firstLineChars="200"/>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151.75</w:t>
      </w:r>
      <w:r>
        <w:rPr>
          <w:rFonts w:hint="eastAsia" w:ascii="仿宋_GB2312" w:eastAsia="仿宋_GB2312"/>
          <w:sz w:val="32"/>
          <w:szCs w:val="32"/>
        </w:rPr>
        <w:t>万元，实际执行总额</w:t>
      </w:r>
      <w:r>
        <w:rPr>
          <w:rFonts w:ascii="仿宋_GB2312" w:eastAsia="仿宋_GB2312"/>
          <w:sz w:val="32"/>
          <w:szCs w:val="32"/>
        </w:rPr>
        <w:t>92.04</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预算绩效评价项目2个，全年预算数</w:t>
      </w:r>
      <w:r>
        <w:rPr>
          <w:rFonts w:ascii="仿宋_GB2312" w:eastAsia="仿宋_GB2312"/>
          <w:sz w:val="32"/>
          <w:szCs w:val="32"/>
        </w:rPr>
        <w:t>11.58</w:t>
      </w:r>
      <w:r>
        <w:rPr>
          <w:rFonts w:hint="eastAsia" w:ascii="仿宋_GB2312" w:eastAsia="仿宋_GB2312"/>
          <w:sz w:val="32"/>
          <w:szCs w:val="32"/>
        </w:rPr>
        <w:t>万元，全年执行数</w:t>
      </w:r>
      <w:r>
        <w:rPr>
          <w:rFonts w:ascii="仿宋_GB2312" w:eastAsia="仿宋_GB2312"/>
          <w:sz w:val="32"/>
          <w:szCs w:val="32"/>
        </w:rPr>
        <w:t>11.58</w:t>
      </w:r>
      <w:r>
        <w:rPr>
          <w:rFonts w:hint="eastAsia" w:ascii="仿宋_GB2312" w:eastAsia="仿宋_GB2312"/>
          <w:sz w:val="32"/>
          <w:szCs w:val="32"/>
        </w:rPr>
        <w:t>万元。预算绩效管理取得的成效：一是通过对项目设立的背景、意义、项目内容、项目现状及绩效目标、资金投入、资金管理、组织实施、数量指标、质量指标、时效指标、成本指标和效益指标等进行深入调研和分析，进一步了解项目实施情况，并考察项目实施过程和效果；二是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发现的问题及原因：</w:t>
      </w:r>
      <w:r>
        <w:rPr>
          <w:rFonts w:hint="eastAsia" w:ascii="仿宋_GB2312" w:hAnsi="宋体" w:eastAsia="仿宋_GB2312"/>
          <w:bCs/>
          <w:sz w:val="32"/>
          <w:szCs w:val="32"/>
        </w:rPr>
        <w:t>一是部门职能不明确，个别工作分工不清晰，且人员培训和绩效考核制度不够完善，考核方案部分内容和人员名单更新滞后；二是预算编制科学性的问题。首先预算编制之合理性相对不足，主要表现在预算调整数较大，年度目标与长期规划衔接的紧密程度需要增强</w:t>
      </w:r>
      <w:r>
        <w:rPr>
          <w:rFonts w:hint="eastAsia" w:ascii="仿宋_GB2312" w:eastAsia="仿宋_GB2312"/>
          <w:sz w:val="32"/>
          <w:szCs w:val="32"/>
        </w:rPr>
        <w:t>。下一步改进措施：</w:t>
      </w:r>
      <w:r>
        <w:rPr>
          <w:rFonts w:hint="eastAsia" w:ascii="仿宋_GB2312" w:hAnsi="宋体" w:eastAsia="仿宋_GB2312"/>
          <w:bCs/>
          <w:sz w:val="32"/>
          <w:szCs w:val="32"/>
        </w:rPr>
        <w:t>一是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二是提高部门整体支出绩效目标设定的合理性。部门设定的绩效目标要与部门的职能有相关性，这样便于后续的评价部门的履职情况，同样能使得部门在运用预算资金的过程中能始终牢记部门职能，不偏离社会责任。把所有与财政支出相关的指标全部列入不现实，可以兼顾好重要性和综合性原则</w:t>
      </w:r>
      <w:r>
        <w:rPr>
          <w:rFonts w:hint="eastAsia" w:ascii="仿宋_GB2312" w:eastAsia="仿宋_GB2312"/>
          <w:sz w:val="32"/>
          <w:szCs w:val="32"/>
        </w:rPr>
        <w:t>。具体项目自评情况附绩效自评表及自评报告。</w:t>
      </w:r>
      <w:bookmarkStart w:id="30" w:name="_Hlk174962300"/>
    </w:p>
    <w:p w14:paraId="7E44C32F">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2F00DAA3">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51"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tblGrid>
      <w:tr w14:paraId="4EAE1C3A">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ED05CBB">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2A8250A5">
            <w:pPr>
              <w:jc w:val="center"/>
            </w:pPr>
            <w:r>
              <w:rPr>
                <w:rFonts w:ascii="宋体" w:hAnsi="宋体"/>
                <w:sz w:val="18"/>
              </w:rPr>
              <w:t>米东区科协机关</w:t>
            </w:r>
          </w:p>
        </w:tc>
      </w:tr>
      <w:tr w14:paraId="33D3C557">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87DC3A7">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5BC78454">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102C803B">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14:paraId="164018A0">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14:paraId="33FD66A7">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14:paraId="1B57D4CF">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14:paraId="138BCF43">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759AEA72">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14:paraId="4488B819">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E467651">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5035E7DA">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14:paraId="3F0C7BA6">
            <w:pPr>
              <w:jc w:val="center"/>
            </w:pPr>
            <w:r>
              <w:rPr>
                <w:rFonts w:ascii="宋体" w:hAnsi="宋体"/>
                <w:sz w:val="18"/>
              </w:rPr>
              <w:t>81.19</w:t>
            </w:r>
          </w:p>
        </w:tc>
        <w:tc>
          <w:tcPr>
            <w:tcW w:w="1134" w:type="dxa"/>
            <w:tcBorders>
              <w:top w:val="nil"/>
              <w:left w:val="nil"/>
              <w:bottom w:val="single" w:color="auto" w:sz="4" w:space="0"/>
              <w:right w:val="single" w:color="auto" w:sz="4" w:space="0"/>
            </w:tcBorders>
            <w:shd w:val="clear" w:color="auto" w:fill="auto"/>
            <w:vAlign w:val="center"/>
          </w:tcPr>
          <w:p w14:paraId="5CF066E5">
            <w:pPr>
              <w:jc w:val="center"/>
            </w:pPr>
            <w:r>
              <w:rPr>
                <w:rFonts w:ascii="宋体" w:hAnsi="宋体"/>
                <w:sz w:val="18"/>
              </w:rPr>
              <w:t>151.75</w:t>
            </w:r>
          </w:p>
        </w:tc>
        <w:tc>
          <w:tcPr>
            <w:tcW w:w="2126" w:type="dxa"/>
            <w:tcBorders>
              <w:top w:val="nil"/>
              <w:left w:val="nil"/>
              <w:bottom w:val="single" w:color="auto" w:sz="4" w:space="0"/>
              <w:right w:val="single" w:color="auto" w:sz="4" w:space="0"/>
            </w:tcBorders>
            <w:shd w:val="clear" w:color="auto" w:fill="auto"/>
            <w:vAlign w:val="center"/>
          </w:tcPr>
          <w:p w14:paraId="0DA845FF">
            <w:pPr>
              <w:jc w:val="center"/>
            </w:pPr>
            <w:r>
              <w:rPr>
                <w:rFonts w:ascii="宋体" w:hAnsi="宋体"/>
                <w:sz w:val="18"/>
              </w:rPr>
              <w:t>92.04</w:t>
            </w:r>
          </w:p>
        </w:tc>
        <w:tc>
          <w:tcPr>
            <w:tcW w:w="1004" w:type="dxa"/>
            <w:tcBorders>
              <w:top w:val="nil"/>
              <w:left w:val="nil"/>
              <w:bottom w:val="single" w:color="auto" w:sz="4" w:space="0"/>
              <w:right w:val="single" w:color="auto" w:sz="4" w:space="0"/>
            </w:tcBorders>
            <w:shd w:val="clear" w:color="auto" w:fill="auto"/>
            <w:vAlign w:val="center"/>
          </w:tcPr>
          <w:p w14:paraId="0B920335">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14:paraId="7B91CB3D">
            <w:pPr>
              <w:jc w:val="center"/>
            </w:pPr>
            <w:r>
              <w:rPr>
                <w:rFonts w:ascii="宋体" w:hAnsi="宋体"/>
                <w:sz w:val="18"/>
              </w:rPr>
              <w:t>60.65%</w:t>
            </w:r>
          </w:p>
        </w:tc>
        <w:tc>
          <w:tcPr>
            <w:tcW w:w="720" w:type="dxa"/>
            <w:tcBorders>
              <w:top w:val="nil"/>
              <w:left w:val="nil"/>
              <w:bottom w:val="single" w:color="auto" w:sz="4" w:space="0"/>
              <w:right w:val="single" w:color="auto" w:sz="4" w:space="0"/>
            </w:tcBorders>
            <w:shd w:val="clear" w:color="auto" w:fill="auto"/>
            <w:vAlign w:val="center"/>
          </w:tcPr>
          <w:p w14:paraId="232ECBD6">
            <w:pPr>
              <w:jc w:val="center"/>
            </w:pPr>
            <w:r>
              <w:rPr>
                <w:rFonts w:ascii="宋体" w:hAnsi="宋体"/>
                <w:sz w:val="18"/>
              </w:rPr>
              <w:t>6.07</w:t>
            </w:r>
          </w:p>
        </w:tc>
      </w:tr>
      <w:tr w14:paraId="7F7A7410">
        <w:tblPrEx>
          <w:tblCellMar>
            <w:top w:w="0" w:type="dxa"/>
            <w:left w:w="108" w:type="dxa"/>
            <w:bottom w:w="0" w:type="dxa"/>
            <w:right w:w="108" w:type="dxa"/>
          </w:tblCellMar>
        </w:tblPrEx>
        <w:trPr>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C0B5EA3">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6B3A7EF6">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14:paraId="3E2584D9">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40665ECF">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32500D35">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44177435">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52D1F9CF">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5C694AE5">
            <w:pPr>
              <w:widowControl/>
              <w:jc w:val="center"/>
              <w:rPr>
                <w:rFonts w:hint="eastAsia" w:ascii="宋体" w:hAnsi="宋体" w:cs="宋体"/>
                <w:kern w:val="0"/>
                <w:sz w:val="18"/>
                <w:szCs w:val="18"/>
              </w:rPr>
            </w:pPr>
            <w:r>
              <w:rPr>
                <w:rFonts w:hint="eastAsia" w:ascii="宋体" w:hAnsi="宋体"/>
                <w:sz w:val="18"/>
                <w:szCs w:val="18"/>
              </w:rPr>
              <w:t>-</w:t>
            </w:r>
          </w:p>
        </w:tc>
      </w:tr>
      <w:tr w14:paraId="409E12DA">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7C37710">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40BB4DFF">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14:paraId="6CABF76A">
            <w:pPr>
              <w:jc w:val="center"/>
            </w:pPr>
            <w:r>
              <w:rPr>
                <w:rFonts w:ascii="宋体" w:hAnsi="宋体"/>
                <w:sz w:val="18"/>
              </w:rPr>
              <w:t>10.00</w:t>
            </w:r>
          </w:p>
        </w:tc>
        <w:tc>
          <w:tcPr>
            <w:tcW w:w="1134" w:type="dxa"/>
            <w:tcBorders>
              <w:top w:val="nil"/>
              <w:left w:val="nil"/>
              <w:bottom w:val="single" w:color="auto" w:sz="4" w:space="0"/>
              <w:right w:val="single" w:color="auto" w:sz="4" w:space="0"/>
            </w:tcBorders>
            <w:shd w:val="clear" w:color="auto" w:fill="auto"/>
            <w:vAlign w:val="center"/>
          </w:tcPr>
          <w:p w14:paraId="1C3F9E2A">
            <w:pPr>
              <w:jc w:val="center"/>
            </w:pPr>
            <w:r>
              <w:rPr>
                <w:rFonts w:ascii="宋体" w:hAnsi="宋体"/>
                <w:sz w:val="18"/>
              </w:rPr>
              <w:t>50.00</w:t>
            </w:r>
          </w:p>
        </w:tc>
        <w:tc>
          <w:tcPr>
            <w:tcW w:w="2126" w:type="dxa"/>
            <w:tcBorders>
              <w:top w:val="nil"/>
              <w:left w:val="nil"/>
              <w:bottom w:val="single" w:color="auto" w:sz="4" w:space="0"/>
              <w:right w:val="single" w:color="auto" w:sz="4" w:space="0"/>
            </w:tcBorders>
            <w:shd w:val="clear" w:color="auto" w:fill="auto"/>
            <w:vAlign w:val="center"/>
          </w:tcPr>
          <w:p w14:paraId="4FA36016">
            <w:pPr>
              <w:jc w:val="center"/>
            </w:pPr>
            <w:r>
              <w:rPr>
                <w:rFonts w:ascii="宋体" w:hAnsi="宋体"/>
                <w:sz w:val="18"/>
              </w:rPr>
              <w:t>8.00</w:t>
            </w:r>
          </w:p>
        </w:tc>
        <w:tc>
          <w:tcPr>
            <w:tcW w:w="1004" w:type="dxa"/>
            <w:tcBorders>
              <w:top w:val="nil"/>
              <w:left w:val="nil"/>
              <w:bottom w:val="single" w:color="auto" w:sz="4" w:space="0"/>
              <w:right w:val="single" w:color="auto" w:sz="4" w:space="0"/>
            </w:tcBorders>
            <w:shd w:val="clear" w:color="auto" w:fill="auto"/>
            <w:vAlign w:val="center"/>
          </w:tcPr>
          <w:p w14:paraId="49AA19FD">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1DB3CB44">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1589A6B4">
            <w:pPr>
              <w:widowControl/>
              <w:jc w:val="center"/>
              <w:rPr>
                <w:rFonts w:hint="eastAsia" w:ascii="宋体" w:hAnsi="宋体" w:cs="宋体"/>
                <w:kern w:val="0"/>
                <w:sz w:val="18"/>
                <w:szCs w:val="18"/>
              </w:rPr>
            </w:pPr>
            <w:r>
              <w:rPr>
                <w:rFonts w:hint="eastAsia" w:ascii="宋体" w:hAnsi="宋体"/>
                <w:sz w:val="18"/>
                <w:szCs w:val="18"/>
              </w:rPr>
              <w:t>-</w:t>
            </w:r>
          </w:p>
        </w:tc>
      </w:tr>
      <w:tr w14:paraId="6A13EA1A">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B461508">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1AA19399">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14:paraId="43A81732">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228E9F00">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54768190">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615564DA">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240ADC7C">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4FB939FE">
            <w:pPr>
              <w:widowControl/>
              <w:jc w:val="center"/>
              <w:rPr>
                <w:rFonts w:hint="eastAsia" w:ascii="宋体" w:hAnsi="宋体" w:cs="宋体"/>
                <w:kern w:val="0"/>
                <w:sz w:val="18"/>
                <w:szCs w:val="18"/>
              </w:rPr>
            </w:pPr>
            <w:r>
              <w:rPr>
                <w:rFonts w:hint="eastAsia" w:ascii="宋体" w:hAnsi="宋体" w:cs="宋体"/>
                <w:kern w:val="0"/>
                <w:sz w:val="18"/>
                <w:szCs w:val="18"/>
              </w:rPr>
              <w:t>-</w:t>
            </w:r>
          </w:p>
        </w:tc>
      </w:tr>
      <w:tr w14:paraId="4BEB4CAE">
        <w:tblPrEx>
          <w:tblCellMar>
            <w:top w:w="0" w:type="dxa"/>
            <w:left w:w="108" w:type="dxa"/>
            <w:bottom w:w="0" w:type="dxa"/>
            <w:right w:w="108" w:type="dxa"/>
          </w:tblCellMar>
        </w:tblPrEx>
        <w:trPr>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908D106">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2478409">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14:paraId="0CA1113C">
            <w:pPr>
              <w:jc w:val="center"/>
            </w:pPr>
            <w:r>
              <w:rPr>
                <w:rFonts w:ascii="宋体" w:hAnsi="宋体"/>
                <w:sz w:val="18"/>
              </w:rPr>
              <w:t>71.19</w:t>
            </w:r>
          </w:p>
        </w:tc>
        <w:tc>
          <w:tcPr>
            <w:tcW w:w="1134" w:type="dxa"/>
            <w:tcBorders>
              <w:top w:val="nil"/>
              <w:left w:val="nil"/>
              <w:bottom w:val="single" w:color="auto" w:sz="4" w:space="0"/>
              <w:right w:val="single" w:color="auto" w:sz="4" w:space="0"/>
            </w:tcBorders>
            <w:shd w:val="clear" w:color="auto" w:fill="auto"/>
            <w:vAlign w:val="center"/>
          </w:tcPr>
          <w:p w14:paraId="1A1ED49D">
            <w:pPr>
              <w:jc w:val="center"/>
            </w:pPr>
            <w:r>
              <w:rPr>
                <w:rFonts w:ascii="宋体" w:hAnsi="宋体"/>
                <w:sz w:val="18"/>
              </w:rPr>
              <w:t>95.86</w:t>
            </w:r>
          </w:p>
        </w:tc>
        <w:tc>
          <w:tcPr>
            <w:tcW w:w="2126" w:type="dxa"/>
            <w:tcBorders>
              <w:top w:val="nil"/>
              <w:left w:val="nil"/>
              <w:bottom w:val="single" w:color="auto" w:sz="4" w:space="0"/>
              <w:right w:val="single" w:color="auto" w:sz="4" w:space="0"/>
            </w:tcBorders>
            <w:shd w:val="clear" w:color="auto" w:fill="auto"/>
            <w:vAlign w:val="center"/>
          </w:tcPr>
          <w:p w14:paraId="2BCF3CC8">
            <w:pPr>
              <w:jc w:val="center"/>
            </w:pPr>
            <w:r>
              <w:rPr>
                <w:rFonts w:ascii="宋体" w:hAnsi="宋体"/>
                <w:sz w:val="18"/>
              </w:rPr>
              <w:t>78.15</w:t>
            </w:r>
          </w:p>
        </w:tc>
        <w:tc>
          <w:tcPr>
            <w:tcW w:w="1004" w:type="dxa"/>
            <w:tcBorders>
              <w:top w:val="nil"/>
              <w:left w:val="nil"/>
              <w:bottom w:val="single" w:color="auto" w:sz="4" w:space="0"/>
              <w:right w:val="single" w:color="auto" w:sz="4" w:space="0"/>
            </w:tcBorders>
            <w:shd w:val="clear" w:color="auto" w:fill="auto"/>
            <w:vAlign w:val="center"/>
          </w:tcPr>
          <w:p w14:paraId="485B8043">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795463FD">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358CDABF">
            <w:pPr>
              <w:widowControl/>
              <w:jc w:val="center"/>
              <w:rPr>
                <w:rFonts w:hint="eastAsia" w:ascii="宋体" w:hAnsi="宋体" w:cs="宋体"/>
                <w:kern w:val="0"/>
                <w:sz w:val="18"/>
                <w:szCs w:val="18"/>
              </w:rPr>
            </w:pPr>
            <w:r>
              <w:rPr>
                <w:rFonts w:hint="eastAsia" w:ascii="宋体" w:hAnsi="宋体" w:cs="宋体"/>
                <w:kern w:val="0"/>
                <w:sz w:val="18"/>
                <w:szCs w:val="18"/>
              </w:rPr>
              <w:t>-</w:t>
            </w:r>
          </w:p>
        </w:tc>
      </w:tr>
      <w:tr w14:paraId="1F2960CA">
        <w:tblPrEx>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CE97BDD">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4441A028">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14:paraId="24A9F453">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270EED2B">
            <w:pPr>
              <w:jc w:val="center"/>
            </w:pPr>
            <w:r>
              <w:rPr>
                <w:rFonts w:ascii="宋体" w:hAnsi="宋体"/>
                <w:sz w:val="18"/>
              </w:rPr>
              <w:t>5.89</w:t>
            </w:r>
          </w:p>
        </w:tc>
        <w:tc>
          <w:tcPr>
            <w:tcW w:w="2126" w:type="dxa"/>
            <w:tcBorders>
              <w:top w:val="nil"/>
              <w:left w:val="nil"/>
              <w:bottom w:val="single" w:color="auto" w:sz="4" w:space="0"/>
              <w:right w:val="single" w:color="auto" w:sz="4" w:space="0"/>
            </w:tcBorders>
            <w:shd w:val="clear" w:color="auto" w:fill="auto"/>
            <w:vAlign w:val="center"/>
          </w:tcPr>
          <w:p w14:paraId="02AD5C5F">
            <w:pPr>
              <w:jc w:val="center"/>
            </w:pPr>
            <w:r>
              <w:rPr>
                <w:rFonts w:ascii="宋体" w:hAnsi="宋体"/>
                <w:sz w:val="18"/>
              </w:rPr>
              <w:t>5.89</w:t>
            </w:r>
          </w:p>
        </w:tc>
        <w:tc>
          <w:tcPr>
            <w:tcW w:w="1004" w:type="dxa"/>
            <w:tcBorders>
              <w:top w:val="nil"/>
              <w:left w:val="nil"/>
              <w:bottom w:val="single" w:color="auto" w:sz="4" w:space="0"/>
              <w:right w:val="single" w:color="auto" w:sz="4" w:space="0"/>
            </w:tcBorders>
            <w:shd w:val="clear" w:color="auto" w:fill="auto"/>
            <w:vAlign w:val="center"/>
          </w:tcPr>
          <w:p w14:paraId="4FBD6281">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2F78DF56">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4B1CA302">
            <w:pPr>
              <w:widowControl/>
              <w:jc w:val="center"/>
              <w:rPr>
                <w:rFonts w:hint="eastAsia" w:ascii="宋体" w:hAnsi="宋体" w:cs="宋体"/>
                <w:kern w:val="0"/>
                <w:sz w:val="18"/>
                <w:szCs w:val="18"/>
              </w:rPr>
            </w:pPr>
            <w:r>
              <w:rPr>
                <w:rFonts w:hint="eastAsia" w:ascii="宋体" w:hAnsi="宋体" w:cs="宋体"/>
                <w:kern w:val="0"/>
                <w:sz w:val="18"/>
                <w:szCs w:val="18"/>
              </w:rPr>
              <w:t>-</w:t>
            </w:r>
          </w:p>
        </w:tc>
      </w:tr>
      <w:tr w14:paraId="065613B6">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172D557">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14:paraId="7D6F27AB">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14:paraId="2C51CCC0">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r>
      <w:tr w14:paraId="3737CE10">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F3ED3DB">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14:paraId="18524EE1">
            <w:pPr>
              <w:jc w:val="left"/>
            </w:pPr>
            <w:r>
              <w:rPr>
                <w:rFonts w:ascii="宋体" w:hAnsi="宋体"/>
                <w:sz w:val="18"/>
              </w:rPr>
              <w:t>全面深入学习贯彻</w:t>
            </w:r>
            <w:r>
              <w:rPr>
                <w:rFonts w:hint="eastAsia" w:ascii="宋体" w:hAnsi="宋体"/>
                <w:sz w:val="18"/>
                <w:lang w:eastAsia="zh-CN"/>
              </w:rPr>
              <w:t>党的二十大精神</w:t>
            </w:r>
            <w:bookmarkStart w:id="49" w:name="_GoBack"/>
            <w:bookmarkEnd w:id="49"/>
            <w:r>
              <w:rPr>
                <w:rFonts w:ascii="宋体" w:hAnsi="宋体"/>
                <w:sz w:val="18"/>
              </w:rPr>
              <w:t>，继续深入实施《全民科学素质行动计划纲要》，以科技、教育为支撑，动员组织社会各界力量，结合实际，在城乡广泛开展形式多样、内容丰富的科普活动和科技培训，不断提高广大人民群众的科学素质和依靠科技致富的本领，按照区委扩大会议精神，2023年米东区科协的工作重点为：（一）围绕提高全民科学素质的工作目标，抓好常规性科普节点“科普宣传月”“科技周”“科普日”等各类纪念日开展相应的普及科学知识的宣传活动、讲座，营造全社会学科学、用科学良好氛围。（二）做好青少年科普工作。抓好传统活动，继续开展创建科普教育基地、科技特色学校活动,推动青少年科技科普发展。（三）打造科普工作服务亮点，筹建培养两个“科技小院”建设后备单位，助力乡村振兴工作。（四）多方协作，搭好科协工作平台，开展各种有特色的科普活动。充分利用科普画廊（橱窗）、墙报、电子屏幕、居民活动中心等科普设施，宣传防疫抗疫、去极端化、节能环保、科学文明健康的生活方式，引导广大农牧民群众依靠科学技术勤劳致富。（五）做好文明实践中心平台的科普工作，全面挖掘优势资源，发挥行业特点，扎实有效的服务于群众。（六）大力抓好科技培训。结合农业科学发展的实际需求，加强农牧业生产技能培训，大力培养乡土科技人才；通过“科技下乡”、农村专业技术协会、合作社，组织专家现场指导，直接面向农牧民、社区居民传播新技术、新方法和新理念及科学生活方式。2023年计划开展各项培训320期，预计培训人数达26000人。（七）完成自治区、市科协安排的各项科普任务；完成区委、区政府安排的各项中心工作。</w:t>
            </w:r>
          </w:p>
        </w:tc>
        <w:tc>
          <w:tcPr>
            <w:tcW w:w="4689" w:type="dxa"/>
            <w:gridSpan w:val="4"/>
            <w:tcBorders>
              <w:top w:val="single" w:color="auto" w:sz="4" w:space="0"/>
              <w:left w:val="nil"/>
              <w:bottom w:val="single" w:color="auto" w:sz="4" w:space="0"/>
              <w:right w:val="single" w:color="auto" w:sz="4" w:space="0"/>
            </w:tcBorders>
            <w:shd w:val="clear" w:color="auto" w:fill="auto"/>
          </w:tcPr>
          <w:p w14:paraId="28A8CACE">
            <w:pPr>
              <w:jc w:val="left"/>
            </w:pPr>
            <w:r>
              <w:rPr>
                <w:rFonts w:ascii="宋体" w:hAnsi="宋体"/>
                <w:sz w:val="18"/>
              </w:rPr>
              <w:t>2023年，米东区科协在上级科协的关心支持下，在区委、政府的正确领导下，坚持为科技工作者服务、为创新驱动发展服务、为提高全民科学素质服务、为党和政府科学决策服务，团结和依靠科技工作者，围绕区委、政府工作部署，加强领导，突出重点，扎实推进，突出做好科学普及、“去极端化”及反邪教宣传等重点工作，为我区经济社会高质量发展做好服务工作。</w:t>
            </w:r>
          </w:p>
        </w:tc>
      </w:tr>
      <w:tr w14:paraId="5FF80B03">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72E913B3">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72A5BCB3">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5B4516D6">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14:paraId="0489FAAB">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14:paraId="3C622D51">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14:paraId="1D7142F0">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14:paraId="1D21A1BE">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14:paraId="2E46C47A">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14:paraId="07A39443">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49CB542C">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1868ECE9">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0C5560B8">
            <w:pPr>
              <w:jc w:val="center"/>
            </w:pPr>
            <w:r>
              <w:rPr>
                <w:rFonts w:ascii="宋体" w:hAnsi="宋体"/>
                <w:sz w:val="18"/>
              </w:rPr>
              <w:t>举办科普讲座场次</w:t>
            </w:r>
          </w:p>
        </w:tc>
        <w:tc>
          <w:tcPr>
            <w:tcW w:w="1134" w:type="dxa"/>
            <w:tcBorders>
              <w:top w:val="nil"/>
              <w:left w:val="nil"/>
              <w:bottom w:val="single" w:color="auto" w:sz="4" w:space="0"/>
              <w:right w:val="single" w:color="auto" w:sz="4" w:space="0"/>
            </w:tcBorders>
            <w:shd w:val="clear" w:color="auto" w:fill="auto"/>
            <w:noWrap/>
            <w:vAlign w:val="center"/>
          </w:tcPr>
          <w:p w14:paraId="426C1D8E">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14:paraId="48B69898">
            <w:pPr>
              <w:jc w:val="center"/>
            </w:pPr>
            <w:r>
              <w:rPr>
                <w:rFonts w:ascii="宋体" w:hAnsi="宋体"/>
                <w:sz w:val="18"/>
              </w:rPr>
              <w:t>米东区科协2023年工作计划</w:t>
            </w:r>
          </w:p>
        </w:tc>
        <w:tc>
          <w:tcPr>
            <w:tcW w:w="1004" w:type="dxa"/>
            <w:tcBorders>
              <w:top w:val="nil"/>
              <w:left w:val="nil"/>
              <w:bottom w:val="single" w:color="auto" w:sz="4" w:space="0"/>
              <w:right w:val="single" w:color="auto" w:sz="4" w:space="0"/>
            </w:tcBorders>
            <w:shd w:val="clear" w:color="auto" w:fill="auto"/>
            <w:noWrap/>
            <w:vAlign w:val="center"/>
          </w:tcPr>
          <w:p w14:paraId="2008C80D">
            <w:pPr>
              <w:jc w:val="center"/>
            </w:pPr>
            <w:r>
              <w:rPr>
                <w:rFonts w:ascii="宋体" w:hAnsi="宋体"/>
                <w:sz w:val="18"/>
              </w:rPr>
              <w:t>44次</w:t>
            </w:r>
          </w:p>
        </w:tc>
        <w:tc>
          <w:tcPr>
            <w:tcW w:w="839" w:type="dxa"/>
            <w:tcBorders>
              <w:top w:val="nil"/>
              <w:left w:val="nil"/>
              <w:bottom w:val="single" w:color="auto" w:sz="4" w:space="0"/>
              <w:right w:val="single" w:color="auto" w:sz="4" w:space="0"/>
            </w:tcBorders>
            <w:shd w:val="clear" w:color="auto" w:fill="auto"/>
            <w:noWrap/>
            <w:vAlign w:val="center"/>
          </w:tcPr>
          <w:p w14:paraId="0BEF637B">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79C82778">
            <w:pPr>
              <w:jc w:val="center"/>
            </w:pPr>
            <w:r>
              <w:rPr>
                <w:rFonts w:ascii="宋体" w:hAnsi="宋体"/>
                <w:sz w:val="18"/>
              </w:rPr>
              <w:t>30</w:t>
            </w:r>
          </w:p>
        </w:tc>
      </w:tr>
      <w:tr w14:paraId="4AC2DFE7">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97B7800">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00B7718B">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188B974C">
            <w:pPr>
              <w:jc w:val="center"/>
            </w:pPr>
            <w:r>
              <w:rPr>
                <w:rFonts w:ascii="宋体" w:hAnsi="宋体"/>
                <w:sz w:val="18"/>
              </w:rPr>
              <w:t>创建科普大学</w:t>
            </w:r>
          </w:p>
        </w:tc>
        <w:tc>
          <w:tcPr>
            <w:tcW w:w="1134" w:type="dxa"/>
            <w:tcBorders>
              <w:top w:val="nil"/>
              <w:left w:val="nil"/>
              <w:bottom w:val="single" w:color="auto" w:sz="4" w:space="0"/>
              <w:right w:val="single" w:color="auto" w:sz="4" w:space="0"/>
            </w:tcBorders>
            <w:shd w:val="clear" w:color="auto" w:fill="auto"/>
            <w:noWrap/>
            <w:vAlign w:val="center"/>
          </w:tcPr>
          <w:p w14:paraId="3E38021F">
            <w:pPr>
              <w:jc w:val="center"/>
            </w:pPr>
            <w:r>
              <w:rPr>
                <w:rFonts w:ascii="宋体" w:hAnsi="宋体"/>
                <w:sz w:val="18"/>
              </w:rPr>
              <w:t>&gt;=2所</w:t>
            </w:r>
          </w:p>
        </w:tc>
        <w:tc>
          <w:tcPr>
            <w:tcW w:w="2126" w:type="dxa"/>
            <w:tcBorders>
              <w:top w:val="nil"/>
              <w:left w:val="nil"/>
              <w:bottom w:val="single" w:color="auto" w:sz="4" w:space="0"/>
              <w:right w:val="single" w:color="auto" w:sz="4" w:space="0"/>
            </w:tcBorders>
            <w:shd w:val="clear" w:color="auto" w:fill="auto"/>
            <w:noWrap/>
            <w:vAlign w:val="center"/>
          </w:tcPr>
          <w:p w14:paraId="05B6377E">
            <w:pPr>
              <w:jc w:val="center"/>
            </w:pPr>
            <w:r>
              <w:rPr>
                <w:rFonts w:ascii="宋体" w:hAnsi="宋体"/>
                <w:sz w:val="18"/>
              </w:rPr>
              <w:t>米东区科协2023年工作计划</w:t>
            </w:r>
          </w:p>
        </w:tc>
        <w:tc>
          <w:tcPr>
            <w:tcW w:w="1004" w:type="dxa"/>
            <w:tcBorders>
              <w:top w:val="nil"/>
              <w:left w:val="nil"/>
              <w:bottom w:val="single" w:color="auto" w:sz="4" w:space="0"/>
              <w:right w:val="single" w:color="auto" w:sz="4" w:space="0"/>
            </w:tcBorders>
            <w:shd w:val="clear" w:color="auto" w:fill="auto"/>
            <w:noWrap/>
            <w:vAlign w:val="center"/>
          </w:tcPr>
          <w:p w14:paraId="3A7B9EDC">
            <w:pPr>
              <w:jc w:val="center"/>
            </w:pPr>
            <w:r>
              <w:rPr>
                <w:rFonts w:ascii="宋体" w:hAnsi="宋体"/>
                <w:sz w:val="18"/>
              </w:rPr>
              <w:t>2所</w:t>
            </w:r>
          </w:p>
        </w:tc>
        <w:tc>
          <w:tcPr>
            <w:tcW w:w="839" w:type="dxa"/>
            <w:tcBorders>
              <w:top w:val="nil"/>
              <w:left w:val="nil"/>
              <w:bottom w:val="single" w:color="auto" w:sz="4" w:space="0"/>
              <w:right w:val="single" w:color="auto" w:sz="4" w:space="0"/>
            </w:tcBorders>
            <w:shd w:val="clear" w:color="auto" w:fill="auto"/>
            <w:noWrap/>
            <w:vAlign w:val="center"/>
          </w:tcPr>
          <w:p w14:paraId="338A3FB4">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59BAB7CD">
            <w:pPr>
              <w:jc w:val="center"/>
            </w:pPr>
            <w:r>
              <w:rPr>
                <w:rFonts w:ascii="宋体" w:hAnsi="宋体"/>
                <w:sz w:val="18"/>
              </w:rPr>
              <w:t>30</w:t>
            </w:r>
          </w:p>
        </w:tc>
      </w:tr>
      <w:tr w14:paraId="19B5DEBD">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1147729">
            <w:pPr>
              <w:widowControl/>
              <w:jc w:val="center"/>
              <w:rPr>
                <w:rFonts w:hint="eastAsia" w:ascii="宋体" w:hAnsi="宋体" w:cs="宋体"/>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792C3C5A">
            <w:pPr>
              <w:jc w:val="center"/>
            </w:pPr>
            <w:r>
              <w:rPr>
                <w:rFonts w:ascii="宋体" w:hAnsi="宋体"/>
                <w:sz w:val="18"/>
              </w:rPr>
              <w:t>质量指标</w:t>
            </w:r>
          </w:p>
        </w:tc>
        <w:tc>
          <w:tcPr>
            <w:tcW w:w="1418" w:type="dxa"/>
            <w:tcBorders>
              <w:top w:val="nil"/>
              <w:left w:val="nil"/>
              <w:bottom w:val="single" w:color="auto" w:sz="4" w:space="0"/>
              <w:right w:val="single" w:color="auto" w:sz="4" w:space="0"/>
            </w:tcBorders>
            <w:shd w:val="clear" w:color="auto" w:fill="auto"/>
            <w:noWrap/>
            <w:vAlign w:val="center"/>
          </w:tcPr>
          <w:p w14:paraId="31144E72">
            <w:pPr>
              <w:jc w:val="center"/>
            </w:pPr>
            <w:r>
              <w:rPr>
                <w:rFonts w:ascii="宋体" w:hAnsi="宋体"/>
                <w:sz w:val="18"/>
              </w:rPr>
              <w:t>科普活动在校学生参与度</w:t>
            </w:r>
          </w:p>
        </w:tc>
        <w:tc>
          <w:tcPr>
            <w:tcW w:w="1134" w:type="dxa"/>
            <w:tcBorders>
              <w:top w:val="nil"/>
              <w:left w:val="nil"/>
              <w:bottom w:val="single" w:color="auto" w:sz="4" w:space="0"/>
              <w:right w:val="single" w:color="auto" w:sz="4" w:space="0"/>
            </w:tcBorders>
            <w:shd w:val="clear" w:color="auto" w:fill="auto"/>
            <w:noWrap/>
            <w:vAlign w:val="center"/>
          </w:tcPr>
          <w:p w14:paraId="731227BB">
            <w:pPr>
              <w:jc w:val="center"/>
            </w:pPr>
            <w:r>
              <w:rPr>
                <w:rFonts w:ascii="宋体" w:hAnsi="宋体"/>
                <w:sz w:val="18"/>
              </w:rPr>
              <w:t>&gt;=90%</w:t>
            </w:r>
          </w:p>
        </w:tc>
        <w:tc>
          <w:tcPr>
            <w:tcW w:w="2126" w:type="dxa"/>
            <w:tcBorders>
              <w:top w:val="nil"/>
              <w:left w:val="nil"/>
              <w:bottom w:val="single" w:color="auto" w:sz="4" w:space="0"/>
              <w:right w:val="single" w:color="auto" w:sz="4" w:space="0"/>
            </w:tcBorders>
            <w:shd w:val="clear" w:color="auto" w:fill="auto"/>
            <w:noWrap/>
            <w:vAlign w:val="center"/>
          </w:tcPr>
          <w:p w14:paraId="1A8B133E">
            <w:pPr>
              <w:jc w:val="center"/>
            </w:pPr>
            <w:r>
              <w:rPr>
                <w:rFonts w:ascii="宋体" w:hAnsi="宋体"/>
                <w:sz w:val="18"/>
              </w:rPr>
              <w:t>米东区科协2023年工作计划</w:t>
            </w:r>
          </w:p>
        </w:tc>
        <w:tc>
          <w:tcPr>
            <w:tcW w:w="1004" w:type="dxa"/>
            <w:tcBorders>
              <w:top w:val="nil"/>
              <w:left w:val="nil"/>
              <w:bottom w:val="single" w:color="auto" w:sz="4" w:space="0"/>
              <w:right w:val="single" w:color="auto" w:sz="4" w:space="0"/>
            </w:tcBorders>
            <w:shd w:val="clear" w:color="auto" w:fill="auto"/>
            <w:noWrap/>
            <w:vAlign w:val="center"/>
          </w:tcPr>
          <w:p w14:paraId="646DF0FC">
            <w:pPr>
              <w:jc w:val="center"/>
            </w:pPr>
            <w:r>
              <w:rPr>
                <w:rFonts w:ascii="宋体" w:hAnsi="宋体"/>
                <w:sz w:val="18"/>
              </w:rPr>
              <w:t>90%</w:t>
            </w:r>
          </w:p>
        </w:tc>
        <w:tc>
          <w:tcPr>
            <w:tcW w:w="839" w:type="dxa"/>
            <w:tcBorders>
              <w:top w:val="nil"/>
              <w:left w:val="nil"/>
              <w:bottom w:val="single" w:color="auto" w:sz="4" w:space="0"/>
              <w:right w:val="single" w:color="auto" w:sz="4" w:space="0"/>
            </w:tcBorders>
            <w:shd w:val="clear" w:color="auto" w:fill="auto"/>
            <w:noWrap/>
            <w:vAlign w:val="center"/>
          </w:tcPr>
          <w:p w14:paraId="68C2EDFA">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19308862">
            <w:pPr>
              <w:jc w:val="center"/>
            </w:pPr>
            <w:r>
              <w:rPr>
                <w:rFonts w:ascii="宋体" w:hAnsi="宋体"/>
                <w:sz w:val="18"/>
              </w:rPr>
              <w:t>30</w:t>
            </w:r>
          </w:p>
        </w:tc>
      </w:tr>
      <w:tr w14:paraId="5B4C9CE4">
        <w:tblPrEx>
          <w:tblCellMar>
            <w:top w:w="0" w:type="dxa"/>
            <w:left w:w="108" w:type="dxa"/>
            <w:bottom w:w="0" w:type="dxa"/>
            <w:right w:w="108" w:type="dxa"/>
          </w:tblCellMar>
        </w:tblPrEx>
        <w:trPr>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712EC71B">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14:paraId="2A995DD5">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14:paraId="58B17424">
            <w:pPr>
              <w:jc w:val="center"/>
            </w:pPr>
            <w:r>
              <w:rPr>
                <w:rFonts w:ascii="宋体" w:hAnsi="宋体"/>
                <w:sz w:val="18"/>
              </w:rPr>
              <w:t>96.07分</w:t>
            </w:r>
          </w:p>
        </w:tc>
      </w:tr>
    </w:tbl>
    <w:p w14:paraId="252BBC22">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19DD2E02">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76150EC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3ACB6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B9A35F6">
            <w:pPr>
              <w:jc w:val="center"/>
            </w:pPr>
            <w:r>
              <w:rPr>
                <w:rFonts w:ascii="宋体" w:hAnsi="宋体"/>
                <w:sz w:val="18"/>
              </w:rPr>
              <w:t>2022年为民办实事、办好事工作队工作经费</w:t>
            </w:r>
          </w:p>
        </w:tc>
      </w:tr>
      <w:tr w14:paraId="619BA53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E4140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68E010A6">
            <w:pPr>
              <w:jc w:val="center"/>
            </w:pPr>
            <w:r>
              <w:rPr>
                <w:rFonts w:ascii="宋体" w:hAnsi="宋体"/>
                <w:sz w:val="18"/>
              </w:rPr>
              <w:t>米东区科学技术协会</w:t>
            </w:r>
          </w:p>
        </w:tc>
        <w:tc>
          <w:tcPr>
            <w:tcW w:w="1177" w:type="dxa"/>
            <w:tcBorders>
              <w:top w:val="nil"/>
              <w:left w:val="nil"/>
              <w:bottom w:val="single" w:color="auto" w:sz="4" w:space="0"/>
              <w:right w:val="single" w:color="auto" w:sz="4" w:space="0"/>
            </w:tcBorders>
            <w:shd w:val="clear" w:color="auto" w:fill="auto"/>
            <w:vAlign w:val="center"/>
          </w:tcPr>
          <w:p w14:paraId="76EBA98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49D3E8ED">
            <w:pPr>
              <w:jc w:val="center"/>
              <w:rPr>
                <w:rFonts w:hint="eastAsia"/>
              </w:rPr>
            </w:pPr>
            <w:r>
              <w:rPr>
                <w:rFonts w:ascii="宋体" w:hAnsi="宋体"/>
                <w:sz w:val="18"/>
              </w:rPr>
              <w:t>米东区科协</w:t>
            </w:r>
          </w:p>
        </w:tc>
      </w:tr>
      <w:tr w14:paraId="4EA54800">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B1CFB2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1DBE368">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3BAFD74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63E1EDF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6D72372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1B9BB2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D4D18F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71C2864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0AD758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5C8007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4C7A91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AAF47A7">
            <w:pPr>
              <w:jc w:val="center"/>
            </w:pPr>
            <w:r>
              <w:rPr>
                <w:rFonts w:ascii="宋体" w:hAnsi="宋体"/>
                <w:sz w:val="18"/>
              </w:rPr>
              <w:t>3.58</w:t>
            </w:r>
          </w:p>
        </w:tc>
        <w:tc>
          <w:tcPr>
            <w:tcW w:w="1177" w:type="dxa"/>
            <w:tcBorders>
              <w:top w:val="nil"/>
              <w:left w:val="nil"/>
              <w:bottom w:val="single" w:color="auto" w:sz="4" w:space="0"/>
              <w:right w:val="single" w:color="auto" w:sz="4" w:space="0"/>
            </w:tcBorders>
            <w:shd w:val="clear" w:color="auto" w:fill="auto"/>
            <w:noWrap/>
            <w:vAlign w:val="center"/>
          </w:tcPr>
          <w:p w14:paraId="015C9927">
            <w:pPr>
              <w:jc w:val="center"/>
            </w:pPr>
            <w:r>
              <w:rPr>
                <w:rFonts w:ascii="宋体" w:hAnsi="宋体"/>
                <w:sz w:val="18"/>
              </w:rPr>
              <w:t>3.58</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86C2B95">
            <w:pPr>
              <w:jc w:val="center"/>
            </w:pPr>
            <w:r>
              <w:rPr>
                <w:rFonts w:ascii="宋体" w:hAnsi="宋体"/>
                <w:sz w:val="18"/>
              </w:rPr>
              <w:t>3.58</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8D0D8BC">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F176EEE">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110750A5">
            <w:pPr>
              <w:jc w:val="center"/>
            </w:pPr>
            <w:r>
              <w:rPr>
                <w:rFonts w:ascii="宋体" w:hAnsi="宋体"/>
                <w:sz w:val="18"/>
              </w:rPr>
              <w:t>10.00分</w:t>
            </w:r>
          </w:p>
        </w:tc>
      </w:tr>
      <w:tr w14:paraId="76FE3C0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983711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297965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C706166">
            <w:pPr>
              <w:jc w:val="center"/>
            </w:pPr>
            <w:r>
              <w:rPr>
                <w:rFonts w:ascii="宋体" w:hAnsi="宋体"/>
                <w:sz w:val="18"/>
              </w:rPr>
              <w:t>3.58</w:t>
            </w:r>
          </w:p>
        </w:tc>
        <w:tc>
          <w:tcPr>
            <w:tcW w:w="1177" w:type="dxa"/>
            <w:tcBorders>
              <w:top w:val="nil"/>
              <w:left w:val="nil"/>
              <w:bottom w:val="single" w:color="auto" w:sz="4" w:space="0"/>
              <w:right w:val="single" w:color="auto" w:sz="4" w:space="0"/>
            </w:tcBorders>
            <w:shd w:val="clear" w:color="auto" w:fill="auto"/>
            <w:noWrap/>
            <w:vAlign w:val="center"/>
          </w:tcPr>
          <w:p w14:paraId="0E556A50">
            <w:pPr>
              <w:jc w:val="center"/>
            </w:pPr>
            <w:r>
              <w:rPr>
                <w:rFonts w:ascii="宋体" w:hAnsi="宋体"/>
                <w:sz w:val="18"/>
              </w:rPr>
              <w:t>3.58</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DDC33E2">
            <w:pPr>
              <w:jc w:val="center"/>
            </w:pPr>
            <w:r>
              <w:rPr>
                <w:rFonts w:ascii="宋体" w:hAnsi="宋体"/>
                <w:sz w:val="18"/>
              </w:rPr>
              <w:t>3.58</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3BF677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0F18F4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E11ABF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BC99A3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250CB1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08B9A8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6B31158">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5EAD2593">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3387529E">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979458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C6DF70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1A9D7D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D89302A">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02ECEC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1EC09AF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5E05BF4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E5B2751">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3097567">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0CE9C876">
            <w:pPr>
              <w:jc w:val="left"/>
            </w:pPr>
            <w:r>
              <w:rPr>
                <w:rFonts w:ascii="宋体" w:hAnsi="宋体"/>
                <w:sz w:val="18"/>
              </w:rPr>
              <w:t>做好为民办实事活动，将活动资金用于为群众办实事办好事中</w:t>
            </w:r>
          </w:p>
        </w:tc>
        <w:tc>
          <w:tcPr>
            <w:tcW w:w="4625" w:type="dxa"/>
            <w:gridSpan w:val="7"/>
            <w:tcBorders>
              <w:top w:val="single" w:color="auto" w:sz="4" w:space="0"/>
              <w:left w:val="nil"/>
              <w:bottom w:val="single" w:color="auto" w:sz="4" w:space="0"/>
              <w:right w:val="single" w:color="000000" w:sz="4" w:space="0"/>
            </w:tcBorders>
            <w:shd w:val="clear" w:color="auto" w:fill="auto"/>
          </w:tcPr>
          <w:p w14:paraId="7FBC1AC0">
            <w:pPr>
              <w:jc w:val="left"/>
            </w:pPr>
            <w:r>
              <w:rPr>
                <w:rFonts w:ascii="宋体" w:hAnsi="宋体"/>
                <w:sz w:val="18"/>
              </w:rPr>
              <w:t>做好为民办实事活动，将活动资金用于为群众办实事办好事中</w:t>
            </w:r>
          </w:p>
        </w:tc>
      </w:tr>
      <w:tr w14:paraId="25FD0B90">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A003A19">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35C1ABA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61E3B01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6E81F1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41FD143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24FE373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798DE4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E94CE9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DC7686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573D94D">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7B16C79">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6C9B6400">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058528E">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763E37B">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4E1AD3FA">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7643060B">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044BC73D">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6A2730B8">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7C850092">
            <w:pPr>
              <w:widowControl/>
              <w:jc w:val="left"/>
              <w:rPr>
                <w:rFonts w:hint="eastAsia" w:ascii="宋体" w:hAnsi="宋体" w:cs="宋体"/>
                <w:color w:val="000000"/>
                <w:kern w:val="0"/>
                <w:sz w:val="18"/>
                <w:szCs w:val="18"/>
              </w:rPr>
            </w:pPr>
          </w:p>
        </w:tc>
      </w:tr>
      <w:tr w14:paraId="1F617918">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86426FB">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55383403">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68304635">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F024768">
            <w:pPr>
              <w:jc w:val="center"/>
            </w:pPr>
            <w:r>
              <w:rPr>
                <w:rFonts w:ascii="宋体" w:hAnsi="宋体"/>
                <w:sz w:val="18"/>
              </w:rPr>
              <w:t>活动次数</w:t>
            </w:r>
          </w:p>
        </w:tc>
        <w:tc>
          <w:tcPr>
            <w:tcW w:w="1177" w:type="dxa"/>
            <w:tcBorders>
              <w:top w:val="nil"/>
              <w:left w:val="nil"/>
              <w:bottom w:val="single" w:color="auto" w:sz="4" w:space="0"/>
              <w:right w:val="single" w:color="auto" w:sz="4" w:space="0"/>
            </w:tcBorders>
            <w:shd w:val="clear" w:color="auto" w:fill="auto"/>
            <w:vAlign w:val="center"/>
          </w:tcPr>
          <w:p w14:paraId="357A26B1">
            <w:pPr>
              <w:jc w:val="center"/>
            </w:pPr>
            <w:r>
              <w:rPr>
                <w:rFonts w:ascii="宋体" w:hAnsi="宋体"/>
                <w:sz w:val="18"/>
              </w:rPr>
              <w:t>&gt;=3次</w:t>
            </w:r>
          </w:p>
        </w:tc>
        <w:tc>
          <w:tcPr>
            <w:tcW w:w="1177" w:type="dxa"/>
            <w:tcBorders>
              <w:top w:val="nil"/>
              <w:left w:val="nil"/>
              <w:bottom w:val="single" w:color="auto" w:sz="4" w:space="0"/>
              <w:right w:val="single" w:color="auto" w:sz="4" w:space="0"/>
            </w:tcBorders>
            <w:shd w:val="clear" w:color="auto" w:fill="auto"/>
            <w:vAlign w:val="center"/>
          </w:tcPr>
          <w:p w14:paraId="2A2B19D6">
            <w:pPr>
              <w:jc w:val="center"/>
            </w:pPr>
            <w:r>
              <w:rPr>
                <w:rFonts w:ascii="宋体" w:hAnsi="宋体"/>
                <w:sz w:val="18"/>
              </w:rPr>
              <w:t>3次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28AEFCC">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71E42C5">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EF45B5B">
            <w:pPr>
              <w:jc w:val="center"/>
            </w:pPr>
          </w:p>
        </w:tc>
      </w:tr>
      <w:tr w14:paraId="67AA59C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96F48A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D445FE7">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0320045A">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E53A597">
            <w:pPr>
              <w:jc w:val="center"/>
            </w:pPr>
            <w:r>
              <w:rPr>
                <w:rFonts w:ascii="宋体" w:hAnsi="宋体"/>
                <w:sz w:val="18"/>
              </w:rPr>
              <w:t>资金使用合规率</w:t>
            </w:r>
          </w:p>
        </w:tc>
        <w:tc>
          <w:tcPr>
            <w:tcW w:w="1177" w:type="dxa"/>
            <w:tcBorders>
              <w:top w:val="nil"/>
              <w:left w:val="nil"/>
              <w:bottom w:val="single" w:color="auto" w:sz="4" w:space="0"/>
              <w:right w:val="single" w:color="auto" w:sz="4" w:space="0"/>
            </w:tcBorders>
            <w:shd w:val="clear" w:color="auto" w:fill="auto"/>
            <w:vAlign w:val="center"/>
          </w:tcPr>
          <w:p w14:paraId="6A049B33">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4DC2E259">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8723C9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18C031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35E6736">
            <w:pPr>
              <w:jc w:val="center"/>
            </w:pPr>
          </w:p>
        </w:tc>
      </w:tr>
      <w:tr w14:paraId="1C85C19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D424AD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33DA1AC">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2E702A96">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01E93F0">
            <w:pPr>
              <w:jc w:val="center"/>
            </w:pPr>
            <w:r>
              <w:rPr>
                <w:rFonts w:ascii="宋体" w:hAnsi="宋体"/>
                <w:sz w:val="18"/>
              </w:rPr>
              <w:t>活动出勤率</w:t>
            </w:r>
          </w:p>
        </w:tc>
        <w:tc>
          <w:tcPr>
            <w:tcW w:w="1177" w:type="dxa"/>
            <w:tcBorders>
              <w:top w:val="nil"/>
              <w:left w:val="nil"/>
              <w:bottom w:val="single" w:color="auto" w:sz="4" w:space="0"/>
              <w:right w:val="single" w:color="auto" w:sz="4" w:space="0"/>
            </w:tcBorders>
            <w:shd w:val="clear" w:color="auto" w:fill="auto"/>
            <w:vAlign w:val="center"/>
          </w:tcPr>
          <w:p w14:paraId="501E10B0">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2C731A1D">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6BD8CC5">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0CE514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61130B1">
            <w:pPr>
              <w:jc w:val="center"/>
            </w:pPr>
          </w:p>
        </w:tc>
      </w:tr>
      <w:tr w14:paraId="26BAC29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2611FD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30F4E5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D3DA4F8">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0EE82A8">
            <w:pPr>
              <w:jc w:val="center"/>
            </w:pPr>
            <w:r>
              <w:rPr>
                <w:rFonts w:ascii="宋体" w:hAnsi="宋体"/>
                <w:sz w:val="18"/>
              </w:rPr>
              <w:t>活动按期举办率</w:t>
            </w:r>
          </w:p>
        </w:tc>
        <w:tc>
          <w:tcPr>
            <w:tcW w:w="1177" w:type="dxa"/>
            <w:tcBorders>
              <w:top w:val="nil"/>
              <w:left w:val="nil"/>
              <w:bottom w:val="single" w:color="auto" w:sz="4" w:space="0"/>
              <w:right w:val="single" w:color="auto" w:sz="4" w:space="0"/>
            </w:tcBorders>
            <w:shd w:val="clear" w:color="auto" w:fill="auto"/>
            <w:vAlign w:val="center"/>
          </w:tcPr>
          <w:p w14:paraId="49172239">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1788D195">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6DCF1A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530950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3D1E7EB">
            <w:pPr>
              <w:jc w:val="center"/>
            </w:pPr>
          </w:p>
        </w:tc>
      </w:tr>
      <w:tr w14:paraId="558DB84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5C7F8BD">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439E5B5A">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2D236CBB">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30EFE07">
            <w:pPr>
              <w:jc w:val="center"/>
            </w:pPr>
            <w:r>
              <w:rPr>
                <w:rFonts w:ascii="宋体" w:hAnsi="宋体"/>
                <w:sz w:val="18"/>
              </w:rPr>
              <w:t>丰富居民生活</w:t>
            </w:r>
          </w:p>
        </w:tc>
        <w:tc>
          <w:tcPr>
            <w:tcW w:w="1177" w:type="dxa"/>
            <w:tcBorders>
              <w:top w:val="nil"/>
              <w:left w:val="nil"/>
              <w:bottom w:val="single" w:color="auto" w:sz="4" w:space="0"/>
              <w:right w:val="single" w:color="auto" w:sz="4" w:space="0"/>
            </w:tcBorders>
            <w:shd w:val="clear" w:color="auto" w:fill="auto"/>
            <w:vAlign w:val="center"/>
          </w:tcPr>
          <w:p w14:paraId="31341FF2">
            <w:pPr>
              <w:jc w:val="center"/>
            </w:pPr>
            <w:r>
              <w:rPr>
                <w:rFonts w:ascii="宋体" w:hAnsi="宋体"/>
                <w:sz w:val="18"/>
              </w:rPr>
              <w:t>有效丰富</w:t>
            </w:r>
          </w:p>
        </w:tc>
        <w:tc>
          <w:tcPr>
            <w:tcW w:w="1177" w:type="dxa"/>
            <w:tcBorders>
              <w:top w:val="nil"/>
              <w:left w:val="nil"/>
              <w:bottom w:val="single" w:color="auto" w:sz="4" w:space="0"/>
              <w:right w:val="single" w:color="auto" w:sz="4" w:space="0"/>
            </w:tcBorders>
            <w:shd w:val="clear" w:color="auto" w:fill="auto"/>
            <w:vAlign w:val="center"/>
          </w:tcPr>
          <w:p w14:paraId="37BA52BE">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20515F9">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828A7DC">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ABC5174">
            <w:pPr>
              <w:jc w:val="center"/>
            </w:pPr>
          </w:p>
        </w:tc>
      </w:tr>
      <w:tr w14:paraId="6D89405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8E2DC7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230EAA4">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59A689DE">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503DFE4">
            <w:pPr>
              <w:jc w:val="center"/>
            </w:pPr>
            <w:r>
              <w:rPr>
                <w:rFonts w:ascii="宋体" w:hAnsi="宋体"/>
                <w:sz w:val="18"/>
              </w:rPr>
              <w:t>保障社会稳定</w:t>
            </w:r>
          </w:p>
        </w:tc>
        <w:tc>
          <w:tcPr>
            <w:tcW w:w="1177" w:type="dxa"/>
            <w:tcBorders>
              <w:top w:val="nil"/>
              <w:left w:val="nil"/>
              <w:bottom w:val="single" w:color="auto" w:sz="4" w:space="0"/>
              <w:right w:val="single" w:color="auto" w:sz="4" w:space="0"/>
            </w:tcBorders>
            <w:shd w:val="clear" w:color="auto" w:fill="auto"/>
            <w:vAlign w:val="center"/>
          </w:tcPr>
          <w:p w14:paraId="60B10A4A">
            <w:pPr>
              <w:jc w:val="center"/>
            </w:pPr>
            <w:r>
              <w:rPr>
                <w:rFonts w:ascii="宋体" w:hAnsi="宋体"/>
                <w:sz w:val="18"/>
              </w:rPr>
              <w:t>有效保障</w:t>
            </w:r>
          </w:p>
        </w:tc>
        <w:tc>
          <w:tcPr>
            <w:tcW w:w="1177" w:type="dxa"/>
            <w:tcBorders>
              <w:top w:val="nil"/>
              <w:left w:val="nil"/>
              <w:bottom w:val="single" w:color="auto" w:sz="4" w:space="0"/>
              <w:right w:val="single" w:color="auto" w:sz="4" w:space="0"/>
            </w:tcBorders>
            <w:shd w:val="clear" w:color="auto" w:fill="auto"/>
            <w:vAlign w:val="center"/>
          </w:tcPr>
          <w:p w14:paraId="02E49845">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6B24B50">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0FFF10A">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5CEE73A">
            <w:pPr>
              <w:jc w:val="center"/>
            </w:pPr>
          </w:p>
        </w:tc>
      </w:tr>
      <w:tr w14:paraId="723C20C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575F9C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9FC6611">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42E4700B">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0AB35FB">
            <w:pPr>
              <w:jc w:val="center"/>
            </w:pPr>
            <w:r>
              <w:rPr>
                <w:rFonts w:ascii="宋体" w:hAnsi="宋体"/>
                <w:sz w:val="18"/>
              </w:rPr>
              <w:t>群众满意度</w:t>
            </w:r>
          </w:p>
        </w:tc>
        <w:tc>
          <w:tcPr>
            <w:tcW w:w="1177" w:type="dxa"/>
            <w:tcBorders>
              <w:top w:val="nil"/>
              <w:left w:val="nil"/>
              <w:bottom w:val="single" w:color="auto" w:sz="4" w:space="0"/>
              <w:right w:val="single" w:color="auto" w:sz="4" w:space="0"/>
            </w:tcBorders>
            <w:shd w:val="clear" w:color="auto" w:fill="auto"/>
            <w:vAlign w:val="center"/>
          </w:tcPr>
          <w:p w14:paraId="5342ABCF">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3FC604EF">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AB80B6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19A72A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D2DD473">
            <w:pPr>
              <w:jc w:val="center"/>
            </w:pPr>
          </w:p>
        </w:tc>
      </w:tr>
      <w:tr w14:paraId="762B2B71">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7C387A9">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73380594">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473AFEE5">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D51620C">
            <w:pPr>
              <w:jc w:val="center"/>
            </w:pPr>
          </w:p>
        </w:tc>
      </w:tr>
      <w:bookmarkEnd w:id="30"/>
    </w:tbl>
    <w:p w14:paraId="712E7A05">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1F0C0848">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492"/>
        <w:gridCol w:w="1559"/>
      </w:tblGrid>
      <w:tr w14:paraId="37222D3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A66C6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A987DE3">
            <w:pPr>
              <w:jc w:val="center"/>
            </w:pPr>
            <w:r>
              <w:rPr>
                <w:rFonts w:ascii="宋体" w:hAnsi="宋体"/>
                <w:sz w:val="18"/>
              </w:rPr>
              <w:t>乌财科教【2022】87号-提前下达2023年自治区“自治区科普行动计划”资金项目</w:t>
            </w:r>
          </w:p>
        </w:tc>
      </w:tr>
      <w:tr w14:paraId="6E764CC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2DFA0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3FDD2D2A">
            <w:pPr>
              <w:jc w:val="center"/>
            </w:pPr>
            <w:r>
              <w:rPr>
                <w:rFonts w:ascii="宋体" w:hAnsi="宋体"/>
                <w:sz w:val="18"/>
              </w:rPr>
              <w:t>米东区科学技术协会</w:t>
            </w:r>
          </w:p>
        </w:tc>
        <w:tc>
          <w:tcPr>
            <w:tcW w:w="1177" w:type="dxa"/>
            <w:tcBorders>
              <w:top w:val="nil"/>
              <w:left w:val="nil"/>
              <w:bottom w:val="single" w:color="auto" w:sz="4" w:space="0"/>
              <w:right w:val="single" w:color="auto" w:sz="4" w:space="0"/>
            </w:tcBorders>
            <w:shd w:val="clear" w:color="auto" w:fill="auto"/>
            <w:vAlign w:val="center"/>
          </w:tcPr>
          <w:p w14:paraId="231A899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4C1C22F7">
            <w:pPr>
              <w:jc w:val="center"/>
              <w:rPr>
                <w:rFonts w:hint="eastAsia"/>
              </w:rPr>
            </w:pPr>
            <w:r>
              <w:rPr>
                <w:rFonts w:ascii="宋体" w:hAnsi="宋体"/>
                <w:sz w:val="18"/>
              </w:rPr>
              <w:t>米东区科协</w:t>
            </w:r>
          </w:p>
        </w:tc>
      </w:tr>
      <w:tr w14:paraId="50A6DE6E">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B6C291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F7207A4">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49BEAB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0C87EA3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5530E5E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FF0589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842" w:type="dxa"/>
            <w:gridSpan w:val="2"/>
            <w:tcBorders>
              <w:top w:val="single" w:color="auto" w:sz="4" w:space="0"/>
              <w:left w:val="nil"/>
              <w:bottom w:val="single" w:color="auto" w:sz="4" w:space="0"/>
              <w:right w:val="single" w:color="auto" w:sz="4" w:space="0"/>
            </w:tcBorders>
            <w:shd w:val="clear" w:color="auto" w:fill="auto"/>
            <w:vAlign w:val="center"/>
          </w:tcPr>
          <w:p w14:paraId="5283368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559" w:type="dxa"/>
            <w:tcBorders>
              <w:top w:val="nil"/>
              <w:left w:val="nil"/>
              <w:bottom w:val="single" w:color="auto" w:sz="4" w:space="0"/>
              <w:right w:val="single" w:color="auto" w:sz="4" w:space="0"/>
            </w:tcBorders>
            <w:shd w:val="clear" w:color="auto" w:fill="auto"/>
            <w:vAlign w:val="center"/>
          </w:tcPr>
          <w:p w14:paraId="0ECFB03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1FFDEE3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CAFF64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58702B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77FFDEC">
            <w:pPr>
              <w:jc w:val="center"/>
            </w:pPr>
            <w:r>
              <w:rPr>
                <w:rFonts w:ascii="宋体" w:hAnsi="宋体"/>
                <w:sz w:val="18"/>
              </w:rPr>
              <w:t>8.00</w:t>
            </w:r>
          </w:p>
        </w:tc>
        <w:tc>
          <w:tcPr>
            <w:tcW w:w="1177" w:type="dxa"/>
            <w:tcBorders>
              <w:top w:val="nil"/>
              <w:left w:val="nil"/>
              <w:bottom w:val="single" w:color="auto" w:sz="4" w:space="0"/>
              <w:right w:val="single" w:color="auto" w:sz="4" w:space="0"/>
            </w:tcBorders>
            <w:shd w:val="clear" w:color="auto" w:fill="auto"/>
            <w:noWrap/>
            <w:vAlign w:val="center"/>
          </w:tcPr>
          <w:p w14:paraId="643D1FAC">
            <w:pPr>
              <w:jc w:val="center"/>
            </w:pPr>
            <w:r>
              <w:rPr>
                <w:rFonts w:ascii="宋体" w:hAnsi="宋体"/>
                <w:sz w:val="18"/>
              </w:rPr>
              <w:t>8.00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7F4FAA1">
            <w:pPr>
              <w:jc w:val="center"/>
            </w:pPr>
            <w:r>
              <w:rPr>
                <w:rFonts w:ascii="宋体" w:hAnsi="宋体"/>
                <w:sz w:val="18"/>
              </w:rPr>
              <w:t>8.00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C3FB09B">
            <w:pPr>
              <w:jc w:val="center"/>
            </w:pPr>
            <w:r>
              <w:rPr>
                <w:rFonts w:ascii="宋体" w:hAnsi="宋体"/>
                <w:sz w:val="18"/>
              </w:rPr>
              <w:t>10</w:t>
            </w:r>
          </w:p>
        </w:tc>
        <w:tc>
          <w:tcPr>
            <w:tcW w:w="842" w:type="dxa"/>
            <w:gridSpan w:val="2"/>
            <w:tcBorders>
              <w:top w:val="single" w:color="auto" w:sz="4" w:space="0"/>
              <w:left w:val="nil"/>
              <w:bottom w:val="single" w:color="auto" w:sz="4" w:space="0"/>
              <w:right w:val="single" w:color="auto" w:sz="4" w:space="0"/>
            </w:tcBorders>
            <w:shd w:val="clear" w:color="auto" w:fill="auto"/>
            <w:vAlign w:val="center"/>
          </w:tcPr>
          <w:p w14:paraId="2266F40A">
            <w:pPr>
              <w:jc w:val="center"/>
            </w:pPr>
            <w:r>
              <w:rPr>
                <w:rFonts w:ascii="宋体" w:hAnsi="宋体"/>
                <w:sz w:val="18"/>
              </w:rPr>
              <w:t>100.00%</w:t>
            </w:r>
          </w:p>
        </w:tc>
        <w:tc>
          <w:tcPr>
            <w:tcW w:w="1559" w:type="dxa"/>
            <w:tcBorders>
              <w:top w:val="nil"/>
              <w:left w:val="nil"/>
              <w:bottom w:val="single" w:color="auto" w:sz="4" w:space="0"/>
              <w:right w:val="single" w:color="auto" w:sz="4" w:space="0"/>
            </w:tcBorders>
            <w:shd w:val="clear" w:color="auto" w:fill="auto"/>
            <w:vAlign w:val="center"/>
          </w:tcPr>
          <w:p w14:paraId="62ACF348">
            <w:pPr>
              <w:jc w:val="center"/>
            </w:pPr>
            <w:r>
              <w:rPr>
                <w:rFonts w:ascii="宋体" w:hAnsi="宋体"/>
                <w:sz w:val="18"/>
              </w:rPr>
              <w:t>10.00分</w:t>
            </w:r>
          </w:p>
        </w:tc>
      </w:tr>
      <w:tr w14:paraId="35C1D3A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BA8A4B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FC51B6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7B8834E">
            <w:pPr>
              <w:jc w:val="center"/>
            </w:pPr>
            <w:r>
              <w:rPr>
                <w:rFonts w:ascii="宋体" w:hAnsi="宋体"/>
                <w:sz w:val="18"/>
              </w:rPr>
              <w:t>8.00</w:t>
            </w:r>
          </w:p>
        </w:tc>
        <w:tc>
          <w:tcPr>
            <w:tcW w:w="1177" w:type="dxa"/>
            <w:tcBorders>
              <w:top w:val="nil"/>
              <w:left w:val="nil"/>
              <w:bottom w:val="single" w:color="auto" w:sz="4" w:space="0"/>
              <w:right w:val="single" w:color="auto" w:sz="4" w:space="0"/>
            </w:tcBorders>
            <w:shd w:val="clear" w:color="auto" w:fill="auto"/>
            <w:noWrap/>
            <w:vAlign w:val="center"/>
          </w:tcPr>
          <w:p w14:paraId="4C91EEBF">
            <w:pPr>
              <w:jc w:val="center"/>
            </w:pPr>
            <w:r>
              <w:rPr>
                <w:rFonts w:ascii="宋体" w:hAnsi="宋体"/>
                <w:sz w:val="18"/>
              </w:rPr>
              <w:t>8.00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581040F">
            <w:pPr>
              <w:jc w:val="center"/>
            </w:pPr>
            <w:r>
              <w:rPr>
                <w:rFonts w:ascii="宋体" w:hAnsi="宋体"/>
                <w:sz w:val="18"/>
              </w:rPr>
              <w:t>8.00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18571C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842" w:type="dxa"/>
            <w:gridSpan w:val="2"/>
            <w:tcBorders>
              <w:top w:val="single" w:color="auto" w:sz="4" w:space="0"/>
              <w:left w:val="nil"/>
              <w:bottom w:val="single" w:color="auto" w:sz="4" w:space="0"/>
              <w:right w:val="single" w:color="auto" w:sz="4" w:space="0"/>
            </w:tcBorders>
            <w:shd w:val="clear" w:color="auto" w:fill="auto"/>
            <w:vAlign w:val="center"/>
          </w:tcPr>
          <w:p w14:paraId="476B310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559" w:type="dxa"/>
            <w:tcBorders>
              <w:top w:val="nil"/>
              <w:left w:val="nil"/>
              <w:bottom w:val="single" w:color="auto" w:sz="4" w:space="0"/>
              <w:right w:val="single" w:color="auto" w:sz="4" w:space="0"/>
            </w:tcBorders>
            <w:shd w:val="clear" w:color="auto" w:fill="auto"/>
            <w:vAlign w:val="center"/>
          </w:tcPr>
          <w:p w14:paraId="7644501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8E2FC9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7E0ADC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1770FB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FA2E5AD">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675203E6">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06C7787">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C32623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842" w:type="dxa"/>
            <w:gridSpan w:val="2"/>
            <w:tcBorders>
              <w:top w:val="single" w:color="auto" w:sz="4" w:space="0"/>
              <w:left w:val="nil"/>
              <w:bottom w:val="single" w:color="auto" w:sz="4" w:space="0"/>
              <w:right w:val="single" w:color="auto" w:sz="4" w:space="0"/>
            </w:tcBorders>
            <w:shd w:val="clear" w:color="auto" w:fill="auto"/>
            <w:vAlign w:val="center"/>
          </w:tcPr>
          <w:p w14:paraId="63EFA31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559" w:type="dxa"/>
            <w:tcBorders>
              <w:top w:val="nil"/>
              <w:left w:val="nil"/>
              <w:bottom w:val="single" w:color="auto" w:sz="4" w:space="0"/>
              <w:right w:val="single" w:color="auto" w:sz="4" w:space="0"/>
            </w:tcBorders>
            <w:shd w:val="clear" w:color="auto" w:fill="auto"/>
            <w:vAlign w:val="center"/>
          </w:tcPr>
          <w:p w14:paraId="7B50769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8B6DA7F">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6FFFBA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7565F94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6418064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717C156F">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9E8ECC9">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27D0D322">
            <w:pPr>
              <w:jc w:val="left"/>
            </w:pPr>
            <w:r>
              <w:rPr>
                <w:rFonts w:ascii="宋体" w:hAnsi="宋体"/>
                <w:sz w:val="18"/>
              </w:rPr>
              <w:t>提升社区科普服务能力。在我区打造2个社区结合新时代文明实践阵地建设科普示范点。</w:t>
            </w:r>
          </w:p>
        </w:tc>
        <w:tc>
          <w:tcPr>
            <w:tcW w:w="4625" w:type="dxa"/>
            <w:gridSpan w:val="7"/>
            <w:tcBorders>
              <w:top w:val="single" w:color="auto" w:sz="4" w:space="0"/>
              <w:left w:val="nil"/>
              <w:bottom w:val="single" w:color="auto" w:sz="4" w:space="0"/>
              <w:right w:val="single" w:color="000000" w:sz="4" w:space="0"/>
            </w:tcBorders>
            <w:shd w:val="clear" w:color="auto" w:fill="auto"/>
          </w:tcPr>
          <w:p w14:paraId="11407959">
            <w:pPr>
              <w:jc w:val="left"/>
            </w:pPr>
            <w:r>
              <w:rPr>
                <w:rFonts w:ascii="宋体" w:hAnsi="宋体"/>
                <w:sz w:val="18"/>
              </w:rPr>
              <w:t>提升了社区科普服务能力。在我区打造了2个社区结合新时代文明实践阵地建设科普示范点</w:t>
            </w:r>
          </w:p>
        </w:tc>
      </w:tr>
      <w:tr w14:paraId="1DD84A99">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04F35D1">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39D05B6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94E8AE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532B02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249BCC6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07FCC91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7BBF42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092C38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964DF5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DD4D8D2">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DB28216">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43549CE">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B5D2612">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F8A7042">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1D016726">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59DEE81B">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577B42B4">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2EBAC6A3">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4E632D7C">
            <w:pPr>
              <w:widowControl/>
              <w:jc w:val="left"/>
              <w:rPr>
                <w:rFonts w:hint="eastAsia" w:ascii="宋体" w:hAnsi="宋体" w:cs="宋体"/>
                <w:color w:val="000000"/>
                <w:kern w:val="0"/>
                <w:sz w:val="18"/>
                <w:szCs w:val="18"/>
              </w:rPr>
            </w:pPr>
          </w:p>
        </w:tc>
      </w:tr>
      <w:tr w14:paraId="17E6CECC">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98EC3E8">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74FE9064">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64F648EF">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758D55C">
            <w:pPr>
              <w:jc w:val="center"/>
            </w:pPr>
            <w:r>
              <w:rPr>
                <w:rFonts w:ascii="宋体" w:hAnsi="宋体"/>
                <w:sz w:val="18"/>
              </w:rPr>
              <w:t>自治区在社区打造科普示范点总数量</w:t>
            </w:r>
          </w:p>
        </w:tc>
        <w:tc>
          <w:tcPr>
            <w:tcW w:w="1177" w:type="dxa"/>
            <w:tcBorders>
              <w:top w:val="nil"/>
              <w:left w:val="nil"/>
              <w:bottom w:val="single" w:color="auto" w:sz="4" w:space="0"/>
              <w:right w:val="single" w:color="auto" w:sz="4" w:space="0"/>
            </w:tcBorders>
            <w:shd w:val="clear" w:color="auto" w:fill="auto"/>
            <w:vAlign w:val="center"/>
          </w:tcPr>
          <w:p w14:paraId="05FE10C7">
            <w:pPr>
              <w:jc w:val="center"/>
            </w:pPr>
            <w:r>
              <w:rPr>
                <w:rFonts w:ascii="宋体" w:hAnsi="宋体"/>
                <w:sz w:val="18"/>
              </w:rPr>
              <w:t>=2个</w:t>
            </w:r>
          </w:p>
        </w:tc>
        <w:tc>
          <w:tcPr>
            <w:tcW w:w="1177" w:type="dxa"/>
            <w:tcBorders>
              <w:top w:val="nil"/>
              <w:left w:val="nil"/>
              <w:bottom w:val="single" w:color="auto" w:sz="4" w:space="0"/>
              <w:right w:val="single" w:color="auto" w:sz="4" w:space="0"/>
            </w:tcBorders>
            <w:shd w:val="clear" w:color="auto" w:fill="auto"/>
            <w:vAlign w:val="center"/>
          </w:tcPr>
          <w:p w14:paraId="7ED65A69">
            <w:pPr>
              <w:jc w:val="center"/>
            </w:pPr>
            <w:r>
              <w:rPr>
                <w:rFonts w:ascii="宋体" w:hAnsi="宋体"/>
                <w:sz w:val="18"/>
              </w:rPr>
              <w:t>2个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0577039">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578FAC6">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D393D04">
            <w:pPr>
              <w:jc w:val="center"/>
            </w:pPr>
          </w:p>
        </w:tc>
      </w:tr>
      <w:tr w14:paraId="63F53F1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C9823D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3A34CF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ACB739E">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A1F6BD6">
            <w:pPr>
              <w:jc w:val="center"/>
            </w:pPr>
            <w:r>
              <w:rPr>
                <w:rFonts w:ascii="宋体" w:hAnsi="宋体"/>
                <w:sz w:val="18"/>
              </w:rPr>
              <w:t>资金发放达标率</w:t>
            </w:r>
          </w:p>
        </w:tc>
        <w:tc>
          <w:tcPr>
            <w:tcW w:w="1177" w:type="dxa"/>
            <w:tcBorders>
              <w:top w:val="nil"/>
              <w:left w:val="nil"/>
              <w:bottom w:val="single" w:color="auto" w:sz="4" w:space="0"/>
              <w:right w:val="single" w:color="auto" w:sz="4" w:space="0"/>
            </w:tcBorders>
            <w:shd w:val="clear" w:color="auto" w:fill="auto"/>
            <w:vAlign w:val="center"/>
          </w:tcPr>
          <w:p w14:paraId="4278B8E6">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2C5A2653">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97CFEA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B42A8A8">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74D1A42">
            <w:pPr>
              <w:jc w:val="center"/>
            </w:pPr>
          </w:p>
        </w:tc>
      </w:tr>
      <w:tr w14:paraId="3F8AC47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2829C4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7B2A68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BABC5F1">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7D55EE2">
            <w:pPr>
              <w:jc w:val="center"/>
            </w:pPr>
            <w:r>
              <w:rPr>
                <w:rFonts w:ascii="宋体" w:hAnsi="宋体"/>
                <w:sz w:val="18"/>
              </w:rPr>
              <w:t>完成时效</w:t>
            </w:r>
          </w:p>
        </w:tc>
        <w:tc>
          <w:tcPr>
            <w:tcW w:w="1177" w:type="dxa"/>
            <w:tcBorders>
              <w:top w:val="nil"/>
              <w:left w:val="nil"/>
              <w:bottom w:val="single" w:color="auto" w:sz="4" w:space="0"/>
              <w:right w:val="single" w:color="auto" w:sz="4" w:space="0"/>
            </w:tcBorders>
            <w:shd w:val="clear" w:color="auto" w:fill="auto"/>
            <w:vAlign w:val="center"/>
          </w:tcPr>
          <w:p w14:paraId="3FA5BDA6">
            <w:pPr>
              <w:jc w:val="center"/>
            </w:pPr>
            <w:r>
              <w:rPr>
                <w:rFonts w:ascii="宋体" w:hAnsi="宋体"/>
                <w:sz w:val="18"/>
              </w:rPr>
              <w:t>&lt;=12个月</w:t>
            </w:r>
          </w:p>
        </w:tc>
        <w:tc>
          <w:tcPr>
            <w:tcW w:w="1177" w:type="dxa"/>
            <w:tcBorders>
              <w:top w:val="nil"/>
              <w:left w:val="nil"/>
              <w:bottom w:val="single" w:color="auto" w:sz="4" w:space="0"/>
              <w:right w:val="single" w:color="auto" w:sz="4" w:space="0"/>
            </w:tcBorders>
            <w:shd w:val="clear" w:color="auto" w:fill="auto"/>
            <w:vAlign w:val="center"/>
          </w:tcPr>
          <w:p w14:paraId="54694FF6">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72D753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5F6D1E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8DFDF69">
            <w:pPr>
              <w:jc w:val="center"/>
            </w:pPr>
          </w:p>
        </w:tc>
      </w:tr>
      <w:tr w14:paraId="67E5C29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99F024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4277F30">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2A473805">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93CDABB">
            <w:pPr>
              <w:jc w:val="center"/>
            </w:pPr>
            <w:r>
              <w:rPr>
                <w:rFonts w:ascii="宋体" w:hAnsi="宋体"/>
                <w:sz w:val="18"/>
              </w:rPr>
              <w:t>每个社区资金分配数额</w:t>
            </w:r>
          </w:p>
        </w:tc>
        <w:tc>
          <w:tcPr>
            <w:tcW w:w="1177" w:type="dxa"/>
            <w:tcBorders>
              <w:top w:val="nil"/>
              <w:left w:val="nil"/>
              <w:bottom w:val="single" w:color="auto" w:sz="4" w:space="0"/>
              <w:right w:val="single" w:color="auto" w:sz="4" w:space="0"/>
            </w:tcBorders>
            <w:shd w:val="clear" w:color="auto" w:fill="auto"/>
            <w:vAlign w:val="center"/>
          </w:tcPr>
          <w:p w14:paraId="7E9FF346">
            <w:pPr>
              <w:jc w:val="center"/>
            </w:pPr>
            <w:r>
              <w:rPr>
                <w:rFonts w:ascii="宋体" w:hAnsi="宋体"/>
                <w:sz w:val="18"/>
              </w:rPr>
              <w:t>=4万元</w:t>
            </w:r>
          </w:p>
        </w:tc>
        <w:tc>
          <w:tcPr>
            <w:tcW w:w="1177" w:type="dxa"/>
            <w:tcBorders>
              <w:top w:val="nil"/>
              <w:left w:val="nil"/>
              <w:bottom w:val="single" w:color="auto" w:sz="4" w:space="0"/>
              <w:right w:val="single" w:color="auto" w:sz="4" w:space="0"/>
            </w:tcBorders>
            <w:shd w:val="clear" w:color="auto" w:fill="auto"/>
            <w:vAlign w:val="center"/>
          </w:tcPr>
          <w:p w14:paraId="5944BF3C">
            <w:pPr>
              <w:jc w:val="center"/>
            </w:pPr>
            <w:r>
              <w:rPr>
                <w:rFonts w:ascii="宋体" w:hAnsi="宋体"/>
                <w:sz w:val="18"/>
              </w:rPr>
              <w:t>4万元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D6955E9">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D11A1D1">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8797E0D">
            <w:pPr>
              <w:jc w:val="center"/>
            </w:pPr>
          </w:p>
        </w:tc>
      </w:tr>
      <w:tr w14:paraId="0562B8B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466FD15">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2E0813DA">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06EE6A8A">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379E988">
            <w:pPr>
              <w:jc w:val="center"/>
            </w:pPr>
            <w:r>
              <w:rPr>
                <w:rFonts w:ascii="宋体" w:hAnsi="宋体"/>
                <w:sz w:val="18"/>
              </w:rPr>
              <w:t>推动科普资源传播率</w:t>
            </w:r>
          </w:p>
        </w:tc>
        <w:tc>
          <w:tcPr>
            <w:tcW w:w="1177" w:type="dxa"/>
            <w:tcBorders>
              <w:top w:val="nil"/>
              <w:left w:val="nil"/>
              <w:bottom w:val="single" w:color="auto" w:sz="4" w:space="0"/>
              <w:right w:val="single" w:color="auto" w:sz="4" w:space="0"/>
            </w:tcBorders>
            <w:shd w:val="clear" w:color="auto" w:fill="auto"/>
            <w:vAlign w:val="center"/>
          </w:tcPr>
          <w:p w14:paraId="7700BF20">
            <w:pPr>
              <w:jc w:val="center"/>
            </w:pPr>
            <w:r>
              <w:rPr>
                <w:rFonts w:ascii="宋体" w:hAnsi="宋体"/>
                <w:sz w:val="18"/>
              </w:rPr>
              <w:t>有效推动</w:t>
            </w:r>
          </w:p>
        </w:tc>
        <w:tc>
          <w:tcPr>
            <w:tcW w:w="1177" w:type="dxa"/>
            <w:tcBorders>
              <w:top w:val="nil"/>
              <w:left w:val="nil"/>
              <w:bottom w:val="single" w:color="auto" w:sz="4" w:space="0"/>
              <w:right w:val="single" w:color="auto" w:sz="4" w:space="0"/>
            </w:tcBorders>
            <w:shd w:val="clear" w:color="auto" w:fill="auto"/>
            <w:vAlign w:val="center"/>
          </w:tcPr>
          <w:p w14:paraId="72B11BB8">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F814DA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E8D5B48">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FF3C1E8">
            <w:pPr>
              <w:jc w:val="center"/>
            </w:pPr>
          </w:p>
        </w:tc>
      </w:tr>
      <w:tr w14:paraId="26BD575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7556A1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2D31EB6">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584E14B7">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67DA033">
            <w:pPr>
              <w:jc w:val="center"/>
            </w:pPr>
            <w:r>
              <w:rPr>
                <w:rFonts w:ascii="宋体" w:hAnsi="宋体"/>
                <w:sz w:val="18"/>
              </w:rPr>
              <w:t>提升社区科普示范点服务能力</w:t>
            </w:r>
          </w:p>
        </w:tc>
        <w:tc>
          <w:tcPr>
            <w:tcW w:w="1177" w:type="dxa"/>
            <w:tcBorders>
              <w:top w:val="nil"/>
              <w:left w:val="nil"/>
              <w:bottom w:val="single" w:color="auto" w:sz="4" w:space="0"/>
              <w:right w:val="single" w:color="auto" w:sz="4" w:space="0"/>
            </w:tcBorders>
            <w:shd w:val="clear" w:color="auto" w:fill="auto"/>
            <w:vAlign w:val="center"/>
          </w:tcPr>
          <w:p w14:paraId="5C7797B2">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14:paraId="73037954">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7527A6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22EE16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B898B9A">
            <w:pPr>
              <w:jc w:val="center"/>
            </w:pPr>
          </w:p>
        </w:tc>
      </w:tr>
      <w:tr w14:paraId="4EBAA82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8CD11A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E2C0EF5">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7B46C988">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5AE6269">
            <w:pPr>
              <w:jc w:val="center"/>
            </w:pPr>
            <w:r>
              <w:rPr>
                <w:rFonts w:ascii="宋体" w:hAnsi="宋体"/>
                <w:sz w:val="18"/>
              </w:rPr>
              <w:t>群众满意率</w:t>
            </w:r>
          </w:p>
        </w:tc>
        <w:tc>
          <w:tcPr>
            <w:tcW w:w="1177" w:type="dxa"/>
            <w:tcBorders>
              <w:top w:val="nil"/>
              <w:left w:val="nil"/>
              <w:bottom w:val="single" w:color="auto" w:sz="4" w:space="0"/>
              <w:right w:val="single" w:color="auto" w:sz="4" w:space="0"/>
            </w:tcBorders>
            <w:shd w:val="clear" w:color="auto" w:fill="auto"/>
            <w:vAlign w:val="center"/>
          </w:tcPr>
          <w:p w14:paraId="6E0247A9">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6883FF59">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AE7FB5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0A1CB5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A028BD0">
            <w:pPr>
              <w:jc w:val="center"/>
            </w:pPr>
          </w:p>
        </w:tc>
      </w:tr>
      <w:tr w14:paraId="44D0D6BB">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9D15766">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1F12DA98">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3158BA55">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3F122CD">
            <w:pPr>
              <w:jc w:val="center"/>
            </w:pPr>
          </w:p>
        </w:tc>
      </w:tr>
    </w:tbl>
    <w:p w14:paraId="15547D38">
      <w:pPr>
        <w:jc w:val="left"/>
        <w:rPr>
          <w:rFonts w:hint="eastAsia" w:ascii="仿宋_GB2312" w:hAnsi="仿宋_GB2312" w:eastAsia="仿宋_GB2312" w:cs="仿宋_GB2312"/>
          <w:kern w:val="0"/>
          <w:sz w:val="32"/>
          <w:szCs w:val="32"/>
        </w:rPr>
      </w:pPr>
    </w:p>
    <w:p w14:paraId="655494D3">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78DE476E">
      <w:pPr>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我单位本年资金紧张未购买办公用品及设备。因此政府采购金额支出为0.00万元。其中授予中小企业合同金额、授予小微企业合同金额为0.00万元。</w:t>
      </w:r>
    </w:p>
    <w:p w14:paraId="4B2575D7">
      <w:pPr>
        <w:jc w:val="center"/>
        <w:outlineLvl w:val="0"/>
        <w:rPr>
          <w:rFonts w:hint="eastAsia" w:ascii="黑体" w:hAnsi="黑体" w:eastAsia="黑体"/>
          <w:sz w:val="32"/>
          <w:szCs w:val="32"/>
        </w:rPr>
      </w:pPr>
      <w:bookmarkStart w:id="31" w:name="_Toc3250"/>
      <w:bookmarkStart w:id="32"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14:paraId="772697A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1E954E72">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60EF1E4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5069E38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094AD2C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1684746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727387E2">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5530E6D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0144B6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359E6A7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19673737">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27BE069C">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4010490B">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BCEF194">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5D1698A6">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46EB08FF">
      <w:pPr>
        <w:ind w:firstLine="640" w:firstLineChars="200"/>
        <w:outlineLvl w:val="1"/>
        <w:rPr>
          <w:rFonts w:hint="eastAsia" w:ascii="黑体" w:hAnsi="黑体" w:eastAsia="仿宋_GB2312" w:cs="宋体"/>
          <w:bCs/>
          <w:kern w:val="0"/>
          <w:sz w:val="32"/>
          <w:szCs w:val="32"/>
        </w:rPr>
      </w:pPr>
      <w:bookmarkStart w:id="33" w:name="_Toc6062"/>
      <w:bookmarkStart w:id="34" w:name="_Toc2183"/>
      <w:r>
        <w:rPr>
          <w:rFonts w:hint="eastAsia" w:ascii="黑体" w:hAnsi="黑体" w:eastAsia="仿宋_GB2312" w:cs="宋体"/>
          <w:bCs/>
          <w:kern w:val="0"/>
          <w:sz w:val="32"/>
          <w:szCs w:val="32"/>
        </w:rPr>
        <w:t>一、《收入支出决算总表》</w:t>
      </w:r>
      <w:bookmarkEnd w:id="33"/>
      <w:bookmarkEnd w:id="34"/>
    </w:p>
    <w:p w14:paraId="41C4FFAB">
      <w:pPr>
        <w:ind w:firstLine="640" w:firstLineChars="200"/>
        <w:outlineLvl w:val="1"/>
        <w:rPr>
          <w:rFonts w:hint="eastAsia" w:ascii="黑体" w:hAnsi="黑体" w:eastAsia="仿宋_GB2312" w:cs="宋体"/>
          <w:bCs/>
          <w:kern w:val="0"/>
          <w:sz w:val="32"/>
          <w:szCs w:val="32"/>
        </w:rPr>
      </w:pPr>
      <w:bookmarkStart w:id="35" w:name="_Toc24532"/>
      <w:bookmarkStart w:id="36" w:name="_Toc30364"/>
      <w:r>
        <w:rPr>
          <w:rFonts w:hint="eastAsia" w:ascii="黑体" w:hAnsi="黑体" w:eastAsia="仿宋_GB2312" w:cs="宋体"/>
          <w:bCs/>
          <w:kern w:val="0"/>
          <w:sz w:val="32"/>
          <w:szCs w:val="32"/>
        </w:rPr>
        <w:t>二、《收入决算表》</w:t>
      </w:r>
      <w:bookmarkEnd w:id="35"/>
      <w:bookmarkEnd w:id="36"/>
    </w:p>
    <w:p w14:paraId="3D912594">
      <w:pPr>
        <w:ind w:firstLine="640" w:firstLineChars="200"/>
        <w:outlineLvl w:val="1"/>
        <w:rPr>
          <w:rFonts w:hint="eastAsia" w:ascii="黑体" w:hAnsi="黑体" w:eastAsia="仿宋_GB2312" w:cs="宋体"/>
          <w:bCs/>
          <w:kern w:val="0"/>
          <w:sz w:val="32"/>
          <w:szCs w:val="32"/>
        </w:rPr>
      </w:pPr>
      <w:bookmarkStart w:id="37" w:name="_Toc32434"/>
      <w:bookmarkStart w:id="38" w:name="_Toc21304"/>
      <w:r>
        <w:rPr>
          <w:rFonts w:hint="eastAsia" w:ascii="黑体" w:hAnsi="黑体" w:eastAsia="仿宋_GB2312" w:cs="宋体"/>
          <w:bCs/>
          <w:kern w:val="0"/>
          <w:sz w:val="32"/>
          <w:szCs w:val="32"/>
        </w:rPr>
        <w:t>三、《支出决算表》</w:t>
      </w:r>
      <w:bookmarkEnd w:id="37"/>
      <w:bookmarkEnd w:id="38"/>
    </w:p>
    <w:p w14:paraId="045B6C2C">
      <w:pPr>
        <w:ind w:firstLine="640" w:firstLineChars="200"/>
        <w:outlineLvl w:val="1"/>
        <w:rPr>
          <w:rFonts w:hint="eastAsia" w:ascii="黑体" w:hAnsi="黑体" w:eastAsia="仿宋_GB2312" w:cs="宋体"/>
          <w:bCs/>
          <w:kern w:val="0"/>
          <w:sz w:val="32"/>
          <w:szCs w:val="32"/>
        </w:rPr>
      </w:pPr>
      <w:bookmarkStart w:id="39" w:name="_Toc14238"/>
      <w:bookmarkStart w:id="40" w:name="_Toc28786"/>
      <w:r>
        <w:rPr>
          <w:rFonts w:hint="eastAsia" w:ascii="黑体" w:hAnsi="黑体" w:eastAsia="仿宋_GB2312" w:cs="宋体"/>
          <w:bCs/>
          <w:kern w:val="0"/>
          <w:sz w:val="32"/>
          <w:szCs w:val="32"/>
        </w:rPr>
        <w:t>四、《财政拨款收入支出决算总表》</w:t>
      </w:r>
      <w:bookmarkEnd w:id="39"/>
      <w:bookmarkEnd w:id="40"/>
    </w:p>
    <w:p w14:paraId="42517973">
      <w:pPr>
        <w:ind w:firstLine="640" w:firstLineChars="200"/>
        <w:outlineLvl w:val="1"/>
        <w:rPr>
          <w:rFonts w:hint="eastAsia" w:ascii="黑体" w:hAnsi="黑体" w:eastAsia="仿宋_GB2312" w:cs="宋体"/>
          <w:bCs/>
          <w:kern w:val="0"/>
          <w:sz w:val="32"/>
          <w:szCs w:val="32"/>
        </w:rPr>
      </w:pPr>
      <w:bookmarkStart w:id="41" w:name="_Toc10347"/>
      <w:bookmarkStart w:id="42" w:name="_Toc14869"/>
      <w:r>
        <w:rPr>
          <w:rFonts w:hint="eastAsia" w:ascii="黑体" w:hAnsi="黑体" w:eastAsia="仿宋_GB2312" w:cs="宋体"/>
          <w:bCs/>
          <w:kern w:val="0"/>
          <w:sz w:val="32"/>
          <w:szCs w:val="32"/>
        </w:rPr>
        <w:t>五、《一般公共预算财政拨款支出决算表》</w:t>
      </w:r>
      <w:bookmarkEnd w:id="41"/>
      <w:bookmarkEnd w:id="42"/>
    </w:p>
    <w:p w14:paraId="4AAD03B9">
      <w:pPr>
        <w:ind w:firstLine="640" w:firstLineChars="200"/>
        <w:outlineLvl w:val="1"/>
        <w:rPr>
          <w:rFonts w:hint="eastAsia" w:ascii="黑体" w:hAnsi="黑体" w:eastAsia="仿宋_GB2312" w:cs="宋体"/>
          <w:bCs/>
          <w:kern w:val="0"/>
          <w:sz w:val="32"/>
          <w:szCs w:val="32"/>
        </w:rPr>
      </w:pPr>
      <w:bookmarkStart w:id="43" w:name="_Toc5626"/>
      <w:bookmarkStart w:id="44" w:name="_Toc8884"/>
      <w:r>
        <w:rPr>
          <w:rFonts w:hint="eastAsia" w:ascii="黑体" w:hAnsi="黑体" w:eastAsia="仿宋_GB2312" w:cs="宋体"/>
          <w:bCs/>
          <w:kern w:val="0"/>
          <w:sz w:val="32"/>
          <w:szCs w:val="32"/>
        </w:rPr>
        <w:t>六、《一般公共预算财政拨款基本支出决算表》</w:t>
      </w:r>
      <w:bookmarkEnd w:id="43"/>
      <w:bookmarkEnd w:id="44"/>
    </w:p>
    <w:p w14:paraId="6A74ACF7">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32663"/>
      <w:bookmarkStart w:id="46" w:name="_Toc29106"/>
      <w:r>
        <w:rPr>
          <w:rFonts w:hint="eastAsia" w:ascii="黑体" w:hAnsi="黑体" w:eastAsia="仿宋_GB2312" w:cs="宋体"/>
          <w:bCs/>
          <w:kern w:val="0"/>
          <w:sz w:val="32"/>
          <w:szCs w:val="32"/>
        </w:rPr>
        <w:t>《财政拨款“三公”经费支出决算表》</w:t>
      </w:r>
      <w:bookmarkEnd w:id="45"/>
      <w:bookmarkEnd w:id="46"/>
    </w:p>
    <w:p w14:paraId="191C7AFD">
      <w:pPr>
        <w:ind w:firstLine="640" w:firstLineChars="200"/>
        <w:outlineLvl w:val="1"/>
        <w:rPr>
          <w:rFonts w:hint="eastAsia" w:ascii="黑体" w:hAnsi="黑体" w:eastAsia="仿宋_GB2312" w:cs="宋体"/>
          <w:bCs/>
          <w:kern w:val="0"/>
          <w:sz w:val="32"/>
          <w:szCs w:val="32"/>
        </w:rPr>
      </w:pPr>
      <w:bookmarkStart w:id="47" w:name="_Toc5453"/>
      <w:bookmarkStart w:id="48" w:name="_Toc7643"/>
      <w:r>
        <w:rPr>
          <w:rFonts w:hint="eastAsia" w:ascii="黑体" w:hAnsi="黑体" w:eastAsia="仿宋_GB2312" w:cs="宋体"/>
          <w:bCs/>
          <w:kern w:val="0"/>
          <w:sz w:val="32"/>
          <w:szCs w:val="32"/>
        </w:rPr>
        <w:t>八、《政府性基金预算财政拨款收入支出决算表》</w:t>
      </w:r>
      <w:bookmarkEnd w:id="47"/>
      <w:bookmarkEnd w:id="48"/>
    </w:p>
    <w:p w14:paraId="74A70E07">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47D225BE">
      <w:pPr>
        <w:ind w:firstLine="640" w:firstLineChars="200"/>
        <w:rPr>
          <w:rFonts w:ascii="仿宋_GB2312" w:eastAsia="仿宋_GB2312"/>
          <w:sz w:val="32"/>
          <w:szCs w:val="32"/>
        </w:rPr>
      </w:pPr>
    </w:p>
    <w:p w14:paraId="63FEC5F5">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486690">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20186D4">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320186D4">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822B48"/>
    <w:rsid w:val="000E688D"/>
    <w:rsid w:val="00122FDD"/>
    <w:rsid w:val="001B4396"/>
    <w:rsid w:val="00213C59"/>
    <w:rsid w:val="002E5987"/>
    <w:rsid w:val="003210CE"/>
    <w:rsid w:val="005841D1"/>
    <w:rsid w:val="00781C5C"/>
    <w:rsid w:val="007E327D"/>
    <w:rsid w:val="00822B48"/>
    <w:rsid w:val="00850C39"/>
    <w:rsid w:val="00972370"/>
    <w:rsid w:val="00B14CFE"/>
    <w:rsid w:val="00B70D59"/>
    <w:rsid w:val="00C15CB5"/>
    <w:rsid w:val="00C35551"/>
    <w:rsid w:val="00DF26D7"/>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741869"/>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1484</Words>
  <Characters>8459</Characters>
  <Lines>70</Lines>
  <Paragraphs>19</Paragraphs>
  <TotalTime>45</TotalTime>
  <ScaleCrop>false</ScaleCrop>
  <LinksUpToDate>false</LinksUpToDate>
  <CharactersWithSpaces>9924</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2024-11-19T09:11:23Z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D624B15633CD43C8BF9435464A96BF70</vt:lpwstr>
  </property>
</Properties>
</file>