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7CF5E" w14:textId="77777777" w:rsidR="00A16838" w:rsidRDefault="00A16838">
      <w:pPr>
        <w:rPr>
          <w:rFonts w:ascii="黑体" w:eastAsia="黑体" w:hAnsi="黑体" w:hint="eastAsia"/>
          <w:sz w:val="32"/>
          <w:szCs w:val="32"/>
        </w:rPr>
      </w:pPr>
    </w:p>
    <w:p w14:paraId="18BB36FF" w14:textId="77777777" w:rsidR="00A16838" w:rsidRDefault="00A16838">
      <w:pPr>
        <w:jc w:val="center"/>
        <w:rPr>
          <w:rFonts w:ascii="方正小标宋_GBK" w:eastAsia="方正小标宋_GBK" w:hAnsi="宋体" w:hint="eastAsia"/>
          <w:sz w:val="44"/>
          <w:szCs w:val="44"/>
        </w:rPr>
      </w:pPr>
    </w:p>
    <w:p w14:paraId="6139930D" w14:textId="77777777" w:rsidR="00A168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乌鲁木齐市米东区疾病预防控制中心</w:t>
      </w:r>
    </w:p>
    <w:p w14:paraId="78CB3F53" w14:textId="77777777" w:rsidR="00A168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84938AF" w14:textId="77777777" w:rsidR="00A168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C1049D9" w14:textId="77777777" w:rsidR="00A1683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7EDCD1E" w14:textId="77777777" w:rsidR="00A1683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8E2D616" w14:textId="77777777" w:rsidR="00A1683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16838">
          <w:rPr>
            <w:rFonts w:ascii="仿宋_GB2312" w:eastAsia="仿宋_GB2312" w:hAnsi="仿宋_GB2312" w:cs="仿宋_GB2312" w:hint="eastAsia"/>
            <w:b/>
            <w:bCs/>
            <w:sz w:val="32"/>
            <w:szCs w:val="32"/>
          </w:rPr>
          <w:t>第一部分 单位概况</w:t>
        </w:r>
      </w:hyperlink>
    </w:p>
    <w:p w14:paraId="713BC9D4"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DBAC0EE"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0882821" w14:textId="77777777" w:rsidR="00A16838" w:rsidRDefault="00A1683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784046"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A467F70"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D93ECDC"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EF2B9D2"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0CF778B"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229E990"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CF1F987"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9FE7D12"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10EAE4" w14:textId="77777777" w:rsidR="00A16838" w:rsidRDefault="00A1683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B0FEE04"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D2AEA58" w14:textId="77777777" w:rsidR="00A16838" w:rsidRDefault="00A1683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26CF21C" w14:textId="77777777" w:rsidR="00A16838" w:rsidRDefault="00A1683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890E23A" w14:textId="77777777" w:rsidR="00A16838" w:rsidRDefault="00A1683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943C4E8"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7E5B918" w14:textId="77777777" w:rsidR="00A1683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2FAAC21" w14:textId="77777777" w:rsidR="00A16838" w:rsidRDefault="00A1683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5AA42BC" w14:textId="77777777" w:rsidR="00A16838" w:rsidRDefault="00A1683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FCEEA7B"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00655C2"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E14F507"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508E9A1"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1F7A866"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503FB8B"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4D5B699" w14:textId="77777777" w:rsidR="00A16838" w:rsidRDefault="00A1683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5CAF7C8" w14:textId="77777777" w:rsidR="00A16838" w:rsidRDefault="00A1683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6907238" w14:textId="77777777" w:rsidR="00A1683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E7AC1E3" w14:textId="77777777" w:rsidR="00A16838" w:rsidRDefault="00000000">
      <w:r>
        <w:rPr>
          <w:rFonts w:ascii="仿宋_GB2312" w:eastAsia="仿宋_GB2312" w:hAnsi="仿宋_GB2312" w:cs="仿宋_GB2312" w:hint="eastAsia"/>
          <w:sz w:val="32"/>
          <w:szCs w:val="32"/>
        </w:rPr>
        <w:fldChar w:fldCharType="end"/>
      </w:r>
    </w:p>
    <w:p w14:paraId="666CD889" w14:textId="77777777" w:rsidR="00A16838" w:rsidRDefault="00000000">
      <w:pPr>
        <w:rPr>
          <w:rFonts w:ascii="仿宋_GB2312" w:eastAsia="仿宋_GB2312"/>
          <w:sz w:val="32"/>
          <w:szCs w:val="32"/>
        </w:rPr>
      </w:pPr>
      <w:r>
        <w:rPr>
          <w:rFonts w:ascii="仿宋_GB2312" w:eastAsia="仿宋_GB2312" w:hint="eastAsia"/>
          <w:sz w:val="32"/>
          <w:szCs w:val="32"/>
        </w:rPr>
        <w:br w:type="page"/>
      </w:r>
    </w:p>
    <w:p w14:paraId="78BBED03" w14:textId="77777777" w:rsidR="00A1683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C8085D9" w14:textId="77777777" w:rsidR="00A1683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99BB61D" w14:textId="77777777" w:rsidR="00A16838" w:rsidRDefault="00000000">
      <w:pPr>
        <w:ind w:firstLineChars="200" w:firstLine="640"/>
        <w:rPr>
          <w:rFonts w:ascii="仿宋_GB2312" w:eastAsia="仿宋_GB2312"/>
          <w:sz w:val="32"/>
          <w:szCs w:val="32"/>
        </w:rPr>
      </w:pPr>
      <w:r>
        <w:rPr>
          <w:rFonts w:ascii="仿宋_GB2312" w:eastAsia="仿宋_GB2312" w:hint="eastAsia"/>
          <w:sz w:val="32"/>
          <w:szCs w:val="32"/>
        </w:rPr>
        <w:t>乌鲁木齐市米东区疾病预防控制中心于2008年10月正式成立，我中心承担着全区各族人民群众的疾病预防与控制工作，处置突发公共卫生事件，开展相关产品检验和评价，提供公共卫生检测结果与信息服务,对下级机构的业务指导。承担着全区新冠检测、艾滋病/性病监测、AFP监测、腹泻病监测、生活饮用水监测、学校卫生传染病监测、碘盐监测等监测任务；全区儿童计划免疫；</w:t>
      </w:r>
      <w:proofErr w:type="gramStart"/>
      <w:r>
        <w:rPr>
          <w:rFonts w:ascii="仿宋_GB2312" w:eastAsia="仿宋_GB2312" w:hint="eastAsia"/>
          <w:sz w:val="32"/>
          <w:szCs w:val="32"/>
        </w:rPr>
        <w:t>孕</w:t>
      </w:r>
      <w:proofErr w:type="gramEnd"/>
      <w:r>
        <w:rPr>
          <w:rFonts w:ascii="仿宋_GB2312" w:eastAsia="仿宋_GB2312" w:hint="eastAsia"/>
          <w:sz w:val="32"/>
          <w:szCs w:val="32"/>
        </w:rPr>
        <w:t>产妇、儿童系统管理，集体、散居儿童保健、营养指导、结核病控制项目、老年病和精神卫生、以及米东区鼠疫防治工作。</w:t>
      </w:r>
    </w:p>
    <w:p w14:paraId="75A66008" w14:textId="77777777" w:rsidR="00A16838" w:rsidRDefault="00000000">
      <w:pPr>
        <w:ind w:firstLineChars="200" w:firstLine="640"/>
        <w:rPr>
          <w:rFonts w:ascii="仿宋_GB2312" w:eastAsia="仿宋_GB2312"/>
          <w:sz w:val="32"/>
          <w:szCs w:val="32"/>
        </w:rPr>
      </w:pPr>
      <w:r>
        <w:rPr>
          <w:rFonts w:ascii="仿宋_GB2312" w:eastAsia="仿宋_GB2312" w:hint="eastAsia"/>
          <w:sz w:val="32"/>
          <w:szCs w:val="32"/>
        </w:rPr>
        <w:t>在米东区区委的正确领导下，在区人大常委会的监督支持下，中心全体干部职工团结一致，精诚协作，始终坚持“预防为主，防治结合”的方针，以免疫规划、传染病防控为重点，统筹做好卫生监测、突发公共卫生事件应急处理等工作，大胆创新，务实进取，取得了较好的成绩，在新冠疫情爆发后，全员参与疫情防控，坚决守护人民生命安全。2012年12月顺利通过国家慢性病防治示范区创建、2012年5月取得食品检验机构资质认定证书和实验室资质认定计量认证证书、2013年3月获得新疆维吾尔自治区脊灰疫情防控工作先进集体、2013年11月取得自治区级文明单位和乌鲁木齐市平安单位称号，2014年11月申请创建国家级健康教育示</w:t>
      </w:r>
      <w:r>
        <w:rPr>
          <w:rFonts w:ascii="仿宋_GB2312" w:eastAsia="仿宋_GB2312" w:hint="eastAsia"/>
          <w:sz w:val="32"/>
          <w:szCs w:val="32"/>
        </w:rPr>
        <w:lastRenderedPageBreak/>
        <w:t>范区。</w:t>
      </w:r>
    </w:p>
    <w:p w14:paraId="0ABF0985" w14:textId="77777777" w:rsidR="00A1683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DDCFB79" w14:textId="77777777" w:rsidR="00A1683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乌鲁木齐市米东区疾病预防控制中心2023年度，实有人数</w:t>
      </w:r>
      <w:r>
        <w:rPr>
          <w:rFonts w:ascii="仿宋_GB2312" w:eastAsia="仿宋_GB2312" w:hint="eastAsia"/>
          <w:sz w:val="32"/>
          <w:szCs w:val="32"/>
          <w:lang w:val="zh-CN"/>
        </w:rPr>
        <w:t>451</w:t>
      </w:r>
      <w:r>
        <w:rPr>
          <w:rFonts w:ascii="仿宋_GB2312" w:eastAsia="仿宋_GB2312" w:hint="eastAsia"/>
          <w:sz w:val="32"/>
          <w:szCs w:val="32"/>
        </w:rPr>
        <w:t>人，其中：在职人员</w:t>
      </w:r>
      <w:r>
        <w:rPr>
          <w:rFonts w:ascii="仿宋_GB2312" w:eastAsia="仿宋_GB2312" w:hint="eastAsia"/>
          <w:sz w:val="32"/>
          <w:szCs w:val="32"/>
          <w:lang w:val="zh-CN"/>
        </w:rPr>
        <w:t>409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42</w:t>
      </w:r>
      <w:r>
        <w:rPr>
          <w:rFonts w:ascii="仿宋_GB2312" w:eastAsia="仿宋_GB2312" w:hint="eastAsia"/>
          <w:sz w:val="32"/>
          <w:szCs w:val="32"/>
        </w:rPr>
        <w:t>人。</w:t>
      </w:r>
    </w:p>
    <w:p w14:paraId="01A827BA" w14:textId="77777777" w:rsidR="00A16838" w:rsidRDefault="00000000">
      <w:pPr>
        <w:ind w:firstLineChars="200" w:firstLine="640"/>
        <w:rPr>
          <w:rFonts w:ascii="仿宋_GB2312" w:eastAsia="仿宋_GB2312" w:hAnsi="宋体" w:cs="宋体" w:hint="eastAsia"/>
          <w:kern w:val="0"/>
          <w:sz w:val="32"/>
          <w:szCs w:val="32"/>
        </w:rPr>
        <w:sectPr w:rsidR="00A1683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综合办公室、</w:t>
      </w:r>
      <w:proofErr w:type="gramStart"/>
      <w:r>
        <w:rPr>
          <w:rFonts w:ascii="仿宋_GB2312" w:eastAsia="仿宋_GB2312" w:hAnsi="宋体" w:cs="宋体" w:hint="eastAsia"/>
          <w:kern w:val="0"/>
          <w:sz w:val="32"/>
          <w:szCs w:val="32"/>
        </w:rPr>
        <w:t>公卫科</w:t>
      </w:r>
      <w:proofErr w:type="gramEnd"/>
      <w:r>
        <w:rPr>
          <w:rFonts w:ascii="仿宋_GB2312" w:eastAsia="仿宋_GB2312" w:hAnsi="宋体" w:cs="宋体" w:hint="eastAsia"/>
          <w:kern w:val="0"/>
          <w:sz w:val="32"/>
          <w:szCs w:val="32"/>
        </w:rPr>
        <w:t>、检验科、</w:t>
      </w:r>
      <w:proofErr w:type="gramStart"/>
      <w:r>
        <w:rPr>
          <w:rFonts w:ascii="仿宋_GB2312" w:eastAsia="仿宋_GB2312" w:hAnsi="宋体" w:cs="宋体" w:hint="eastAsia"/>
          <w:kern w:val="0"/>
          <w:sz w:val="32"/>
          <w:szCs w:val="32"/>
        </w:rPr>
        <w:t>结防艾</w:t>
      </w:r>
      <w:proofErr w:type="gramEnd"/>
      <w:r>
        <w:rPr>
          <w:rFonts w:ascii="仿宋_GB2312" w:eastAsia="仿宋_GB2312" w:hAnsi="宋体" w:cs="宋体" w:hint="eastAsia"/>
          <w:kern w:val="0"/>
          <w:sz w:val="32"/>
          <w:szCs w:val="32"/>
        </w:rPr>
        <w:t>滋科、免疫规划科、传染病科、质管科、鼠疫防治科、美沙酮门诊、慢病科、地方病科、病媒科、财务科。</w:t>
      </w:r>
    </w:p>
    <w:p w14:paraId="2B08CB16" w14:textId="77777777" w:rsidR="00A16838"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B63CD89" w14:textId="77777777" w:rsidR="00A1683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ED0A4C7"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2023年度收入总计8,994.13万元，其中：本年收入合计8,524.52万元，使用非财政拨款结余0.00万元，年初结转和结余469.61万元。</w:t>
      </w:r>
    </w:p>
    <w:p w14:paraId="754E1143"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2023年度支出总计8,994.13万元，其中：本年支出合计8,745.30万元，结余分配0.00万元，年末结转和结余248.84万元。</w:t>
      </w:r>
    </w:p>
    <w:p w14:paraId="4EF92AEB"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增加3,490.06万元</w:t>
      </w:r>
      <w:r>
        <w:rPr>
          <w:rFonts w:ascii="仿宋_GB2312" w:eastAsia="仿宋_GB2312" w:hint="eastAsia"/>
          <w:sz w:val="32"/>
          <w:szCs w:val="32"/>
        </w:rPr>
        <w:t>，增长63.41%，主要原因是：本年人员增加，人员工资，津补贴等相应经费增加。</w:t>
      </w:r>
    </w:p>
    <w:p w14:paraId="47F04712" w14:textId="77777777" w:rsidR="00A16838"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7E3653D"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本年收入8,524.52万元，其中：财政拨款收入</w:t>
      </w:r>
      <w:r>
        <w:rPr>
          <w:rFonts w:ascii="仿宋_GB2312" w:eastAsia="仿宋_GB2312" w:hint="eastAsia"/>
          <w:sz w:val="32"/>
          <w:szCs w:val="32"/>
          <w:lang w:val="zh-CN"/>
        </w:rPr>
        <w:t>8,488.46</w:t>
      </w:r>
      <w:r>
        <w:rPr>
          <w:rFonts w:ascii="仿宋_GB2312" w:eastAsia="仿宋_GB2312" w:hint="eastAsia"/>
          <w:sz w:val="32"/>
          <w:szCs w:val="32"/>
        </w:rPr>
        <w:t>万元，占</w:t>
      </w:r>
      <w:r>
        <w:rPr>
          <w:rFonts w:ascii="仿宋_GB2312" w:eastAsia="仿宋_GB2312" w:hint="eastAsia"/>
          <w:sz w:val="32"/>
          <w:szCs w:val="32"/>
          <w:lang w:val="zh-CN"/>
        </w:rPr>
        <w:t>99.58%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35.25</w:t>
      </w:r>
      <w:r>
        <w:rPr>
          <w:rFonts w:ascii="仿宋_GB2312" w:eastAsia="仿宋_GB2312" w:hint="eastAsia"/>
          <w:sz w:val="32"/>
          <w:szCs w:val="32"/>
        </w:rPr>
        <w:t>万元，占</w:t>
      </w:r>
      <w:r>
        <w:rPr>
          <w:rFonts w:ascii="仿宋_GB2312" w:eastAsia="仿宋_GB2312" w:hint="eastAsia"/>
          <w:sz w:val="32"/>
          <w:szCs w:val="32"/>
          <w:lang w:val="zh-CN"/>
        </w:rPr>
        <w:t>0.41%</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0.82</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19AFBDFD" w14:textId="77777777" w:rsidR="00A1683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184ACF" w14:textId="77777777" w:rsidR="00A168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本年支出8,745.30万元，其中：基本支出5,570.00万元，占63.69%；项目支出3,175.30万元，占36.31%；上缴上级支出0.00万元，占0.00%；经营支出0.00万元，占0.00%；对附属单位补助支出0.00万元，占0.00%。</w:t>
      </w:r>
    </w:p>
    <w:p w14:paraId="6CFAAE01" w14:textId="77777777" w:rsidR="00A16838"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7F24F27"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8,488.46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8,488.46</w:t>
      </w:r>
      <w:r>
        <w:rPr>
          <w:rFonts w:ascii="仿宋_GB2312" w:eastAsia="仿宋_GB2312" w:hint="eastAsia"/>
          <w:sz w:val="32"/>
          <w:szCs w:val="32"/>
        </w:rPr>
        <w:t>万元。财政拨款支出总计</w:t>
      </w:r>
      <w:r>
        <w:rPr>
          <w:rFonts w:ascii="仿宋_GB2312" w:eastAsia="仿宋_GB2312" w:hint="eastAsia"/>
          <w:sz w:val="32"/>
          <w:szCs w:val="32"/>
          <w:lang w:val="zh-CN"/>
        </w:rPr>
        <w:t>8,488.46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8,488.46</w:t>
      </w:r>
      <w:r>
        <w:rPr>
          <w:rFonts w:ascii="仿宋_GB2312" w:eastAsia="仿宋_GB2312" w:hint="eastAsia"/>
          <w:sz w:val="32"/>
          <w:szCs w:val="32"/>
        </w:rPr>
        <w:t>万元。</w:t>
      </w:r>
    </w:p>
    <w:p w14:paraId="55D36F7F" w14:textId="01976976"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增加3,629.34万元</w:t>
      </w:r>
      <w:r>
        <w:rPr>
          <w:rFonts w:ascii="仿宋_GB2312" w:eastAsia="仿宋_GB2312" w:hint="eastAsia"/>
          <w:sz w:val="32"/>
          <w:szCs w:val="32"/>
        </w:rPr>
        <w:t>，增长74.69%,主要原因是：本年人员增加，人员工资，津补贴等相应经费增加。与年初预算相比，年初预算数</w:t>
      </w:r>
      <w:r>
        <w:rPr>
          <w:rFonts w:ascii="仿宋_GB2312" w:eastAsia="仿宋_GB2312" w:hint="eastAsia"/>
          <w:sz w:val="32"/>
          <w:szCs w:val="32"/>
          <w:lang w:val="zh-CN"/>
        </w:rPr>
        <w:t>5,798.99</w:t>
      </w:r>
      <w:r>
        <w:rPr>
          <w:rFonts w:ascii="仿宋_GB2312" w:eastAsia="仿宋_GB2312" w:hint="eastAsia"/>
          <w:sz w:val="32"/>
          <w:szCs w:val="32"/>
        </w:rPr>
        <w:t>万元，决算数</w:t>
      </w:r>
      <w:r>
        <w:rPr>
          <w:rFonts w:ascii="仿宋_GB2312" w:eastAsia="仿宋_GB2312" w:hint="eastAsia"/>
          <w:sz w:val="32"/>
          <w:szCs w:val="32"/>
          <w:lang w:val="zh-CN"/>
        </w:rPr>
        <w:t>8,488.46</w:t>
      </w:r>
      <w:r>
        <w:rPr>
          <w:rFonts w:ascii="仿宋_GB2312" w:eastAsia="仿宋_GB2312" w:hint="eastAsia"/>
          <w:sz w:val="32"/>
          <w:szCs w:val="32"/>
        </w:rPr>
        <w:t>万元，预决算差异率46.38%，主要原因是：本年人员增加，年中追加了人员工资，津贴补贴等相应经费。</w:t>
      </w:r>
    </w:p>
    <w:p w14:paraId="2B693D4B" w14:textId="77777777" w:rsidR="00A1683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F613E22" w14:textId="77777777" w:rsidR="00A168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099A107" w14:textId="5533225E" w:rsidR="00A1683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2023年度一般公共预算财政拨款支出8,488.46万元，占本年支出合计的</w:t>
      </w:r>
      <w:r>
        <w:rPr>
          <w:rFonts w:ascii="仿宋_GB2312" w:eastAsia="仿宋_GB2312" w:hint="eastAsia"/>
          <w:sz w:val="32"/>
          <w:szCs w:val="32"/>
          <w:lang w:val="zh-CN"/>
        </w:rPr>
        <w:t>97.06%</w:t>
      </w:r>
      <w:r>
        <w:rPr>
          <w:rFonts w:ascii="仿宋_GB2312" w:eastAsia="仿宋_GB2312" w:hint="eastAsia"/>
          <w:sz w:val="32"/>
          <w:szCs w:val="32"/>
        </w:rPr>
        <w:t>。与上年相比，</w:t>
      </w:r>
      <w:r>
        <w:rPr>
          <w:rFonts w:ascii="仿宋_GB2312" w:eastAsia="仿宋_GB2312" w:hint="eastAsia"/>
          <w:sz w:val="32"/>
          <w:szCs w:val="32"/>
          <w:lang w:val="zh-CN"/>
        </w:rPr>
        <w:t>增加3,629.34万元</w:t>
      </w:r>
      <w:r>
        <w:rPr>
          <w:rFonts w:ascii="仿宋_GB2312" w:eastAsia="仿宋_GB2312" w:hint="eastAsia"/>
          <w:sz w:val="32"/>
          <w:szCs w:val="32"/>
        </w:rPr>
        <w:t>，增长74.69%,主要原因是：本年人员增加，人员工资，津补贴等相应经费增加。与年初预算相比，年初预算数</w:t>
      </w:r>
      <w:r>
        <w:rPr>
          <w:rFonts w:ascii="仿宋_GB2312" w:eastAsia="仿宋_GB2312" w:hint="eastAsia"/>
          <w:sz w:val="32"/>
          <w:szCs w:val="32"/>
          <w:lang w:val="zh-CN"/>
        </w:rPr>
        <w:t>5,798.99</w:t>
      </w:r>
      <w:r>
        <w:rPr>
          <w:rFonts w:ascii="仿宋_GB2312" w:eastAsia="仿宋_GB2312" w:hint="eastAsia"/>
          <w:sz w:val="32"/>
          <w:szCs w:val="32"/>
        </w:rPr>
        <w:t>万元，决算数</w:t>
      </w:r>
      <w:r>
        <w:rPr>
          <w:rFonts w:ascii="仿宋_GB2312" w:eastAsia="仿宋_GB2312" w:hint="eastAsia"/>
          <w:sz w:val="32"/>
          <w:szCs w:val="32"/>
          <w:lang w:val="zh-CN"/>
        </w:rPr>
        <w:t>8,488.46</w:t>
      </w:r>
      <w:r>
        <w:rPr>
          <w:rFonts w:ascii="仿宋_GB2312" w:eastAsia="仿宋_GB2312" w:hint="eastAsia"/>
          <w:sz w:val="32"/>
          <w:szCs w:val="32"/>
        </w:rPr>
        <w:t>万元，预决算差异率</w:t>
      </w:r>
      <w:r>
        <w:rPr>
          <w:rFonts w:ascii="仿宋_GB2312" w:eastAsia="仿宋_GB2312" w:hint="eastAsia"/>
          <w:sz w:val="32"/>
          <w:szCs w:val="32"/>
          <w:lang w:val="zh-CN"/>
        </w:rPr>
        <w:t>46.38%</w:t>
      </w:r>
      <w:r>
        <w:rPr>
          <w:rFonts w:ascii="仿宋_GB2312" w:eastAsia="仿宋_GB2312" w:hint="eastAsia"/>
          <w:sz w:val="32"/>
          <w:szCs w:val="32"/>
        </w:rPr>
        <w:t>，主要原因是：本年人员增加，年中追加了人员工资，津贴补贴等相应经费。</w:t>
      </w:r>
    </w:p>
    <w:p w14:paraId="30C35AFE" w14:textId="77777777" w:rsidR="00A1683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18686C2" w14:textId="77777777" w:rsidR="00A1683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493.98</w:t>
      </w:r>
      <w:r>
        <w:rPr>
          <w:rFonts w:ascii="仿宋_GB2312" w:eastAsia="仿宋_GB2312"/>
          <w:kern w:val="2"/>
          <w:sz w:val="32"/>
          <w:szCs w:val="32"/>
          <w:lang w:val="zh-CN"/>
        </w:rPr>
        <w:t>万元，占</w:t>
      </w:r>
      <w:r>
        <w:rPr>
          <w:rFonts w:ascii="仿宋_GB2312" w:eastAsia="仿宋_GB2312" w:hint="eastAsia"/>
          <w:kern w:val="2"/>
          <w:sz w:val="32"/>
          <w:szCs w:val="32"/>
          <w:lang w:val="zh-CN"/>
        </w:rPr>
        <w:t>5.82%</w:t>
      </w:r>
      <w:r>
        <w:rPr>
          <w:rFonts w:ascii="仿宋_GB2312" w:eastAsia="仿宋_GB2312"/>
          <w:kern w:val="2"/>
          <w:sz w:val="32"/>
          <w:szCs w:val="32"/>
          <w:lang w:val="zh-CN"/>
        </w:rPr>
        <w:t>；</w:t>
      </w:r>
    </w:p>
    <w:p w14:paraId="30EC9B11" w14:textId="77777777" w:rsidR="00A1683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7,994.47</w:t>
      </w:r>
      <w:r>
        <w:rPr>
          <w:rFonts w:ascii="仿宋_GB2312" w:eastAsia="仿宋_GB2312"/>
          <w:kern w:val="2"/>
          <w:sz w:val="32"/>
          <w:szCs w:val="32"/>
          <w:lang w:val="zh-CN"/>
        </w:rPr>
        <w:t>万元，占</w:t>
      </w:r>
      <w:r>
        <w:rPr>
          <w:rFonts w:ascii="仿宋_GB2312" w:eastAsia="仿宋_GB2312" w:hint="eastAsia"/>
          <w:kern w:val="2"/>
          <w:sz w:val="32"/>
          <w:szCs w:val="32"/>
          <w:lang w:val="zh-CN"/>
        </w:rPr>
        <w:t>94.18%。</w:t>
      </w:r>
    </w:p>
    <w:p w14:paraId="0005A5CF" w14:textId="77777777" w:rsidR="00A168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3B6A660" w14:textId="77777777" w:rsidR="00A168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1.卫生健康支出（类）公共卫生（款）疾病预防控制机构（项）:支出决算数为7,982.86万元，比上年决算增加3,373.94万元，增长73.20%，主要原因是：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4119A936" w14:textId="77777777" w:rsidR="00A168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2.卫生健康支出（类）公共卫生（款）基本公共卫生服务（项）:支出决算数为11.61万元，比上年决算增加11.61万元，增长100%，主要原因是：</w:t>
      </w:r>
      <w:r>
        <w:rPr>
          <w:rFonts w:ascii="仿宋_GB2312" w:eastAsia="仿宋_GB2312" w:hAnsi="仿宋_GB2312" w:cs="仿宋_GB2312" w:hint="eastAsia"/>
          <w:sz w:val="32"/>
          <w:szCs w:val="32"/>
          <w:lang w:val="zh-CN"/>
        </w:rPr>
        <w:t>2023年中央</w:t>
      </w:r>
      <w:proofErr w:type="gramStart"/>
      <w:r>
        <w:rPr>
          <w:rFonts w:ascii="仿宋_GB2312" w:eastAsia="仿宋_GB2312" w:hAnsi="仿宋_GB2312" w:cs="仿宋_GB2312" w:hint="eastAsia"/>
          <w:sz w:val="32"/>
          <w:szCs w:val="32"/>
          <w:lang w:val="zh-CN"/>
        </w:rPr>
        <w:t>基本公卫补助</w:t>
      </w:r>
      <w:proofErr w:type="gramEnd"/>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107D5975" w14:textId="77777777" w:rsidR="00A168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493.98万元，比上年决算增加307.41万元，增长164.77%，主要原因是：本年人员增加，单位基本养老保险缴费增加</w:t>
      </w:r>
      <w:r>
        <w:rPr>
          <w:rFonts w:ascii="仿宋_GB2312" w:eastAsia="仿宋_GB2312" w:hAnsi="仿宋_GB2312" w:cs="仿宋_GB2312" w:hint="eastAsia"/>
          <w:sz w:val="32"/>
          <w:szCs w:val="32"/>
          <w:lang w:val="zh-CN"/>
        </w:rPr>
        <w:t>。</w:t>
      </w:r>
    </w:p>
    <w:p w14:paraId="33DD9301" w14:textId="5FD26449" w:rsidR="00A168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4.卫生健康支出（类）公共卫生（款）突发公共卫生事件应急处理（项）:支出决算数为0.00万元，比上年决算减少63.63万元，下降100%，主要原因是：</w:t>
      </w:r>
      <w:r>
        <w:rPr>
          <w:rFonts w:ascii="仿宋_GB2312" w:eastAsia="仿宋_GB2312" w:hAnsi="仿宋_GB2312" w:cs="仿宋_GB2312" w:hint="eastAsia"/>
          <w:sz w:val="32"/>
          <w:szCs w:val="32"/>
          <w:lang w:val="zh-CN"/>
        </w:rPr>
        <w:t>本年</w:t>
      </w:r>
      <w:r w:rsidR="00166DF9">
        <w:rPr>
          <w:rFonts w:ascii="仿宋_GB2312" w:eastAsia="仿宋_GB2312" w:hAnsi="仿宋_GB2312" w:cs="仿宋_GB2312" w:hint="eastAsia"/>
          <w:sz w:val="32"/>
          <w:szCs w:val="32"/>
          <w:lang w:val="zh-CN"/>
        </w:rPr>
        <w:t>减少</w:t>
      </w:r>
      <w:r w:rsidR="00166DF9" w:rsidRPr="00166DF9">
        <w:rPr>
          <w:rFonts w:ascii="仿宋_GB2312" w:eastAsia="仿宋_GB2312" w:hAnsi="仿宋_GB2312" w:cs="仿宋_GB2312" w:hint="eastAsia"/>
          <w:sz w:val="32"/>
          <w:szCs w:val="32"/>
          <w:lang w:val="zh-CN"/>
        </w:rPr>
        <w:t>用于防疫</w:t>
      </w:r>
      <w:r w:rsidR="00166DF9">
        <w:rPr>
          <w:rFonts w:ascii="仿宋_GB2312" w:eastAsia="仿宋_GB2312" w:hAnsi="仿宋_GB2312" w:cs="仿宋_GB2312" w:hint="eastAsia"/>
          <w:sz w:val="32"/>
          <w:szCs w:val="32"/>
          <w:lang w:val="zh-CN"/>
        </w:rPr>
        <w:t>防控</w:t>
      </w:r>
      <w:r w:rsidR="00166DF9" w:rsidRPr="00166DF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565D5B5D" w14:textId="77777777" w:rsidR="00A168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686DBFF"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2023年度一般公共预算财政拨款基本支出5,566.62万</w:t>
      </w:r>
      <w:r>
        <w:rPr>
          <w:rFonts w:ascii="仿宋_GB2312" w:eastAsia="仿宋_GB2312" w:hint="eastAsia"/>
          <w:sz w:val="32"/>
          <w:szCs w:val="32"/>
        </w:rPr>
        <w:lastRenderedPageBreak/>
        <w:t>元，其中：人员经费5,319.72万元，包括：基本工资、津贴补贴、奖金、绩效工资、机关事业单位基本养老保险缴费、职业年金缴费、职工基本医疗保险缴费、其他社会保障缴费、住房公积金、其他工资福利支出、奖励金。</w:t>
      </w:r>
    </w:p>
    <w:p w14:paraId="0EB29DFB"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公用经费246.91万元，包括：办公费、印刷费、水费、电费、邮电费、取暖费、培训费、劳务费、委托业务费、工会经费、福利费、公务用车运行维护费、其他商品和服务支出、办公设备购置。</w:t>
      </w:r>
    </w:p>
    <w:p w14:paraId="75635F93" w14:textId="77777777" w:rsidR="00A168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0568FDB" w14:textId="77777777" w:rsidR="00A168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“三公”经费支出14.16万元，</w:t>
      </w:r>
      <w:r>
        <w:rPr>
          <w:rFonts w:ascii="仿宋_GB2312" w:eastAsia="仿宋_GB2312" w:hint="eastAsia"/>
          <w:sz w:val="32"/>
          <w:szCs w:val="32"/>
        </w:rPr>
        <w:t>比上年</w:t>
      </w:r>
      <w:r>
        <w:rPr>
          <w:rFonts w:ascii="仿宋_GB2312" w:eastAsia="仿宋_GB2312" w:hint="eastAsia"/>
          <w:sz w:val="32"/>
          <w:szCs w:val="32"/>
          <w:lang w:val="zh-CN"/>
        </w:rPr>
        <w:t>减少3.62万元，</w:t>
      </w:r>
      <w:r>
        <w:rPr>
          <w:rFonts w:ascii="仿宋_GB2312" w:eastAsia="仿宋_GB2312" w:hint="eastAsia"/>
          <w:sz w:val="32"/>
          <w:szCs w:val="32"/>
        </w:rPr>
        <w:t>下降20.36%,</w:t>
      </w:r>
      <w:r>
        <w:rPr>
          <w:rFonts w:ascii="仿宋_GB2312" w:eastAsia="仿宋_GB2312" w:hint="eastAsia"/>
          <w:sz w:val="32"/>
          <w:szCs w:val="32"/>
          <w:lang w:val="zh-CN"/>
        </w:rPr>
        <w:t>主要原因是：本年车辆出行次数减少，燃油费，维修维护费减少。其中：因公出国（境）费支出0.00万元，占0.00%，比上年增加0.00万元，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主要原因是：本年单位无此项经费；公务用车购置及运行维护费支出14.16万元，占100.00%，比上年减少3.62万元，</w:t>
      </w:r>
      <w:r>
        <w:rPr>
          <w:rFonts w:ascii="仿宋_GB2312" w:eastAsia="仿宋_GB2312" w:hint="eastAsia"/>
          <w:sz w:val="32"/>
          <w:szCs w:val="32"/>
        </w:rPr>
        <w:t>下降20.36%,</w:t>
      </w:r>
      <w:r>
        <w:rPr>
          <w:rFonts w:ascii="仿宋_GB2312" w:eastAsia="仿宋_GB2312" w:hint="eastAsia"/>
          <w:sz w:val="32"/>
          <w:szCs w:val="32"/>
          <w:lang w:val="zh-CN"/>
        </w:rPr>
        <w:t>主要原因是：本年车辆出行次数减少，燃油费，维修维护费减少；公务接待费支出0.00万元，占0.00%，比上年增加0.00万元，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13D96501" w14:textId="77777777" w:rsidR="00A168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04A3CB" w14:textId="77777777" w:rsidR="00A168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w:t>
      </w:r>
      <w:r>
        <w:rPr>
          <w:rFonts w:ascii="仿宋_GB2312" w:eastAsia="仿宋_GB2312" w:hint="eastAsia"/>
          <w:sz w:val="32"/>
          <w:szCs w:val="32"/>
          <w:lang w:val="zh-CN"/>
        </w:rPr>
        <w:lastRenderedPageBreak/>
        <w:t>因公出国（境）0人次。</w:t>
      </w:r>
    </w:p>
    <w:p w14:paraId="4B0C6F14" w14:textId="054F737E"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14.16万元，其中：公务用车购置费0.00万元，公务用车运行维护费14.16万元。公务用车运行维护费开支内容包括公务用车燃油费、车辆维修维护费、保险费、过路费等。公务用车购置数0辆，公务用车保有量10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66DF9" w:rsidRPr="00166DF9">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370E377A" w14:textId="77777777" w:rsidR="00A168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7730DE0" w14:textId="77777777" w:rsidR="00A168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预算数14.16万元，决算数14.16万元，预决算差异率0.00%，主要原因是：本年严格按年初预算执行“三公”经费，预决算对比无差异。其中：因公出国（境）费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预算数14.16万元，决算数14.16万元，预决算差异率0.00%，主要原因是：本年严格按年初预算执行“三公”经费，预决算对比无差异；公务接待费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53E819F3" w14:textId="77777777" w:rsidR="00A16838"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lastRenderedPageBreak/>
        <w:t>八、政府性基金预算财政拨款收入支出决算情况说明</w:t>
      </w:r>
      <w:bookmarkEnd w:id="18"/>
      <w:bookmarkEnd w:id="19"/>
    </w:p>
    <w:p w14:paraId="0A385560"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E2FEC0A" w14:textId="77777777" w:rsidR="00A168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F7EFCE4" w14:textId="77777777"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5B8BF0C" w14:textId="77777777" w:rsidR="00A1683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B8611E4" w14:textId="77777777" w:rsidR="00A1683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1692C33" w14:textId="77777777" w:rsidR="00A16838"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乌鲁木齐市米东区疾病预防控制中心（事业单位）公用经费支出246.91万元，</w:t>
      </w:r>
      <w:r>
        <w:rPr>
          <w:rFonts w:ascii="仿宋_GB2312" w:eastAsia="仿宋_GB2312" w:hAnsi="仿宋_GB2312" w:cs="仿宋_GB2312" w:hint="eastAsia"/>
          <w:sz w:val="32"/>
          <w:szCs w:val="32"/>
          <w:lang w:val="zh-CN"/>
        </w:rPr>
        <w:t>比上年减少19.63万元，下降7.36%，主要原因是：本年办公费，印刷费和水电费等减少。</w:t>
      </w:r>
    </w:p>
    <w:p w14:paraId="7AD1683B" w14:textId="77777777" w:rsidR="00A1683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E98991E" w14:textId="77777777" w:rsidR="00A168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F36ED23" w14:textId="77777777" w:rsidR="00A1683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09343E5F" w14:textId="77777777" w:rsidR="00A16838"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4497025" w14:textId="77777777" w:rsidR="00A168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3,343.46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屋3,114.00平方米，价值176.25万元。车辆10辆，价值236.17万元，其中：副部（省）级及以上领导用车0辆、主要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用车0辆、其他用车9辆，其他用车主要是：单位业务用车；单价100万元（含）以上设备（不含车辆）0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06006AC" w14:textId="77777777" w:rsidR="00A1683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EECB60B" w14:textId="4A27617A" w:rsidR="00A1683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8,994.13</w:t>
      </w:r>
      <w:r>
        <w:rPr>
          <w:rFonts w:ascii="仿宋_GB2312" w:eastAsia="仿宋_GB2312" w:hint="eastAsia"/>
          <w:sz w:val="32"/>
          <w:szCs w:val="32"/>
        </w:rPr>
        <w:t>万元，实际执行总额</w:t>
      </w:r>
      <w:r>
        <w:rPr>
          <w:rFonts w:ascii="仿宋_GB2312" w:eastAsia="仿宋_GB2312"/>
          <w:sz w:val="32"/>
          <w:szCs w:val="32"/>
        </w:rPr>
        <w:t>8,745.30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33.8</w:t>
      </w:r>
      <w:r>
        <w:rPr>
          <w:rFonts w:ascii="仿宋_GB2312" w:eastAsia="仿宋_GB2312" w:hint="eastAsia"/>
          <w:sz w:val="32"/>
          <w:szCs w:val="32"/>
        </w:rPr>
        <w:t>0万元，全年执行数</w:t>
      </w:r>
      <w:r>
        <w:rPr>
          <w:rFonts w:ascii="仿宋_GB2312" w:eastAsia="仿宋_GB2312"/>
          <w:sz w:val="32"/>
          <w:szCs w:val="32"/>
        </w:rPr>
        <w:t>11.61</w:t>
      </w:r>
      <w:r>
        <w:rPr>
          <w:rFonts w:ascii="仿宋_GB2312" w:eastAsia="仿宋_GB2312" w:hint="eastAsia"/>
          <w:sz w:val="32"/>
          <w:szCs w:val="32"/>
        </w:rPr>
        <w:t>万元。预算绩效管理取得的成效：</w:t>
      </w:r>
      <w:r w:rsidR="00203280" w:rsidRPr="00203280">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w:t>
      </w:r>
      <w:proofErr w:type="gramStart"/>
      <w:r w:rsidR="00203280" w:rsidRPr="00203280">
        <w:rPr>
          <w:rFonts w:ascii="仿宋_GB2312" w:eastAsia="仿宋_GB2312" w:hint="eastAsia"/>
          <w:sz w:val="32"/>
          <w:szCs w:val="32"/>
        </w:rPr>
        <w:t>且人员</w:t>
      </w:r>
      <w:proofErr w:type="gramEnd"/>
      <w:r w:rsidR="00203280" w:rsidRPr="00203280">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w:t>
      </w:r>
      <w:r w:rsidR="00203280" w:rsidRPr="00203280">
        <w:rPr>
          <w:rFonts w:ascii="仿宋_GB2312" w:eastAsia="仿宋_GB2312" w:hint="eastAsia"/>
          <w:sz w:val="32"/>
          <w:szCs w:val="32"/>
        </w:rPr>
        <w:lastRenderedPageBreak/>
        <w:t>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5A10C1BA" w14:textId="77777777" w:rsidR="00A16838"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FE4DCDA" w14:textId="77777777" w:rsidR="00A168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A16838" w14:paraId="0013F32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980B2"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3CAFCEA" w14:textId="77777777" w:rsidR="00A16838" w:rsidRDefault="00000000">
            <w:pPr>
              <w:jc w:val="center"/>
            </w:pPr>
            <w:proofErr w:type="gramStart"/>
            <w:r>
              <w:rPr>
                <w:rFonts w:ascii="宋体" w:hAnsi="宋体"/>
                <w:sz w:val="18"/>
              </w:rPr>
              <w:t>米东疾病</w:t>
            </w:r>
            <w:proofErr w:type="gramEnd"/>
            <w:r>
              <w:rPr>
                <w:rFonts w:ascii="宋体" w:hAnsi="宋体"/>
                <w:sz w:val="18"/>
              </w:rPr>
              <w:t>控制中心</w:t>
            </w:r>
          </w:p>
        </w:tc>
        <w:tc>
          <w:tcPr>
            <w:tcW w:w="284" w:type="dxa"/>
            <w:tcBorders>
              <w:top w:val="nil"/>
              <w:left w:val="nil"/>
              <w:bottom w:val="nil"/>
              <w:right w:val="nil"/>
            </w:tcBorders>
            <w:shd w:val="clear" w:color="auto" w:fill="auto"/>
            <w:noWrap/>
            <w:vAlign w:val="center"/>
          </w:tcPr>
          <w:p w14:paraId="6D556516" w14:textId="77777777" w:rsidR="00A16838" w:rsidRDefault="00A16838">
            <w:pPr>
              <w:widowControl/>
              <w:jc w:val="left"/>
              <w:rPr>
                <w:rFonts w:ascii="宋体" w:hAnsi="宋体" w:cs="宋体" w:hint="eastAsia"/>
                <w:b/>
                <w:bCs/>
                <w:kern w:val="0"/>
                <w:sz w:val="18"/>
                <w:szCs w:val="18"/>
              </w:rPr>
            </w:pPr>
          </w:p>
        </w:tc>
      </w:tr>
      <w:tr w:rsidR="00A16838" w14:paraId="41FB7B3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640A3E"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0E9B5A7"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0EAB9F4"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37EC97B0"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0A8410CF"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07858ED3"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9C4DBEB"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03580BF"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F98BF9C" w14:textId="77777777" w:rsidR="00A16838" w:rsidRDefault="00A16838">
            <w:pPr>
              <w:widowControl/>
              <w:jc w:val="center"/>
              <w:rPr>
                <w:rFonts w:ascii="宋体" w:hAnsi="宋体" w:cs="宋体" w:hint="eastAsia"/>
                <w:b/>
                <w:bCs/>
                <w:kern w:val="0"/>
                <w:sz w:val="18"/>
                <w:szCs w:val="18"/>
              </w:rPr>
            </w:pPr>
          </w:p>
        </w:tc>
      </w:tr>
      <w:tr w:rsidR="00A16838" w14:paraId="79849FF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7B205E1" w14:textId="77777777" w:rsidR="00A16838" w:rsidRDefault="00A168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39864FA"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866954C" w14:textId="77777777" w:rsidR="00A16838" w:rsidRDefault="00000000">
            <w:pPr>
              <w:jc w:val="center"/>
              <w:rPr>
                <w:rFonts w:ascii="宋体" w:hAnsi="宋体" w:hint="eastAsia"/>
                <w:sz w:val="18"/>
              </w:rPr>
            </w:pPr>
            <w:r>
              <w:rPr>
                <w:rFonts w:ascii="宋体" w:hAnsi="宋体"/>
                <w:sz w:val="18"/>
              </w:rPr>
              <w:t>5,798.99</w:t>
            </w:r>
          </w:p>
        </w:tc>
        <w:tc>
          <w:tcPr>
            <w:tcW w:w="1134" w:type="dxa"/>
            <w:tcBorders>
              <w:top w:val="nil"/>
              <w:left w:val="nil"/>
              <w:bottom w:val="single" w:sz="4" w:space="0" w:color="auto"/>
              <w:right w:val="single" w:sz="4" w:space="0" w:color="auto"/>
            </w:tcBorders>
            <w:shd w:val="clear" w:color="auto" w:fill="auto"/>
            <w:vAlign w:val="center"/>
          </w:tcPr>
          <w:p w14:paraId="127A7395" w14:textId="77777777" w:rsidR="00A16838" w:rsidRDefault="00000000">
            <w:pPr>
              <w:jc w:val="center"/>
              <w:rPr>
                <w:rFonts w:ascii="宋体" w:hAnsi="宋体" w:hint="eastAsia"/>
                <w:sz w:val="18"/>
              </w:rPr>
            </w:pPr>
            <w:r>
              <w:rPr>
                <w:rFonts w:ascii="宋体" w:hAnsi="宋体"/>
                <w:sz w:val="18"/>
              </w:rPr>
              <w:t>8,994.13</w:t>
            </w:r>
          </w:p>
        </w:tc>
        <w:tc>
          <w:tcPr>
            <w:tcW w:w="2126" w:type="dxa"/>
            <w:tcBorders>
              <w:top w:val="nil"/>
              <w:left w:val="nil"/>
              <w:bottom w:val="single" w:sz="4" w:space="0" w:color="auto"/>
              <w:right w:val="single" w:sz="4" w:space="0" w:color="auto"/>
            </w:tcBorders>
            <w:shd w:val="clear" w:color="auto" w:fill="auto"/>
            <w:vAlign w:val="center"/>
          </w:tcPr>
          <w:p w14:paraId="7EB0CF0D" w14:textId="77777777" w:rsidR="00A16838" w:rsidRDefault="00000000">
            <w:pPr>
              <w:jc w:val="center"/>
            </w:pPr>
            <w:r>
              <w:rPr>
                <w:rFonts w:ascii="宋体" w:hAnsi="宋体"/>
                <w:sz w:val="18"/>
              </w:rPr>
              <w:t>8,745.30</w:t>
            </w:r>
          </w:p>
        </w:tc>
        <w:tc>
          <w:tcPr>
            <w:tcW w:w="1004" w:type="dxa"/>
            <w:tcBorders>
              <w:top w:val="nil"/>
              <w:left w:val="nil"/>
              <w:bottom w:val="single" w:sz="4" w:space="0" w:color="auto"/>
              <w:right w:val="single" w:sz="4" w:space="0" w:color="auto"/>
            </w:tcBorders>
            <w:shd w:val="clear" w:color="auto" w:fill="auto"/>
            <w:vAlign w:val="center"/>
          </w:tcPr>
          <w:p w14:paraId="60042134" w14:textId="77777777" w:rsidR="00A16838"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97AAEEB" w14:textId="77777777" w:rsidR="00A16838" w:rsidRDefault="00000000">
            <w:pPr>
              <w:jc w:val="center"/>
            </w:pPr>
            <w:r>
              <w:rPr>
                <w:rFonts w:ascii="宋体" w:hAnsi="宋体"/>
                <w:sz w:val="18"/>
              </w:rPr>
              <w:t>99.72%</w:t>
            </w:r>
          </w:p>
        </w:tc>
        <w:tc>
          <w:tcPr>
            <w:tcW w:w="720" w:type="dxa"/>
            <w:tcBorders>
              <w:top w:val="nil"/>
              <w:left w:val="nil"/>
              <w:bottom w:val="single" w:sz="4" w:space="0" w:color="auto"/>
              <w:right w:val="single" w:sz="4" w:space="0" w:color="auto"/>
            </w:tcBorders>
            <w:shd w:val="clear" w:color="auto" w:fill="auto"/>
            <w:vAlign w:val="center"/>
          </w:tcPr>
          <w:p w14:paraId="12953DD9" w14:textId="77777777" w:rsidR="00A16838" w:rsidRDefault="00000000">
            <w:pPr>
              <w:jc w:val="center"/>
            </w:pPr>
            <w:r>
              <w:rPr>
                <w:rFonts w:ascii="宋体" w:hAnsi="宋体"/>
                <w:sz w:val="18"/>
              </w:rPr>
              <w:t>9.97</w:t>
            </w:r>
          </w:p>
        </w:tc>
        <w:tc>
          <w:tcPr>
            <w:tcW w:w="284" w:type="dxa"/>
            <w:tcBorders>
              <w:top w:val="nil"/>
              <w:left w:val="nil"/>
              <w:bottom w:val="nil"/>
              <w:right w:val="nil"/>
            </w:tcBorders>
            <w:shd w:val="clear" w:color="auto" w:fill="auto"/>
            <w:noWrap/>
            <w:vAlign w:val="center"/>
          </w:tcPr>
          <w:p w14:paraId="02726475" w14:textId="77777777" w:rsidR="00A16838" w:rsidRDefault="00A16838">
            <w:pPr>
              <w:widowControl/>
              <w:jc w:val="center"/>
              <w:rPr>
                <w:rFonts w:ascii="宋体" w:hAnsi="宋体" w:cs="宋体" w:hint="eastAsia"/>
                <w:b/>
                <w:bCs/>
                <w:kern w:val="0"/>
                <w:sz w:val="18"/>
                <w:szCs w:val="18"/>
              </w:rPr>
            </w:pPr>
          </w:p>
        </w:tc>
      </w:tr>
      <w:tr w:rsidR="00A16838" w14:paraId="0B197A6B"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FF8A64F" w14:textId="77777777" w:rsidR="00A16838" w:rsidRDefault="00A168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1119AA"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812570F" w14:textId="77777777" w:rsidR="00A1683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2A2E583" w14:textId="77777777" w:rsidR="00A1683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E4BD796" w14:textId="77777777" w:rsidR="00A1683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E9A7F37" w14:textId="77777777" w:rsidR="00A168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80F4636" w14:textId="77777777" w:rsidR="00A168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D054861" w14:textId="77777777" w:rsidR="00A168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EB68503" w14:textId="77777777" w:rsidR="00A16838" w:rsidRDefault="00A16838">
            <w:pPr>
              <w:widowControl/>
              <w:jc w:val="center"/>
              <w:rPr>
                <w:rFonts w:ascii="宋体" w:hAnsi="宋体" w:cs="宋体" w:hint="eastAsia"/>
                <w:kern w:val="0"/>
                <w:sz w:val="18"/>
                <w:szCs w:val="18"/>
              </w:rPr>
            </w:pPr>
          </w:p>
        </w:tc>
      </w:tr>
      <w:tr w:rsidR="00A16838" w14:paraId="585ADB8A"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B7A026E" w14:textId="77777777" w:rsidR="00A16838" w:rsidRDefault="00A168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2BC3291"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8ECC136" w14:textId="77777777" w:rsidR="00A1683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DBD1AF8" w14:textId="77777777" w:rsidR="00A1683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AC07A95" w14:textId="77777777" w:rsidR="00A1683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52B5B7A" w14:textId="77777777" w:rsidR="00A168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B613DBF" w14:textId="77777777" w:rsidR="00A168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C8AADD6" w14:textId="77777777" w:rsidR="00A168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F3BE8B3" w14:textId="77777777" w:rsidR="00A16838" w:rsidRDefault="00A16838">
            <w:pPr>
              <w:widowControl/>
              <w:jc w:val="center"/>
              <w:rPr>
                <w:rFonts w:ascii="宋体" w:hAnsi="宋体" w:cs="宋体" w:hint="eastAsia"/>
                <w:kern w:val="0"/>
                <w:sz w:val="18"/>
                <w:szCs w:val="18"/>
              </w:rPr>
            </w:pPr>
          </w:p>
        </w:tc>
      </w:tr>
      <w:tr w:rsidR="00A16838" w14:paraId="136EE9F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0A52609" w14:textId="77777777" w:rsidR="00A16838" w:rsidRDefault="00A168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AB0E622"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F798F66" w14:textId="77777777" w:rsidR="00A1683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7F2F37" w14:textId="77777777" w:rsidR="00A1683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B43583A" w14:textId="77777777" w:rsidR="00A1683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19C7DAA"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B8DBF5E"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F36679"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FAEE409" w14:textId="77777777" w:rsidR="00A16838" w:rsidRDefault="00A16838">
            <w:pPr>
              <w:widowControl/>
              <w:jc w:val="center"/>
              <w:rPr>
                <w:rFonts w:ascii="宋体" w:hAnsi="宋体" w:cs="宋体" w:hint="eastAsia"/>
                <w:kern w:val="0"/>
                <w:sz w:val="18"/>
                <w:szCs w:val="18"/>
              </w:rPr>
            </w:pPr>
          </w:p>
        </w:tc>
      </w:tr>
      <w:tr w:rsidR="00A16838" w14:paraId="648689EE"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21126127" w14:textId="77777777" w:rsidR="00A16838" w:rsidRDefault="00A168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925E664"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E046046" w14:textId="77777777" w:rsidR="00A16838" w:rsidRDefault="00000000">
            <w:pPr>
              <w:jc w:val="center"/>
              <w:rPr>
                <w:rFonts w:ascii="宋体" w:hAnsi="宋体" w:hint="eastAsia"/>
                <w:sz w:val="18"/>
              </w:rPr>
            </w:pPr>
            <w:r>
              <w:rPr>
                <w:rFonts w:ascii="宋体" w:hAnsi="宋体"/>
                <w:sz w:val="18"/>
              </w:rPr>
              <w:t>5,798.99</w:t>
            </w:r>
          </w:p>
        </w:tc>
        <w:tc>
          <w:tcPr>
            <w:tcW w:w="1134" w:type="dxa"/>
            <w:tcBorders>
              <w:top w:val="nil"/>
              <w:left w:val="nil"/>
              <w:bottom w:val="single" w:sz="4" w:space="0" w:color="auto"/>
              <w:right w:val="single" w:sz="4" w:space="0" w:color="auto"/>
            </w:tcBorders>
            <w:shd w:val="clear" w:color="auto" w:fill="auto"/>
            <w:vAlign w:val="center"/>
          </w:tcPr>
          <w:p w14:paraId="28EE1E05" w14:textId="77777777" w:rsidR="00A16838" w:rsidRDefault="00000000">
            <w:pPr>
              <w:jc w:val="center"/>
              <w:rPr>
                <w:rFonts w:ascii="宋体" w:hAnsi="宋体" w:hint="eastAsia"/>
                <w:sz w:val="18"/>
              </w:rPr>
            </w:pPr>
            <w:r>
              <w:rPr>
                <w:rFonts w:ascii="宋体" w:hAnsi="宋体"/>
                <w:sz w:val="18"/>
              </w:rPr>
              <w:t>8,994.13</w:t>
            </w:r>
          </w:p>
        </w:tc>
        <w:tc>
          <w:tcPr>
            <w:tcW w:w="2126" w:type="dxa"/>
            <w:tcBorders>
              <w:top w:val="nil"/>
              <w:left w:val="nil"/>
              <w:bottom w:val="single" w:sz="4" w:space="0" w:color="auto"/>
              <w:right w:val="single" w:sz="4" w:space="0" w:color="auto"/>
            </w:tcBorders>
            <w:shd w:val="clear" w:color="auto" w:fill="auto"/>
            <w:vAlign w:val="center"/>
          </w:tcPr>
          <w:p w14:paraId="52026F52" w14:textId="77777777" w:rsidR="00A16838" w:rsidRDefault="00000000">
            <w:pPr>
              <w:jc w:val="center"/>
              <w:rPr>
                <w:rFonts w:ascii="宋体" w:hAnsi="宋体" w:hint="eastAsia"/>
                <w:sz w:val="18"/>
              </w:rPr>
            </w:pPr>
            <w:r>
              <w:rPr>
                <w:rFonts w:ascii="宋体" w:hAnsi="宋体"/>
                <w:sz w:val="18"/>
              </w:rPr>
              <w:t>8,745.30</w:t>
            </w:r>
          </w:p>
        </w:tc>
        <w:tc>
          <w:tcPr>
            <w:tcW w:w="1004" w:type="dxa"/>
            <w:tcBorders>
              <w:top w:val="nil"/>
              <w:left w:val="nil"/>
              <w:bottom w:val="single" w:sz="4" w:space="0" w:color="auto"/>
              <w:right w:val="single" w:sz="4" w:space="0" w:color="auto"/>
            </w:tcBorders>
            <w:shd w:val="clear" w:color="auto" w:fill="auto"/>
            <w:vAlign w:val="center"/>
          </w:tcPr>
          <w:p w14:paraId="42757DE5"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6BA39E"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C70ADAE"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9C3B869" w14:textId="77777777" w:rsidR="00A16838" w:rsidRDefault="00A16838">
            <w:pPr>
              <w:widowControl/>
              <w:jc w:val="center"/>
              <w:rPr>
                <w:rFonts w:ascii="宋体" w:hAnsi="宋体" w:cs="宋体" w:hint="eastAsia"/>
                <w:kern w:val="0"/>
                <w:sz w:val="18"/>
                <w:szCs w:val="18"/>
              </w:rPr>
            </w:pPr>
          </w:p>
        </w:tc>
      </w:tr>
      <w:tr w:rsidR="00A16838" w14:paraId="2FE3B461"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8665DFC" w14:textId="77777777" w:rsidR="00A16838" w:rsidRDefault="00A168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303CF4"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79F1D28" w14:textId="77777777" w:rsidR="00A1683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E2E4A11" w14:textId="77777777" w:rsidR="00A1683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0DC5367" w14:textId="77777777" w:rsidR="00A1683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F787F77"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CBEEB65"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596293" w14:textId="77777777" w:rsidR="00A168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72775EC" w14:textId="77777777" w:rsidR="00A16838" w:rsidRDefault="00A16838">
            <w:pPr>
              <w:widowControl/>
              <w:jc w:val="center"/>
              <w:rPr>
                <w:rFonts w:ascii="宋体" w:hAnsi="宋体" w:cs="宋体" w:hint="eastAsia"/>
                <w:kern w:val="0"/>
                <w:sz w:val="18"/>
                <w:szCs w:val="18"/>
              </w:rPr>
            </w:pPr>
          </w:p>
        </w:tc>
      </w:tr>
      <w:tr w:rsidR="00A16838" w14:paraId="5F45266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8BB851"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042AD56B"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7A4A231D"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932070D" w14:textId="77777777" w:rsidR="00A16838" w:rsidRDefault="00A16838">
            <w:pPr>
              <w:widowControl/>
              <w:jc w:val="left"/>
              <w:rPr>
                <w:rFonts w:ascii="宋体" w:hAnsi="宋体" w:cs="宋体" w:hint="eastAsia"/>
                <w:b/>
                <w:bCs/>
                <w:kern w:val="0"/>
                <w:sz w:val="18"/>
                <w:szCs w:val="18"/>
              </w:rPr>
            </w:pPr>
          </w:p>
        </w:tc>
      </w:tr>
      <w:tr w:rsidR="00A16838" w14:paraId="78F6BC9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ADF55D2" w14:textId="77777777" w:rsidR="00A16838" w:rsidRDefault="00A1683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4EC44A9" w14:textId="77777777" w:rsidR="00A16838" w:rsidRDefault="00000000">
            <w:pPr>
              <w:jc w:val="left"/>
            </w:pPr>
            <w:r>
              <w:rPr>
                <w:rFonts w:ascii="宋体" w:hAnsi="宋体"/>
                <w:sz w:val="18"/>
              </w:rPr>
              <w:t>承担全区各族人民群众的疾病预防与控制工作，处置突发公共卫生事件，开展相关产品检验和评价，提供公共卫生检测结果与信息服务,对下级机构的业务指导。承担着全区艾滋病/性病监测、AFP监测、腹泻病监测、生活饮用水监测、学校卫生传染病监测、碘盐监测等监测任务；全区儿童计划免疫；</w:t>
            </w:r>
            <w:proofErr w:type="gramStart"/>
            <w:r>
              <w:rPr>
                <w:rFonts w:ascii="宋体" w:hAnsi="宋体"/>
                <w:sz w:val="18"/>
              </w:rPr>
              <w:t>孕</w:t>
            </w:r>
            <w:proofErr w:type="gramEnd"/>
            <w:r>
              <w:rPr>
                <w:rFonts w:ascii="宋体" w:hAnsi="宋体"/>
                <w:sz w:val="18"/>
              </w:rPr>
              <w:t>产妇、儿童系统管理，集体、散居儿童保健、营养指导、结核病控制项目、慢性病、老年病和精神卫生、美沙</w:t>
            </w:r>
            <w:proofErr w:type="gramStart"/>
            <w:r>
              <w:rPr>
                <w:rFonts w:ascii="宋体" w:hAnsi="宋体"/>
                <w:sz w:val="18"/>
              </w:rPr>
              <w:t>酮维持</w:t>
            </w:r>
            <w:proofErr w:type="gramEnd"/>
            <w:r>
              <w:rPr>
                <w:rFonts w:ascii="宋体" w:hAnsi="宋体"/>
                <w:sz w:val="18"/>
              </w:rPr>
              <w:t>治疗以及米东区鼠疫防治工作。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5712EC79" w14:textId="77777777" w:rsidR="00A16838" w:rsidRDefault="00000000">
            <w:pPr>
              <w:jc w:val="left"/>
            </w:pPr>
            <w:r>
              <w:rPr>
                <w:rFonts w:ascii="宋体" w:hAnsi="宋体"/>
                <w:sz w:val="18"/>
              </w:rPr>
              <w:t>在全区艾滋病/性病监测、AFP监测、腹泻病监测、生活饮用水监测、学校卫生传染病监测、碘盐监测等监测任务；全区儿童计划免疫；</w:t>
            </w:r>
            <w:proofErr w:type="gramStart"/>
            <w:r>
              <w:rPr>
                <w:rFonts w:ascii="宋体" w:hAnsi="宋体"/>
                <w:sz w:val="18"/>
              </w:rPr>
              <w:t>孕</w:t>
            </w:r>
            <w:proofErr w:type="gramEnd"/>
            <w:r>
              <w:rPr>
                <w:rFonts w:ascii="宋体" w:hAnsi="宋体"/>
                <w:sz w:val="18"/>
              </w:rPr>
              <w:t>产妇、儿童系统管理，集体、散居儿童保健、营养指导、结核病控制项目、慢性病、老年病和精神卫生、美沙</w:t>
            </w:r>
            <w:proofErr w:type="gramStart"/>
            <w:r>
              <w:rPr>
                <w:rFonts w:ascii="宋体" w:hAnsi="宋体"/>
                <w:sz w:val="18"/>
              </w:rPr>
              <w:t>酮维持</w:t>
            </w:r>
            <w:proofErr w:type="gramEnd"/>
            <w:r>
              <w:rPr>
                <w:rFonts w:ascii="宋体" w:hAnsi="宋体"/>
                <w:sz w:val="18"/>
              </w:rPr>
              <w:t>治疗以及米东区鼠疫防治工作，截止2023年底，各项工作均已达到预定目标值。</w:t>
            </w:r>
          </w:p>
        </w:tc>
        <w:tc>
          <w:tcPr>
            <w:tcW w:w="284" w:type="dxa"/>
            <w:tcBorders>
              <w:top w:val="nil"/>
              <w:left w:val="nil"/>
              <w:bottom w:val="nil"/>
              <w:right w:val="nil"/>
            </w:tcBorders>
            <w:shd w:val="clear" w:color="auto" w:fill="auto"/>
            <w:noWrap/>
            <w:vAlign w:val="center"/>
          </w:tcPr>
          <w:p w14:paraId="0C06B913" w14:textId="77777777" w:rsidR="00A16838" w:rsidRDefault="00A16838">
            <w:pPr>
              <w:widowControl/>
              <w:jc w:val="left"/>
              <w:rPr>
                <w:rFonts w:ascii="宋体" w:hAnsi="宋体" w:cs="宋体" w:hint="eastAsia"/>
                <w:kern w:val="0"/>
                <w:sz w:val="18"/>
                <w:szCs w:val="18"/>
              </w:rPr>
            </w:pPr>
          </w:p>
        </w:tc>
      </w:tr>
      <w:tr w:rsidR="00A16838" w14:paraId="3FE619B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CAD8030"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71B862F"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15F77D43"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528D320E"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0DC61E34"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04815F93"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723C4418"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D0D47AE" w14:textId="77777777" w:rsidR="00A168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1839489" w14:textId="77777777" w:rsidR="00A16838" w:rsidRDefault="00A16838">
            <w:pPr>
              <w:widowControl/>
              <w:jc w:val="left"/>
              <w:rPr>
                <w:rFonts w:ascii="宋体" w:hAnsi="宋体" w:cs="宋体" w:hint="eastAsia"/>
                <w:b/>
                <w:bCs/>
                <w:kern w:val="0"/>
                <w:sz w:val="18"/>
                <w:szCs w:val="18"/>
              </w:rPr>
            </w:pPr>
          </w:p>
        </w:tc>
      </w:tr>
      <w:tr w:rsidR="00A16838" w14:paraId="1D96DDB1"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497E7" w14:textId="77777777" w:rsidR="00A16838" w:rsidRDefault="00000000">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08F47BBF" w14:textId="77777777" w:rsidR="00A16838"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63C078F" w14:textId="77777777" w:rsidR="00A16838" w:rsidRDefault="00000000">
            <w:pPr>
              <w:jc w:val="center"/>
            </w:pPr>
            <w:r>
              <w:rPr>
                <w:rFonts w:ascii="宋体" w:hAnsi="宋体"/>
                <w:sz w:val="18"/>
              </w:rPr>
              <w:t>全区慢病患者规范管理率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67FAC320" w14:textId="77777777" w:rsidR="00A16838" w:rsidRDefault="00000000">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1A1C9C16" w14:textId="77777777" w:rsidR="00A16838" w:rsidRDefault="00000000">
            <w:pPr>
              <w:jc w:val="center"/>
            </w:pPr>
            <w:r>
              <w:rPr>
                <w:rFonts w:ascii="宋体" w:hAnsi="宋体"/>
                <w:sz w:val="18"/>
              </w:rPr>
              <w:t>国家基本公共卫生服务规范（第三版）</w:t>
            </w:r>
          </w:p>
        </w:tc>
        <w:tc>
          <w:tcPr>
            <w:tcW w:w="1004" w:type="dxa"/>
            <w:tcBorders>
              <w:top w:val="nil"/>
              <w:left w:val="nil"/>
              <w:bottom w:val="single" w:sz="4" w:space="0" w:color="auto"/>
              <w:right w:val="single" w:sz="4" w:space="0" w:color="auto"/>
            </w:tcBorders>
            <w:shd w:val="clear" w:color="auto" w:fill="auto"/>
            <w:noWrap/>
            <w:vAlign w:val="center"/>
          </w:tcPr>
          <w:p w14:paraId="569CBC53" w14:textId="77777777" w:rsidR="00A16838" w:rsidRDefault="00000000">
            <w:pPr>
              <w:jc w:val="center"/>
            </w:pPr>
            <w:r>
              <w:rPr>
                <w:rFonts w:ascii="宋体" w:hAnsi="宋体"/>
                <w:sz w:val="18"/>
              </w:rPr>
              <w:t>62%</w:t>
            </w:r>
          </w:p>
        </w:tc>
        <w:tc>
          <w:tcPr>
            <w:tcW w:w="839" w:type="dxa"/>
            <w:tcBorders>
              <w:top w:val="nil"/>
              <w:left w:val="nil"/>
              <w:bottom w:val="single" w:sz="4" w:space="0" w:color="auto"/>
              <w:right w:val="single" w:sz="4" w:space="0" w:color="auto"/>
            </w:tcBorders>
            <w:shd w:val="clear" w:color="auto" w:fill="auto"/>
            <w:noWrap/>
            <w:vAlign w:val="center"/>
          </w:tcPr>
          <w:p w14:paraId="55F1AF2B" w14:textId="77777777" w:rsidR="00A16838"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3D9D77E" w14:textId="77777777" w:rsidR="00A16838"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72CD291" w14:textId="77777777" w:rsidR="00A16838" w:rsidRDefault="00A16838">
            <w:pPr>
              <w:widowControl/>
              <w:jc w:val="center"/>
              <w:rPr>
                <w:rFonts w:ascii="宋体" w:hAnsi="宋体" w:cs="宋体" w:hint="eastAsia"/>
                <w:kern w:val="0"/>
                <w:sz w:val="18"/>
                <w:szCs w:val="18"/>
              </w:rPr>
            </w:pPr>
          </w:p>
        </w:tc>
      </w:tr>
      <w:tr w:rsidR="00A16838" w14:paraId="7FE71EE9"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FC3A10C" w14:textId="77777777" w:rsidR="00A16838" w:rsidRDefault="00000000">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4F0629B7" w14:textId="77777777" w:rsidR="00A16838"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A7B41F3" w14:textId="77777777" w:rsidR="00A16838" w:rsidRDefault="00000000">
            <w:pPr>
              <w:jc w:val="center"/>
            </w:pPr>
            <w:r>
              <w:rPr>
                <w:rFonts w:ascii="宋体" w:hAnsi="宋体"/>
                <w:sz w:val="18"/>
              </w:rPr>
              <w:t>全区适龄儿童免疫规划疫苗接种率</w:t>
            </w:r>
          </w:p>
        </w:tc>
        <w:tc>
          <w:tcPr>
            <w:tcW w:w="1134" w:type="dxa"/>
            <w:tcBorders>
              <w:top w:val="nil"/>
              <w:left w:val="nil"/>
              <w:bottom w:val="single" w:sz="4" w:space="0" w:color="auto"/>
              <w:right w:val="single" w:sz="4" w:space="0" w:color="auto"/>
            </w:tcBorders>
            <w:shd w:val="clear" w:color="auto" w:fill="auto"/>
            <w:noWrap/>
            <w:vAlign w:val="center"/>
          </w:tcPr>
          <w:p w14:paraId="259DD368" w14:textId="77777777" w:rsidR="00A16838" w:rsidRDefault="00000000">
            <w:pPr>
              <w:jc w:val="center"/>
            </w:pPr>
            <w:r>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32C4053D" w14:textId="77777777" w:rsidR="00A16838" w:rsidRDefault="00000000">
            <w:pPr>
              <w:jc w:val="center"/>
            </w:pPr>
            <w:r>
              <w:rPr>
                <w:rFonts w:ascii="宋体" w:hAnsi="宋体"/>
                <w:sz w:val="18"/>
              </w:rPr>
              <w:t>关于印发自治区2023年国家免疫规划疫苗接种率调查工作实施方案的通知</w:t>
            </w:r>
          </w:p>
        </w:tc>
        <w:tc>
          <w:tcPr>
            <w:tcW w:w="1004" w:type="dxa"/>
            <w:tcBorders>
              <w:top w:val="nil"/>
              <w:left w:val="nil"/>
              <w:bottom w:val="single" w:sz="4" w:space="0" w:color="auto"/>
              <w:right w:val="single" w:sz="4" w:space="0" w:color="auto"/>
            </w:tcBorders>
            <w:shd w:val="clear" w:color="auto" w:fill="auto"/>
            <w:noWrap/>
            <w:vAlign w:val="center"/>
          </w:tcPr>
          <w:p w14:paraId="2509C170" w14:textId="77777777" w:rsidR="00A16838" w:rsidRDefault="00000000">
            <w:pPr>
              <w:jc w:val="center"/>
            </w:pPr>
            <w:r>
              <w:rPr>
                <w:rFonts w:ascii="宋体" w:hAnsi="宋体"/>
                <w:sz w:val="18"/>
              </w:rPr>
              <w:t>95%</w:t>
            </w:r>
          </w:p>
        </w:tc>
        <w:tc>
          <w:tcPr>
            <w:tcW w:w="839" w:type="dxa"/>
            <w:tcBorders>
              <w:top w:val="nil"/>
              <w:left w:val="nil"/>
              <w:bottom w:val="single" w:sz="4" w:space="0" w:color="auto"/>
              <w:right w:val="single" w:sz="4" w:space="0" w:color="auto"/>
            </w:tcBorders>
            <w:shd w:val="clear" w:color="auto" w:fill="auto"/>
            <w:noWrap/>
            <w:vAlign w:val="center"/>
          </w:tcPr>
          <w:p w14:paraId="024EBC15" w14:textId="77777777" w:rsidR="00A16838" w:rsidRDefault="00000000">
            <w:pPr>
              <w:jc w:val="center"/>
            </w:pPr>
            <w:r>
              <w:rPr>
                <w:rFonts w:ascii="宋体" w:hAnsi="宋体"/>
                <w:sz w:val="18"/>
              </w:rPr>
              <w:t>35</w:t>
            </w:r>
          </w:p>
        </w:tc>
        <w:tc>
          <w:tcPr>
            <w:tcW w:w="720" w:type="dxa"/>
            <w:tcBorders>
              <w:top w:val="nil"/>
              <w:left w:val="nil"/>
              <w:bottom w:val="single" w:sz="4" w:space="0" w:color="auto"/>
              <w:right w:val="single" w:sz="4" w:space="0" w:color="auto"/>
            </w:tcBorders>
            <w:shd w:val="clear" w:color="auto" w:fill="auto"/>
            <w:noWrap/>
            <w:vAlign w:val="center"/>
          </w:tcPr>
          <w:p w14:paraId="219235AA" w14:textId="77777777" w:rsidR="00A16838" w:rsidRDefault="00000000">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012191E8" w14:textId="77777777" w:rsidR="00A16838" w:rsidRDefault="00A16838">
            <w:pPr>
              <w:widowControl/>
              <w:jc w:val="center"/>
              <w:rPr>
                <w:rFonts w:ascii="宋体" w:hAnsi="宋体" w:cs="宋体" w:hint="eastAsia"/>
                <w:kern w:val="0"/>
                <w:sz w:val="18"/>
                <w:szCs w:val="18"/>
              </w:rPr>
            </w:pPr>
          </w:p>
        </w:tc>
      </w:tr>
      <w:tr w:rsidR="00A16838" w14:paraId="71C2A2C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99C23C" w14:textId="77777777" w:rsidR="00A16838" w:rsidRDefault="00A16838">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5BD6B44" w14:textId="77777777" w:rsidR="00A16838"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EC8BFA8" w14:textId="77777777" w:rsidR="00A16838" w:rsidRDefault="00000000">
            <w:pPr>
              <w:jc w:val="center"/>
            </w:pPr>
            <w:r>
              <w:rPr>
                <w:rFonts w:ascii="宋体" w:hAnsi="宋体"/>
                <w:sz w:val="18"/>
              </w:rPr>
              <w:t>传染病及突发公共卫生事件报告率</w:t>
            </w:r>
          </w:p>
        </w:tc>
        <w:tc>
          <w:tcPr>
            <w:tcW w:w="1134" w:type="dxa"/>
            <w:tcBorders>
              <w:top w:val="nil"/>
              <w:left w:val="nil"/>
              <w:bottom w:val="single" w:sz="4" w:space="0" w:color="auto"/>
              <w:right w:val="single" w:sz="4" w:space="0" w:color="auto"/>
            </w:tcBorders>
            <w:shd w:val="clear" w:color="auto" w:fill="auto"/>
            <w:noWrap/>
            <w:vAlign w:val="center"/>
          </w:tcPr>
          <w:p w14:paraId="066D7377" w14:textId="77777777" w:rsidR="00A16838"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2FF35122" w14:textId="77777777" w:rsidR="00A16838" w:rsidRDefault="00000000">
            <w:pPr>
              <w:jc w:val="center"/>
            </w:pPr>
            <w:r>
              <w:rPr>
                <w:rFonts w:ascii="宋体" w:hAnsi="宋体"/>
                <w:sz w:val="18"/>
              </w:rPr>
              <w:t>国家基本公共卫生服务规范（第三版））</w:t>
            </w:r>
          </w:p>
        </w:tc>
        <w:tc>
          <w:tcPr>
            <w:tcW w:w="1004" w:type="dxa"/>
            <w:tcBorders>
              <w:top w:val="nil"/>
              <w:left w:val="nil"/>
              <w:bottom w:val="single" w:sz="4" w:space="0" w:color="auto"/>
              <w:right w:val="single" w:sz="4" w:space="0" w:color="auto"/>
            </w:tcBorders>
            <w:shd w:val="clear" w:color="auto" w:fill="auto"/>
            <w:noWrap/>
            <w:vAlign w:val="center"/>
          </w:tcPr>
          <w:p w14:paraId="247C41F8" w14:textId="77777777" w:rsidR="00A16838"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4DFB9EE9" w14:textId="77777777" w:rsidR="00A16838" w:rsidRDefault="00000000">
            <w:pPr>
              <w:jc w:val="center"/>
            </w:pPr>
            <w:r>
              <w:rPr>
                <w:rFonts w:ascii="宋体" w:hAnsi="宋体"/>
                <w:sz w:val="18"/>
              </w:rPr>
              <w:t>35</w:t>
            </w:r>
          </w:p>
        </w:tc>
        <w:tc>
          <w:tcPr>
            <w:tcW w:w="720" w:type="dxa"/>
            <w:tcBorders>
              <w:top w:val="nil"/>
              <w:left w:val="nil"/>
              <w:bottom w:val="single" w:sz="4" w:space="0" w:color="auto"/>
              <w:right w:val="single" w:sz="4" w:space="0" w:color="auto"/>
            </w:tcBorders>
            <w:shd w:val="clear" w:color="auto" w:fill="auto"/>
            <w:noWrap/>
            <w:vAlign w:val="center"/>
          </w:tcPr>
          <w:p w14:paraId="490C25FD" w14:textId="77777777" w:rsidR="00A16838" w:rsidRDefault="00000000">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721A307A" w14:textId="77777777" w:rsidR="00A16838" w:rsidRDefault="00A16838">
            <w:pPr>
              <w:widowControl/>
              <w:jc w:val="center"/>
              <w:rPr>
                <w:rFonts w:ascii="宋体" w:hAnsi="宋体" w:cs="宋体" w:hint="eastAsia"/>
                <w:kern w:val="0"/>
                <w:sz w:val="18"/>
                <w:szCs w:val="18"/>
              </w:rPr>
            </w:pPr>
          </w:p>
        </w:tc>
      </w:tr>
      <w:tr w:rsidR="00A16838" w14:paraId="254C8DC4"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2EC23EE" w14:textId="77777777" w:rsidR="00A16838"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82B47BD" w14:textId="77777777" w:rsidR="00A16838"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F6BF52D" w14:textId="77777777" w:rsidR="00A16838" w:rsidRDefault="00000000">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tcPr>
          <w:p w14:paraId="2BA99F2F" w14:textId="77777777" w:rsidR="00A16838" w:rsidRDefault="00A16838">
            <w:pPr>
              <w:widowControl/>
              <w:jc w:val="left"/>
              <w:rPr>
                <w:rFonts w:ascii="宋体" w:hAnsi="宋体" w:cs="宋体" w:hint="eastAsia"/>
                <w:kern w:val="0"/>
                <w:sz w:val="18"/>
                <w:szCs w:val="18"/>
              </w:rPr>
            </w:pPr>
          </w:p>
        </w:tc>
      </w:tr>
    </w:tbl>
    <w:p w14:paraId="04E75AD1" w14:textId="77777777" w:rsidR="00A16838" w:rsidRDefault="00A16838">
      <w:pPr>
        <w:rPr>
          <w:rFonts w:ascii="宋体" w:hAnsi="宋体" w:cs="宋体" w:hint="eastAsia"/>
          <w:b/>
          <w:bCs/>
          <w:kern w:val="0"/>
          <w:sz w:val="18"/>
          <w:szCs w:val="18"/>
        </w:rPr>
      </w:pPr>
    </w:p>
    <w:p w14:paraId="3A93C9C2" w14:textId="77777777" w:rsidR="00A16838"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2AFFC67" w14:textId="77777777" w:rsidR="00A168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1006"/>
        <w:gridCol w:w="330"/>
        <w:gridCol w:w="1239"/>
        <w:gridCol w:w="1177"/>
        <w:gridCol w:w="1177"/>
        <w:gridCol w:w="358"/>
        <w:gridCol w:w="349"/>
        <w:gridCol w:w="340"/>
        <w:gridCol w:w="350"/>
        <w:gridCol w:w="634"/>
        <w:gridCol w:w="1417"/>
      </w:tblGrid>
      <w:tr w:rsidR="00A16838" w14:paraId="02059832" w14:textId="77777777">
        <w:trPr>
          <w:cantSplit/>
          <w:trHeight w:val="500"/>
        </w:trPr>
        <w:tc>
          <w:tcPr>
            <w:tcW w:w="1305" w:type="dxa"/>
            <w:gridSpan w:val="2"/>
            <w:shd w:val="clear" w:color="auto" w:fill="auto"/>
            <w:vAlign w:val="center"/>
          </w:tcPr>
          <w:p w14:paraId="4472EEF5"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shd w:val="clear" w:color="auto" w:fill="auto"/>
            <w:vAlign w:val="center"/>
          </w:tcPr>
          <w:p w14:paraId="08460A4B" w14:textId="77777777" w:rsidR="00A16838" w:rsidRDefault="00000000">
            <w:pPr>
              <w:jc w:val="center"/>
            </w:pPr>
            <w:proofErr w:type="gramStart"/>
            <w:r>
              <w:rPr>
                <w:rFonts w:ascii="宋体" w:hAnsi="宋体"/>
                <w:sz w:val="18"/>
              </w:rPr>
              <w:t>乌财社</w:t>
            </w:r>
            <w:proofErr w:type="gramEnd"/>
            <w:r>
              <w:rPr>
                <w:rFonts w:ascii="宋体" w:hAnsi="宋体"/>
                <w:sz w:val="18"/>
              </w:rPr>
              <w:t>[2023]135号2023年中央基本公共卫生服务补助资金（直达资金）{第二批}</w:t>
            </w:r>
          </w:p>
        </w:tc>
      </w:tr>
      <w:tr w:rsidR="00A16838" w14:paraId="6A9CB6E0" w14:textId="77777777">
        <w:trPr>
          <w:cantSplit/>
          <w:trHeight w:val="500"/>
        </w:trPr>
        <w:tc>
          <w:tcPr>
            <w:tcW w:w="1305" w:type="dxa"/>
            <w:gridSpan w:val="2"/>
            <w:shd w:val="clear" w:color="auto" w:fill="auto"/>
            <w:vAlign w:val="center"/>
          </w:tcPr>
          <w:p w14:paraId="2BAC6B71"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shd w:val="clear" w:color="auto" w:fill="auto"/>
            <w:vAlign w:val="center"/>
          </w:tcPr>
          <w:p w14:paraId="10A28727" w14:textId="77777777" w:rsidR="00A16838" w:rsidRDefault="00000000">
            <w:pPr>
              <w:jc w:val="center"/>
            </w:pPr>
            <w:r>
              <w:rPr>
                <w:rFonts w:ascii="宋体" w:hAnsi="宋体"/>
                <w:sz w:val="18"/>
              </w:rPr>
              <w:t>乌鲁木齐市米东区卫生健康委员会</w:t>
            </w:r>
          </w:p>
        </w:tc>
        <w:tc>
          <w:tcPr>
            <w:tcW w:w="1177" w:type="dxa"/>
            <w:shd w:val="clear" w:color="auto" w:fill="auto"/>
            <w:vAlign w:val="center"/>
          </w:tcPr>
          <w:p w14:paraId="46279705"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shd w:val="clear" w:color="auto" w:fill="auto"/>
            <w:vAlign w:val="center"/>
          </w:tcPr>
          <w:p w14:paraId="77D968F7" w14:textId="77777777" w:rsidR="00A16838" w:rsidRDefault="00000000">
            <w:pPr>
              <w:jc w:val="center"/>
            </w:pPr>
            <w:proofErr w:type="gramStart"/>
            <w:r>
              <w:rPr>
                <w:rFonts w:ascii="宋体" w:hAnsi="宋体"/>
                <w:sz w:val="18"/>
              </w:rPr>
              <w:t>米东疾病</w:t>
            </w:r>
            <w:proofErr w:type="gramEnd"/>
            <w:r>
              <w:rPr>
                <w:rFonts w:ascii="宋体" w:hAnsi="宋体"/>
                <w:sz w:val="18"/>
              </w:rPr>
              <w:t>控制中心</w:t>
            </w:r>
          </w:p>
        </w:tc>
      </w:tr>
      <w:tr w:rsidR="00A16838" w14:paraId="17BF2A62" w14:textId="77777777">
        <w:trPr>
          <w:cantSplit/>
          <w:trHeight w:val="500"/>
        </w:trPr>
        <w:tc>
          <w:tcPr>
            <w:tcW w:w="1305" w:type="dxa"/>
            <w:gridSpan w:val="2"/>
            <w:vMerge w:val="restart"/>
            <w:shd w:val="clear" w:color="auto" w:fill="auto"/>
            <w:vAlign w:val="center"/>
          </w:tcPr>
          <w:p w14:paraId="1920A5FD"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shd w:val="clear" w:color="auto" w:fill="auto"/>
            <w:vAlign w:val="center"/>
          </w:tcPr>
          <w:p w14:paraId="148CA2FF" w14:textId="77777777" w:rsidR="00A16838" w:rsidRDefault="00A16838">
            <w:pPr>
              <w:widowControl/>
              <w:jc w:val="center"/>
              <w:rPr>
                <w:rFonts w:ascii="宋体" w:hAnsi="宋体" w:cs="宋体" w:hint="eastAsia"/>
                <w:color w:val="000000"/>
                <w:kern w:val="0"/>
                <w:sz w:val="18"/>
                <w:szCs w:val="18"/>
              </w:rPr>
            </w:pPr>
          </w:p>
        </w:tc>
        <w:tc>
          <w:tcPr>
            <w:tcW w:w="1239" w:type="dxa"/>
            <w:shd w:val="clear" w:color="auto" w:fill="auto"/>
            <w:vAlign w:val="center"/>
          </w:tcPr>
          <w:p w14:paraId="7255BA12"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shd w:val="clear" w:color="auto" w:fill="auto"/>
            <w:vAlign w:val="center"/>
          </w:tcPr>
          <w:p w14:paraId="5DD02F89"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shd w:val="clear" w:color="auto" w:fill="auto"/>
            <w:vAlign w:val="center"/>
          </w:tcPr>
          <w:p w14:paraId="16BC834C"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shd w:val="clear" w:color="auto" w:fill="auto"/>
            <w:vAlign w:val="center"/>
          </w:tcPr>
          <w:p w14:paraId="5905BCFF"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shd w:val="clear" w:color="auto" w:fill="auto"/>
            <w:vAlign w:val="center"/>
          </w:tcPr>
          <w:p w14:paraId="4C3059EE"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shd w:val="clear" w:color="auto" w:fill="auto"/>
            <w:vAlign w:val="center"/>
          </w:tcPr>
          <w:p w14:paraId="75F6CA63"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16838" w14:paraId="3F5137FF" w14:textId="77777777">
        <w:trPr>
          <w:cantSplit/>
          <w:trHeight w:val="500"/>
        </w:trPr>
        <w:tc>
          <w:tcPr>
            <w:tcW w:w="1305" w:type="dxa"/>
            <w:gridSpan w:val="2"/>
            <w:vMerge/>
            <w:vAlign w:val="center"/>
          </w:tcPr>
          <w:p w14:paraId="1BC9B32B" w14:textId="77777777" w:rsidR="00A16838" w:rsidRDefault="00A16838">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23EB29A0"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shd w:val="clear" w:color="auto" w:fill="auto"/>
            <w:noWrap/>
            <w:vAlign w:val="center"/>
          </w:tcPr>
          <w:p w14:paraId="0FA8B106" w14:textId="77777777" w:rsidR="00A16838" w:rsidRDefault="00000000">
            <w:pPr>
              <w:jc w:val="center"/>
            </w:pPr>
            <w:r>
              <w:rPr>
                <w:rFonts w:ascii="宋体" w:hAnsi="宋体"/>
                <w:sz w:val="18"/>
              </w:rPr>
              <w:t>33.80</w:t>
            </w:r>
          </w:p>
        </w:tc>
        <w:tc>
          <w:tcPr>
            <w:tcW w:w="1177" w:type="dxa"/>
            <w:shd w:val="clear" w:color="auto" w:fill="auto"/>
            <w:noWrap/>
            <w:vAlign w:val="center"/>
          </w:tcPr>
          <w:p w14:paraId="559BFB1C" w14:textId="77777777" w:rsidR="00A16838" w:rsidRDefault="00000000">
            <w:pPr>
              <w:jc w:val="center"/>
            </w:pPr>
            <w:r>
              <w:rPr>
                <w:rFonts w:ascii="宋体" w:hAnsi="宋体"/>
                <w:sz w:val="18"/>
              </w:rPr>
              <w:t>33.80</w:t>
            </w:r>
          </w:p>
        </w:tc>
        <w:tc>
          <w:tcPr>
            <w:tcW w:w="1535" w:type="dxa"/>
            <w:gridSpan w:val="2"/>
            <w:shd w:val="clear" w:color="auto" w:fill="auto"/>
            <w:noWrap/>
            <w:vAlign w:val="center"/>
          </w:tcPr>
          <w:p w14:paraId="5BFD4965" w14:textId="77777777" w:rsidR="00A16838" w:rsidRDefault="00000000">
            <w:pPr>
              <w:jc w:val="center"/>
            </w:pPr>
            <w:r>
              <w:rPr>
                <w:rFonts w:ascii="宋体" w:hAnsi="宋体"/>
                <w:sz w:val="18"/>
              </w:rPr>
              <w:t>11.61</w:t>
            </w:r>
          </w:p>
        </w:tc>
        <w:tc>
          <w:tcPr>
            <w:tcW w:w="689" w:type="dxa"/>
            <w:gridSpan w:val="2"/>
            <w:shd w:val="clear" w:color="auto" w:fill="auto"/>
            <w:vAlign w:val="center"/>
          </w:tcPr>
          <w:p w14:paraId="1EF59AEF" w14:textId="77777777" w:rsidR="00A16838" w:rsidRDefault="00000000">
            <w:pPr>
              <w:jc w:val="center"/>
            </w:pPr>
            <w:r>
              <w:rPr>
                <w:rFonts w:ascii="宋体" w:hAnsi="宋体"/>
                <w:sz w:val="18"/>
              </w:rPr>
              <w:t>10</w:t>
            </w:r>
          </w:p>
        </w:tc>
        <w:tc>
          <w:tcPr>
            <w:tcW w:w="984" w:type="dxa"/>
            <w:gridSpan w:val="2"/>
            <w:shd w:val="clear" w:color="auto" w:fill="auto"/>
            <w:vAlign w:val="center"/>
          </w:tcPr>
          <w:p w14:paraId="4F45843C" w14:textId="77777777" w:rsidR="00A16838" w:rsidRDefault="00000000">
            <w:pPr>
              <w:jc w:val="center"/>
            </w:pPr>
            <w:r>
              <w:rPr>
                <w:rFonts w:ascii="宋体" w:hAnsi="宋体"/>
                <w:sz w:val="18"/>
              </w:rPr>
              <w:t>34.35%</w:t>
            </w:r>
          </w:p>
        </w:tc>
        <w:tc>
          <w:tcPr>
            <w:tcW w:w="1417" w:type="dxa"/>
            <w:shd w:val="clear" w:color="auto" w:fill="auto"/>
            <w:vAlign w:val="center"/>
          </w:tcPr>
          <w:p w14:paraId="38EEE197" w14:textId="77777777" w:rsidR="00A16838" w:rsidRDefault="00000000">
            <w:pPr>
              <w:jc w:val="center"/>
            </w:pPr>
            <w:r>
              <w:rPr>
                <w:rFonts w:ascii="宋体" w:hAnsi="宋体"/>
                <w:sz w:val="18"/>
              </w:rPr>
              <w:t>3.44分</w:t>
            </w:r>
          </w:p>
        </w:tc>
      </w:tr>
      <w:tr w:rsidR="00A16838" w14:paraId="2D6D687E" w14:textId="77777777">
        <w:trPr>
          <w:cantSplit/>
          <w:trHeight w:val="500"/>
        </w:trPr>
        <w:tc>
          <w:tcPr>
            <w:tcW w:w="1305" w:type="dxa"/>
            <w:gridSpan w:val="2"/>
            <w:vMerge/>
            <w:vAlign w:val="center"/>
          </w:tcPr>
          <w:p w14:paraId="29DDF8D2" w14:textId="77777777" w:rsidR="00A16838" w:rsidRDefault="00A16838">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439F5932"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532DA2E3" w14:textId="77777777" w:rsidR="00A16838" w:rsidRDefault="00000000">
            <w:pPr>
              <w:jc w:val="center"/>
            </w:pPr>
            <w:r>
              <w:rPr>
                <w:rFonts w:ascii="宋体" w:hAnsi="宋体"/>
                <w:sz w:val="18"/>
              </w:rPr>
              <w:t>33.80</w:t>
            </w:r>
          </w:p>
        </w:tc>
        <w:tc>
          <w:tcPr>
            <w:tcW w:w="1177" w:type="dxa"/>
            <w:shd w:val="clear" w:color="auto" w:fill="auto"/>
            <w:noWrap/>
            <w:vAlign w:val="center"/>
          </w:tcPr>
          <w:p w14:paraId="18CEC27F" w14:textId="77777777" w:rsidR="00A16838" w:rsidRDefault="00000000">
            <w:pPr>
              <w:jc w:val="center"/>
            </w:pPr>
            <w:r>
              <w:rPr>
                <w:rFonts w:ascii="宋体" w:hAnsi="宋体"/>
                <w:sz w:val="18"/>
              </w:rPr>
              <w:t>33.80</w:t>
            </w:r>
          </w:p>
        </w:tc>
        <w:tc>
          <w:tcPr>
            <w:tcW w:w="1535" w:type="dxa"/>
            <w:gridSpan w:val="2"/>
            <w:shd w:val="clear" w:color="auto" w:fill="auto"/>
            <w:noWrap/>
            <w:vAlign w:val="center"/>
          </w:tcPr>
          <w:p w14:paraId="4F08486B" w14:textId="77777777" w:rsidR="00A16838" w:rsidRDefault="00000000">
            <w:pPr>
              <w:jc w:val="center"/>
            </w:pPr>
            <w:r>
              <w:rPr>
                <w:rFonts w:ascii="宋体" w:hAnsi="宋体"/>
                <w:sz w:val="18"/>
              </w:rPr>
              <w:t>11.61</w:t>
            </w:r>
          </w:p>
        </w:tc>
        <w:tc>
          <w:tcPr>
            <w:tcW w:w="689" w:type="dxa"/>
            <w:gridSpan w:val="2"/>
            <w:shd w:val="clear" w:color="auto" w:fill="auto"/>
            <w:vAlign w:val="center"/>
          </w:tcPr>
          <w:p w14:paraId="0BCF1940" w14:textId="77777777" w:rsidR="00A168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230860B4" w14:textId="77777777" w:rsidR="00A168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13729290" w14:textId="77777777" w:rsidR="00A168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16838" w14:paraId="0B64385D" w14:textId="77777777">
        <w:trPr>
          <w:cantSplit/>
          <w:trHeight w:val="500"/>
        </w:trPr>
        <w:tc>
          <w:tcPr>
            <w:tcW w:w="1305" w:type="dxa"/>
            <w:gridSpan w:val="2"/>
            <w:vMerge/>
            <w:vAlign w:val="center"/>
          </w:tcPr>
          <w:p w14:paraId="594E7CDE" w14:textId="77777777" w:rsidR="00A16838" w:rsidRDefault="00A16838">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33193B59"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shd w:val="clear" w:color="auto" w:fill="auto"/>
            <w:noWrap/>
            <w:vAlign w:val="center"/>
          </w:tcPr>
          <w:p w14:paraId="6A0691FB" w14:textId="77777777" w:rsidR="00A16838" w:rsidRDefault="00000000">
            <w:pPr>
              <w:jc w:val="center"/>
            </w:pPr>
            <w:r>
              <w:rPr>
                <w:rFonts w:ascii="宋体" w:hAnsi="宋体"/>
                <w:sz w:val="18"/>
              </w:rPr>
              <w:t>0.00</w:t>
            </w:r>
          </w:p>
        </w:tc>
        <w:tc>
          <w:tcPr>
            <w:tcW w:w="1177" w:type="dxa"/>
            <w:shd w:val="clear" w:color="auto" w:fill="auto"/>
            <w:noWrap/>
            <w:vAlign w:val="center"/>
          </w:tcPr>
          <w:p w14:paraId="191B436C" w14:textId="77777777" w:rsidR="00A16838" w:rsidRDefault="00000000">
            <w:pPr>
              <w:jc w:val="center"/>
            </w:pPr>
            <w:r>
              <w:rPr>
                <w:rFonts w:ascii="宋体" w:hAnsi="宋体"/>
                <w:sz w:val="18"/>
              </w:rPr>
              <w:t>0.00</w:t>
            </w:r>
          </w:p>
        </w:tc>
        <w:tc>
          <w:tcPr>
            <w:tcW w:w="1535" w:type="dxa"/>
            <w:gridSpan w:val="2"/>
            <w:shd w:val="clear" w:color="auto" w:fill="auto"/>
            <w:noWrap/>
            <w:vAlign w:val="center"/>
          </w:tcPr>
          <w:p w14:paraId="45F635AA" w14:textId="77777777" w:rsidR="00A16838" w:rsidRDefault="00000000">
            <w:pPr>
              <w:jc w:val="center"/>
            </w:pPr>
            <w:r>
              <w:rPr>
                <w:rFonts w:ascii="宋体" w:hAnsi="宋体"/>
                <w:sz w:val="18"/>
              </w:rPr>
              <w:t>0.00</w:t>
            </w:r>
          </w:p>
        </w:tc>
        <w:tc>
          <w:tcPr>
            <w:tcW w:w="689" w:type="dxa"/>
            <w:gridSpan w:val="2"/>
            <w:shd w:val="clear" w:color="auto" w:fill="auto"/>
            <w:vAlign w:val="center"/>
          </w:tcPr>
          <w:p w14:paraId="117593C7" w14:textId="77777777" w:rsidR="00A168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66B2E4AD" w14:textId="77777777" w:rsidR="00A168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77FBA134" w14:textId="77777777" w:rsidR="00A168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16838" w14:paraId="28907702" w14:textId="77777777">
        <w:trPr>
          <w:cantSplit/>
          <w:trHeight w:val="500"/>
        </w:trPr>
        <w:tc>
          <w:tcPr>
            <w:tcW w:w="598" w:type="dxa"/>
            <w:vMerge w:val="restart"/>
            <w:shd w:val="clear" w:color="auto" w:fill="auto"/>
            <w:vAlign w:val="center"/>
          </w:tcPr>
          <w:p w14:paraId="1ED2EDA0"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shd w:val="clear" w:color="auto" w:fill="auto"/>
            <w:vAlign w:val="center"/>
          </w:tcPr>
          <w:p w14:paraId="1CF2E28D"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shd w:val="clear" w:color="auto" w:fill="auto"/>
            <w:vAlign w:val="center"/>
          </w:tcPr>
          <w:p w14:paraId="2CEA0361"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16838" w14:paraId="7C2386E5" w14:textId="77777777">
        <w:trPr>
          <w:cantSplit/>
          <w:trHeight w:val="703"/>
        </w:trPr>
        <w:tc>
          <w:tcPr>
            <w:tcW w:w="598" w:type="dxa"/>
            <w:vMerge/>
            <w:vAlign w:val="center"/>
          </w:tcPr>
          <w:p w14:paraId="4932483D" w14:textId="77777777" w:rsidR="00A16838" w:rsidRDefault="00A16838">
            <w:pPr>
              <w:widowControl/>
              <w:jc w:val="left"/>
              <w:rPr>
                <w:rFonts w:ascii="宋体" w:hAnsi="宋体" w:cs="宋体" w:hint="eastAsia"/>
                <w:color w:val="000000"/>
                <w:kern w:val="0"/>
                <w:sz w:val="18"/>
                <w:szCs w:val="18"/>
              </w:rPr>
            </w:pPr>
          </w:p>
        </w:tc>
        <w:tc>
          <w:tcPr>
            <w:tcW w:w="4459" w:type="dxa"/>
            <w:gridSpan w:val="5"/>
            <w:shd w:val="clear" w:color="auto" w:fill="auto"/>
          </w:tcPr>
          <w:p w14:paraId="290A3510" w14:textId="77777777" w:rsidR="00A16838" w:rsidRDefault="00000000">
            <w:pPr>
              <w:jc w:val="left"/>
            </w:pPr>
            <w:r>
              <w:rPr>
                <w:rFonts w:ascii="宋体" w:hAnsi="宋体"/>
                <w:sz w:val="18"/>
              </w:rPr>
              <w:t>全面开展地方病防治，落实重点病区，重点人群和重点地方病防治措施，适时采取应急预防对现症患者的救治措施。</w:t>
            </w:r>
          </w:p>
        </w:tc>
        <w:tc>
          <w:tcPr>
            <w:tcW w:w="4625" w:type="dxa"/>
            <w:gridSpan w:val="7"/>
            <w:shd w:val="clear" w:color="auto" w:fill="auto"/>
          </w:tcPr>
          <w:p w14:paraId="07A265AE" w14:textId="77777777" w:rsidR="00A16838" w:rsidRDefault="00000000">
            <w:pPr>
              <w:jc w:val="left"/>
            </w:pPr>
            <w:r>
              <w:rPr>
                <w:rFonts w:ascii="宋体" w:hAnsi="宋体"/>
                <w:sz w:val="18"/>
              </w:rPr>
              <w:t>完成学生体检240人，氟斑牙检测率100%。</w:t>
            </w:r>
          </w:p>
        </w:tc>
      </w:tr>
      <w:tr w:rsidR="00A16838" w14:paraId="4B6F9911" w14:textId="77777777" w:rsidTr="00203280">
        <w:trPr>
          <w:cantSplit/>
          <w:trHeight w:val="312"/>
        </w:trPr>
        <w:tc>
          <w:tcPr>
            <w:tcW w:w="598" w:type="dxa"/>
            <w:vMerge w:val="restart"/>
            <w:shd w:val="clear" w:color="auto" w:fill="auto"/>
            <w:vAlign w:val="center"/>
          </w:tcPr>
          <w:p w14:paraId="79FAF25A" w14:textId="77777777" w:rsidR="00A16838" w:rsidRDefault="00A16838">
            <w:pPr>
              <w:widowControl/>
              <w:jc w:val="center"/>
              <w:rPr>
                <w:rFonts w:ascii="宋体" w:hAnsi="宋体" w:cs="宋体" w:hint="eastAsia"/>
                <w:color w:val="000000"/>
                <w:kern w:val="0"/>
                <w:sz w:val="18"/>
                <w:szCs w:val="18"/>
              </w:rPr>
            </w:pPr>
          </w:p>
        </w:tc>
        <w:tc>
          <w:tcPr>
            <w:tcW w:w="707" w:type="dxa"/>
            <w:vMerge w:val="restart"/>
            <w:shd w:val="clear" w:color="auto" w:fill="auto"/>
            <w:vAlign w:val="center"/>
          </w:tcPr>
          <w:p w14:paraId="2B306DF1"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1006" w:type="dxa"/>
            <w:vMerge w:val="restart"/>
            <w:shd w:val="clear" w:color="auto" w:fill="auto"/>
            <w:vAlign w:val="center"/>
          </w:tcPr>
          <w:p w14:paraId="7BF68B24"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569" w:type="dxa"/>
            <w:gridSpan w:val="2"/>
            <w:vMerge w:val="restart"/>
            <w:shd w:val="clear" w:color="auto" w:fill="auto"/>
            <w:vAlign w:val="center"/>
          </w:tcPr>
          <w:p w14:paraId="3C44E70E"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shd w:val="clear" w:color="auto" w:fill="auto"/>
            <w:vAlign w:val="center"/>
          </w:tcPr>
          <w:p w14:paraId="3A60CB0B"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shd w:val="clear" w:color="auto" w:fill="auto"/>
            <w:vAlign w:val="center"/>
          </w:tcPr>
          <w:p w14:paraId="2E5A3F5C"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tcPr>
          <w:p w14:paraId="573D8882"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shd w:val="clear" w:color="auto" w:fill="auto"/>
            <w:vAlign w:val="center"/>
          </w:tcPr>
          <w:p w14:paraId="6EAAC621"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shd w:val="clear" w:color="auto" w:fill="auto"/>
            <w:vAlign w:val="center"/>
          </w:tcPr>
          <w:p w14:paraId="287FD733" w14:textId="77777777" w:rsidR="00A168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16838" w14:paraId="6100085D" w14:textId="77777777" w:rsidTr="00203280">
        <w:trPr>
          <w:cantSplit/>
          <w:trHeight w:val="345"/>
        </w:trPr>
        <w:tc>
          <w:tcPr>
            <w:tcW w:w="598" w:type="dxa"/>
            <w:vMerge/>
            <w:vAlign w:val="center"/>
          </w:tcPr>
          <w:p w14:paraId="134FFD57" w14:textId="77777777" w:rsidR="00A16838" w:rsidRDefault="00A16838">
            <w:pPr>
              <w:widowControl/>
              <w:jc w:val="left"/>
              <w:rPr>
                <w:rFonts w:ascii="宋体" w:hAnsi="宋体" w:cs="宋体" w:hint="eastAsia"/>
                <w:color w:val="000000"/>
                <w:kern w:val="0"/>
                <w:sz w:val="18"/>
                <w:szCs w:val="18"/>
              </w:rPr>
            </w:pPr>
          </w:p>
        </w:tc>
        <w:tc>
          <w:tcPr>
            <w:tcW w:w="707" w:type="dxa"/>
            <w:vMerge/>
            <w:vAlign w:val="center"/>
          </w:tcPr>
          <w:p w14:paraId="7EB6B61D" w14:textId="77777777" w:rsidR="00A16838" w:rsidRDefault="00A16838">
            <w:pPr>
              <w:widowControl/>
              <w:jc w:val="left"/>
              <w:rPr>
                <w:rFonts w:ascii="宋体" w:hAnsi="宋体" w:cs="宋体" w:hint="eastAsia"/>
                <w:color w:val="000000"/>
                <w:kern w:val="0"/>
                <w:sz w:val="18"/>
                <w:szCs w:val="18"/>
              </w:rPr>
            </w:pPr>
          </w:p>
        </w:tc>
        <w:tc>
          <w:tcPr>
            <w:tcW w:w="1006" w:type="dxa"/>
            <w:vMerge/>
            <w:vAlign w:val="center"/>
          </w:tcPr>
          <w:p w14:paraId="427569A0" w14:textId="77777777" w:rsidR="00A16838" w:rsidRDefault="00A16838">
            <w:pPr>
              <w:widowControl/>
              <w:jc w:val="left"/>
              <w:rPr>
                <w:rFonts w:ascii="宋体" w:hAnsi="宋体" w:cs="宋体" w:hint="eastAsia"/>
                <w:color w:val="000000"/>
                <w:kern w:val="0"/>
                <w:sz w:val="18"/>
                <w:szCs w:val="18"/>
              </w:rPr>
            </w:pPr>
          </w:p>
        </w:tc>
        <w:tc>
          <w:tcPr>
            <w:tcW w:w="1569" w:type="dxa"/>
            <w:gridSpan w:val="2"/>
            <w:vMerge/>
            <w:vAlign w:val="center"/>
          </w:tcPr>
          <w:p w14:paraId="2D61F8F7" w14:textId="77777777" w:rsidR="00A16838" w:rsidRDefault="00A16838">
            <w:pPr>
              <w:widowControl/>
              <w:jc w:val="left"/>
              <w:rPr>
                <w:rFonts w:ascii="宋体" w:hAnsi="宋体" w:cs="宋体" w:hint="eastAsia"/>
                <w:color w:val="000000"/>
                <w:kern w:val="0"/>
                <w:sz w:val="18"/>
                <w:szCs w:val="18"/>
              </w:rPr>
            </w:pPr>
          </w:p>
        </w:tc>
        <w:tc>
          <w:tcPr>
            <w:tcW w:w="1177" w:type="dxa"/>
            <w:vMerge/>
            <w:vAlign w:val="center"/>
          </w:tcPr>
          <w:p w14:paraId="2298ED68" w14:textId="77777777" w:rsidR="00A16838" w:rsidRDefault="00A16838">
            <w:pPr>
              <w:widowControl/>
              <w:jc w:val="left"/>
              <w:rPr>
                <w:rFonts w:ascii="宋体" w:hAnsi="宋体" w:cs="宋体" w:hint="eastAsia"/>
                <w:color w:val="000000"/>
                <w:kern w:val="0"/>
                <w:sz w:val="18"/>
                <w:szCs w:val="18"/>
              </w:rPr>
            </w:pPr>
          </w:p>
        </w:tc>
        <w:tc>
          <w:tcPr>
            <w:tcW w:w="1177" w:type="dxa"/>
            <w:vMerge/>
            <w:vAlign w:val="center"/>
          </w:tcPr>
          <w:p w14:paraId="5FD861CE" w14:textId="77777777" w:rsidR="00A16838" w:rsidRDefault="00A16838">
            <w:pPr>
              <w:widowControl/>
              <w:jc w:val="left"/>
              <w:rPr>
                <w:rFonts w:ascii="宋体" w:hAnsi="宋体" w:cs="宋体" w:hint="eastAsia"/>
                <w:color w:val="000000"/>
                <w:kern w:val="0"/>
                <w:sz w:val="18"/>
                <w:szCs w:val="18"/>
              </w:rPr>
            </w:pPr>
          </w:p>
        </w:tc>
        <w:tc>
          <w:tcPr>
            <w:tcW w:w="707" w:type="dxa"/>
            <w:gridSpan w:val="2"/>
            <w:vMerge/>
            <w:vAlign w:val="center"/>
          </w:tcPr>
          <w:p w14:paraId="0B2D106E" w14:textId="77777777" w:rsidR="00A16838" w:rsidRDefault="00A16838">
            <w:pPr>
              <w:widowControl/>
              <w:jc w:val="left"/>
              <w:rPr>
                <w:rFonts w:ascii="宋体" w:hAnsi="宋体" w:cs="宋体" w:hint="eastAsia"/>
                <w:color w:val="000000"/>
                <w:kern w:val="0"/>
                <w:sz w:val="18"/>
                <w:szCs w:val="18"/>
              </w:rPr>
            </w:pPr>
          </w:p>
        </w:tc>
        <w:tc>
          <w:tcPr>
            <w:tcW w:w="690" w:type="dxa"/>
            <w:gridSpan w:val="2"/>
            <w:vMerge/>
            <w:vAlign w:val="center"/>
          </w:tcPr>
          <w:p w14:paraId="5ADBF159" w14:textId="77777777" w:rsidR="00A16838" w:rsidRDefault="00A16838">
            <w:pPr>
              <w:widowControl/>
              <w:jc w:val="left"/>
              <w:rPr>
                <w:rFonts w:ascii="宋体" w:hAnsi="宋体" w:cs="宋体" w:hint="eastAsia"/>
                <w:color w:val="000000"/>
                <w:kern w:val="0"/>
                <w:sz w:val="18"/>
                <w:szCs w:val="18"/>
              </w:rPr>
            </w:pPr>
          </w:p>
        </w:tc>
        <w:tc>
          <w:tcPr>
            <w:tcW w:w="2051" w:type="dxa"/>
            <w:gridSpan w:val="2"/>
            <w:vMerge/>
            <w:vAlign w:val="center"/>
          </w:tcPr>
          <w:p w14:paraId="42C6D5AC" w14:textId="77777777" w:rsidR="00A16838" w:rsidRDefault="00A16838">
            <w:pPr>
              <w:widowControl/>
              <w:jc w:val="left"/>
              <w:rPr>
                <w:rFonts w:ascii="宋体" w:hAnsi="宋体" w:cs="宋体" w:hint="eastAsia"/>
                <w:color w:val="000000"/>
                <w:kern w:val="0"/>
                <w:sz w:val="18"/>
                <w:szCs w:val="18"/>
              </w:rPr>
            </w:pPr>
          </w:p>
        </w:tc>
      </w:tr>
      <w:tr w:rsidR="00A16838" w14:paraId="726E905C" w14:textId="77777777" w:rsidTr="00203280">
        <w:trPr>
          <w:cantSplit/>
          <w:trHeight w:val="600"/>
        </w:trPr>
        <w:tc>
          <w:tcPr>
            <w:tcW w:w="598" w:type="dxa"/>
            <w:vMerge w:val="restart"/>
            <w:shd w:val="clear" w:color="auto" w:fill="auto"/>
            <w:vAlign w:val="center"/>
          </w:tcPr>
          <w:p w14:paraId="594DD2AB" w14:textId="77777777" w:rsidR="00A16838" w:rsidRDefault="00000000">
            <w:pPr>
              <w:jc w:val="center"/>
            </w:pPr>
            <w:r>
              <w:rPr>
                <w:rFonts w:ascii="宋体" w:hAnsi="宋体"/>
                <w:sz w:val="18"/>
              </w:rPr>
              <w:t>年度绩效指标完成情况</w:t>
            </w:r>
          </w:p>
        </w:tc>
        <w:tc>
          <w:tcPr>
            <w:tcW w:w="707" w:type="dxa"/>
            <w:vMerge w:val="restart"/>
            <w:shd w:val="clear" w:color="auto" w:fill="auto"/>
            <w:vAlign w:val="center"/>
          </w:tcPr>
          <w:p w14:paraId="1997BFC4" w14:textId="77777777" w:rsidR="00A16838" w:rsidRDefault="00000000">
            <w:pPr>
              <w:jc w:val="center"/>
            </w:pPr>
            <w:r>
              <w:rPr>
                <w:rFonts w:ascii="宋体" w:hAnsi="宋体"/>
                <w:sz w:val="18"/>
              </w:rPr>
              <w:t>产出指标</w:t>
            </w:r>
          </w:p>
        </w:tc>
        <w:tc>
          <w:tcPr>
            <w:tcW w:w="1006" w:type="dxa"/>
            <w:shd w:val="clear" w:color="auto" w:fill="auto"/>
            <w:vAlign w:val="center"/>
          </w:tcPr>
          <w:p w14:paraId="6DA48D47" w14:textId="77777777" w:rsidR="00A16838" w:rsidRDefault="00000000">
            <w:pPr>
              <w:jc w:val="center"/>
            </w:pPr>
            <w:r>
              <w:rPr>
                <w:rFonts w:ascii="宋体" w:hAnsi="宋体"/>
                <w:sz w:val="18"/>
              </w:rPr>
              <w:t>数量指标</w:t>
            </w:r>
          </w:p>
        </w:tc>
        <w:tc>
          <w:tcPr>
            <w:tcW w:w="1569" w:type="dxa"/>
            <w:gridSpan w:val="2"/>
            <w:shd w:val="clear" w:color="auto" w:fill="auto"/>
            <w:noWrap/>
            <w:vAlign w:val="center"/>
          </w:tcPr>
          <w:p w14:paraId="5CCCDD25" w14:textId="77777777" w:rsidR="00A16838" w:rsidRDefault="00000000">
            <w:pPr>
              <w:jc w:val="center"/>
            </w:pPr>
            <w:r>
              <w:rPr>
                <w:rFonts w:ascii="宋体" w:hAnsi="宋体"/>
                <w:sz w:val="18"/>
              </w:rPr>
              <w:t>检测学生数</w:t>
            </w:r>
          </w:p>
        </w:tc>
        <w:tc>
          <w:tcPr>
            <w:tcW w:w="1177" w:type="dxa"/>
            <w:shd w:val="clear" w:color="auto" w:fill="auto"/>
            <w:vAlign w:val="center"/>
          </w:tcPr>
          <w:p w14:paraId="3A4CB420" w14:textId="77777777" w:rsidR="00A16838" w:rsidRDefault="00000000">
            <w:pPr>
              <w:jc w:val="center"/>
            </w:pPr>
            <w:r>
              <w:rPr>
                <w:rFonts w:ascii="宋体" w:hAnsi="宋体"/>
                <w:sz w:val="18"/>
              </w:rPr>
              <w:t>&gt;=240人</w:t>
            </w:r>
          </w:p>
        </w:tc>
        <w:tc>
          <w:tcPr>
            <w:tcW w:w="1177" w:type="dxa"/>
            <w:shd w:val="clear" w:color="auto" w:fill="auto"/>
            <w:vAlign w:val="center"/>
          </w:tcPr>
          <w:p w14:paraId="2BA707BE" w14:textId="77777777" w:rsidR="00A16838" w:rsidRDefault="00000000">
            <w:pPr>
              <w:jc w:val="center"/>
            </w:pPr>
            <w:r>
              <w:rPr>
                <w:rFonts w:ascii="宋体" w:hAnsi="宋体"/>
                <w:sz w:val="18"/>
              </w:rPr>
              <w:t>240人</w:t>
            </w:r>
          </w:p>
        </w:tc>
        <w:tc>
          <w:tcPr>
            <w:tcW w:w="707" w:type="dxa"/>
            <w:gridSpan w:val="2"/>
            <w:shd w:val="clear" w:color="auto" w:fill="auto"/>
            <w:vAlign w:val="center"/>
          </w:tcPr>
          <w:p w14:paraId="41E0CEE1" w14:textId="77777777" w:rsidR="00A16838" w:rsidRDefault="00000000">
            <w:pPr>
              <w:jc w:val="center"/>
            </w:pPr>
            <w:r>
              <w:rPr>
                <w:rFonts w:ascii="宋体" w:hAnsi="宋体"/>
                <w:sz w:val="18"/>
              </w:rPr>
              <w:t>15</w:t>
            </w:r>
          </w:p>
        </w:tc>
        <w:tc>
          <w:tcPr>
            <w:tcW w:w="690" w:type="dxa"/>
            <w:gridSpan w:val="2"/>
            <w:shd w:val="clear" w:color="auto" w:fill="auto"/>
            <w:vAlign w:val="center"/>
          </w:tcPr>
          <w:p w14:paraId="686D52D2" w14:textId="77777777" w:rsidR="00A16838" w:rsidRDefault="00000000">
            <w:pPr>
              <w:jc w:val="center"/>
            </w:pPr>
            <w:r>
              <w:rPr>
                <w:rFonts w:ascii="宋体" w:hAnsi="宋体"/>
                <w:sz w:val="18"/>
              </w:rPr>
              <w:t>15</w:t>
            </w:r>
          </w:p>
        </w:tc>
        <w:tc>
          <w:tcPr>
            <w:tcW w:w="2051" w:type="dxa"/>
            <w:gridSpan w:val="2"/>
            <w:shd w:val="clear" w:color="auto" w:fill="auto"/>
            <w:vAlign w:val="center"/>
          </w:tcPr>
          <w:p w14:paraId="450F2E43" w14:textId="77777777" w:rsidR="00A16838" w:rsidRDefault="00A16838">
            <w:pPr>
              <w:jc w:val="center"/>
            </w:pPr>
          </w:p>
        </w:tc>
      </w:tr>
      <w:tr w:rsidR="00A16838" w14:paraId="457F5432" w14:textId="77777777" w:rsidTr="00203280">
        <w:trPr>
          <w:cantSplit/>
          <w:trHeight w:val="600"/>
        </w:trPr>
        <w:tc>
          <w:tcPr>
            <w:tcW w:w="598" w:type="dxa"/>
            <w:vMerge/>
            <w:vAlign w:val="center"/>
          </w:tcPr>
          <w:p w14:paraId="16A51954" w14:textId="77777777" w:rsidR="00A16838" w:rsidRDefault="00A16838">
            <w:pPr>
              <w:widowControl/>
              <w:jc w:val="left"/>
              <w:rPr>
                <w:rFonts w:ascii="宋体" w:hAnsi="宋体" w:cs="宋体" w:hint="eastAsia"/>
                <w:color w:val="000000"/>
                <w:kern w:val="0"/>
                <w:sz w:val="18"/>
                <w:szCs w:val="18"/>
              </w:rPr>
            </w:pPr>
          </w:p>
        </w:tc>
        <w:tc>
          <w:tcPr>
            <w:tcW w:w="707" w:type="dxa"/>
            <w:vMerge/>
            <w:shd w:val="clear" w:color="auto" w:fill="auto"/>
            <w:vAlign w:val="center"/>
          </w:tcPr>
          <w:p w14:paraId="56C96163" w14:textId="77777777" w:rsidR="00A16838" w:rsidRDefault="00A16838">
            <w:pPr>
              <w:widowControl/>
              <w:jc w:val="center"/>
              <w:rPr>
                <w:rFonts w:ascii="宋体" w:hAnsi="宋体" w:cs="宋体" w:hint="eastAsia"/>
                <w:color w:val="000000"/>
                <w:kern w:val="0"/>
                <w:sz w:val="18"/>
                <w:szCs w:val="18"/>
              </w:rPr>
            </w:pPr>
          </w:p>
        </w:tc>
        <w:tc>
          <w:tcPr>
            <w:tcW w:w="1006" w:type="dxa"/>
            <w:shd w:val="clear" w:color="auto" w:fill="auto"/>
            <w:vAlign w:val="center"/>
          </w:tcPr>
          <w:p w14:paraId="06AA03D0" w14:textId="77777777" w:rsidR="00A16838" w:rsidRDefault="00000000">
            <w:pPr>
              <w:jc w:val="center"/>
            </w:pPr>
            <w:r>
              <w:rPr>
                <w:rFonts w:ascii="宋体" w:hAnsi="宋体"/>
                <w:sz w:val="18"/>
              </w:rPr>
              <w:t>质量指标</w:t>
            </w:r>
          </w:p>
        </w:tc>
        <w:tc>
          <w:tcPr>
            <w:tcW w:w="1569" w:type="dxa"/>
            <w:gridSpan w:val="2"/>
            <w:shd w:val="clear" w:color="auto" w:fill="auto"/>
            <w:noWrap/>
            <w:vAlign w:val="center"/>
          </w:tcPr>
          <w:p w14:paraId="4360E4CE" w14:textId="77777777" w:rsidR="00A16838" w:rsidRDefault="00000000">
            <w:pPr>
              <w:jc w:val="center"/>
            </w:pPr>
            <w:r>
              <w:rPr>
                <w:rFonts w:ascii="宋体" w:hAnsi="宋体"/>
                <w:sz w:val="18"/>
              </w:rPr>
              <w:t>氟斑牙检测率</w:t>
            </w:r>
          </w:p>
        </w:tc>
        <w:tc>
          <w:tcPr>
            <w:tcW w:w="1177" w:type="dxa"/>
            <w:shd w:val="clear" w:color="auto" w:fill="auto"/>
            <w:vAlign w:val="center"/>
          </w:tcPr>
          <w:p w14:paraId="77368D0C" w14:textId="77777777" w:rsidR="00A16838" w:rsidRDefault="00000000">
            <w:pPr>
              <w:jc w:val="center"/>
            </w:pPr>
            <w:r>
              <w:rPr>
                <w:rFonts w:ascii="宋体" w:hAnsi="宋体"/>
                <w:sz w:val="18"/>
              </w:rPr>
              <w:t>&gt;=90%</w:t>
            </w:r>
          </w:p>
        </w:tc>
        <w:tc>
          <w:tcPr>
            <w:tcW w:w="1177" w:type="dxa"/>
            <w:shd w:val="clear" w:color="auto" w:fill="auto"/>
            <w:vAlign w:val="center"/>
          </w:tcPr>
          <w:p w14:paraId="02CDF9E0" w14:textId="77777777" w:rsidR="00A16838" w:rsidRDefault="00000000">
            <w:pPr>
              <w:jc w:val="center"/>
            </w:pPr>
            <w:r>
              <w:rPr>
                <w:rFonts w:ascii="宋体" w:hAnsi="宋体"/>
                <w:sz w:val="18"/>
              </w:rPr>
              <w:t>90%</w:t>
            </w:r>
          </w:p>
        </w:tc>
        <w:tc>
          <w:tcPr>
            <w:tcW w:w="707" w:type="dxa"/>
            <w:gridSpan w:val="2"/>
            <w:shd w:val="clear" w:color="auto" w:fill="auto"/>
            <w:vAlign w:val="center"/>
          </w:tcPr>
          <w:p w14:paraId="32F7CB3C" w14:textId="77777777" w:rsidR="00A16838" w:rsidRDefault="00000000">
            <w:pPr>
              <w:jc w:val="center"/>
            </w:pPr>
            <w:r>
              <w:rPr>
                <w:rFonts w:ascii="宋体" w:hAnsi="宋体"/>
                <w:sz w:val="18"/>
              </w:rPr>
              <w:t>15</w:t>
            </w:r>
          </w:p>
        </w:tc>
        <w:tc>
          <w:tcPr>
            <w:tcW w:w="690" w:type="dxa"/>
            <w:gridSpan w:val="2"/>
            <w:shd w:val="clear" w:color="auto" w:fill="auto"/>
            <w:vAlign w:val="center"/>
          </w:tcPr>
          <w:p w14:paraId="673C93DD" w14:textId="77777777" w:rsidR="00A16838" w:rsidRDefault="00000000">
            <w:pPr>
              <w:jc w:val="center"/>
            </w:pPr>
            <w:r>
              <w:rPr>
                <w:rFonts w:ascii="宋体" w:hAnsi="宋体"/>
                <w:sz w:val="18"/>
              </w:rPr>
              <w:t>15</w:t>
            </w:r>
          </w:p>
        </w:tc>
        <w:tc>
          <w:tcPr>
            <w:tcW w:w="2051" w:type="dxa"/>
            <w:gridSpan w:val="2"/>
            <w:shd w:val="clear" w:color="auto" w:fill="auto"/>
            <w:vAlign w:val="center"/>
          </w:tcPr>
          <w:p w14:paraId="1A0178AD" w14:textId="77777777" w:rsidR="00A16838" w:rsidRDefault="00A16838">
            <w:pPr>
              <w:jc w:val="center"/>
            </w:pPr>
          </w:p>
        </w:tc>
      </w:tr>
      <w:tr w:rsidR="00A16838" w14:paraId="5D2D842A" w14:textId="77777777" w:rsidTr="00203280">
        <w:trPr>
          <w:cantSplit/>
          <w:trHeight w:val="600"/>
        </w:trPr>
        <w:tc>
          <w:tcPr>
            <w:tcW w:w="598" w:type="dxa"/>
            <w:vMerge/>
            <w:vAlign w:val="center"/>
          </w:tcPr>
          <w:p w14:paraId="40CDE9B7" w14:textId="77777777" w:rsidR="00A16838" w:rsidRDefault="00A16838">
            <w:pPr>
              <w:widowControl/>
              <w:jc w:val="left"/>
              <w:rPr>
                <w:rFonts w:ascii="宋体" w:hAnsi="宋体" w:cs="宋体" w:hint="eastAsia"/>
                <w:color w:val="000000"/>
                <w:kern w:val="0"/>
                <w:sz w:val="18"/>
                <w:szCs w:val="18"/>
              </w:rPr>
            </w:pPr>
          </w:p>
        </w:tc>
        <w:tc>
          <w:tcPr>
            <w:tcW w:w="707" w:type="dxa"/>
            <w:vMerge/>
            <w:shd w:val="clear" w:color="auto" w:fill="auto"/>
            <w:vAlign w:val="center"/>
          </w:tcPr>
          <w:p w14:paraId="368BEC5F" w14:textId="77777777" w:rsidR="00A16838" w:rsidRDefault="00A16838">
            <w:pPr>
              <w:widowControl/>
              <w:jc w:val="center"/>
              <w:rPr>
                <w:rFonts w:ascii="宋体" w:hAnsi="宋体" w:cs="宋体" w:hint="eastAsia"/>
                <w:color w:val="000000"/>
                <w:kern w:val="0"/>
                <w:sz w:val="18"/>
                <w:szCs w:val="18"/>
              </w:rPr>
            </w:pPr>
          </w:p>
        </w:tc>
        <w:tc>
          <w:tcPr>
            <w:tcW w:w="1006" w:type="dxa"/>
            <w:shd w:val="clear" w:color="auto" w:fill="auto"/>
            <w:vAlign w:val="center"/>
          </w:tcPr>
          <w:p w14:paraId="30F7B8A7" w14:textId="77777777" w:rsidR="00A16838" w:rsidRDefault="00000000">
            <w:pPr>
              <w:jc w:val="center"/>
            </w:pPr>
            <w:r>
              <w:rPr>
                <w:rFonts w:ascii="宋体" w:hAnsi="宋体"/>
                <w:sz w:val="18"/>
              </w:rPr>
              <w:t>时效指标</w:t>
            </w:r>
          </w:p>
        </w:tc>
        <w:tc>
          <w:tcPr>
            <w:tcW w:w="1569" w:type="dxa"/>
            <w:gridSpan w:val="2"/>
            <w:shd w:val="clear" w:color="auto" w:fill="auto"/>
            <w:noWrap/>
            <w:vAlign w:val="center"/>
          </w:tcPr>
          <w:p w14:paraId="2A73A4BA" w14:textId="77777777" w:rsidR="00A16838" w:rsidRDefault="00000000">
            <w:pPr>
              <w:jc w:val="center"/>
            </w:pPr>
            <w:r>
              <w:rPr>
                <w:rFonts w:ascii="宋体" w:hAnsi="宋体"/>
                <w:sz w:val="18"/>
              </w:rPr>
              <w:t>检测任务完成时限</w:t>
            </w:r>
          </w:p>
        </w:tc>
        <w:tc>
          <w:tcPr>
            <w:tcW w:w="1177" w:type="dxa"/>
            <w:shd w:val="clear" w:color="auto" w:fill="auto"/>
            <w:vAlign w:val="center"/>
          </w:tcPr>
          <w:p w14:paraId="3183470B" w14:textId="77777777" w:rsidR="00A16838" w:rsidRDefault="00000000">
            <w:pPr>
              <w:jc w:val="center"/>
            </w:pPr>
            <w:r>
              <w:rPr>
                <w:rFonts w:ascii="宋体" w:hAnsi="宋体"/>
                <w:sz w:val="18"/>
              </w:rPr>
              <w:t>=12个月</w:t>
            </w:r>
          </w:p>
        </w:tc>
        <w:tc>
          <w:tcPr>
            <w:tcW w:w="1177" w:type="dxa"/>
            <w:shd w:val="clear" w:color="auto" w:fill="auto"/>
            <w:vAlign w:val="center"/>
          </w:tcPr>
          <w:p w14:paraId="144931D0" w14:textId="77777777" w:rsidR="00A16838" w:rsidRDefault="00000000">
            <w:pPr>
              <w:jc w:val="center"/>
            </w:pPr>
            <w:r>
              <w:rPr>
                <w:rFonts w:ascii="宋体" w:hAnsi="宋体"/>
                <w:sz w:val="18"/>
              </w:rPr>
              <w:t>12个月</w:t>
            </w:r>
          </w:p>
        </w:tc>
        <w:tc>
          <w:tcPr>
            <w:tcW w:w="707" w:type="dxa"/>
            <w:gridSpan w:val="2"/>
            <w:shd w:val="clear" w:color="auto" w:fill="auto"/>
            <w:vAlign w:val="center"/>
          </w:tcPr>
          <w:p w14:paraId="5708B09C" w14:textId="77777777" w:rsidR="00A16838" w:rsidRDefault="00000000">
            <w:pPr>
              <w:jc w:val="center"/>
            </w:pPr>
            <w:r>
              <w:rPr>
                <w:rFonts w:ascii="宋体" w:hAnsi="宋体"/>
                <w:sz w:val="18"/>
              </w:rPr>
              <w:t>10</w:t>
            </w:r>
          </w:p>
        </w:tc>
        <w:tc>
          <w:tcPr>
            <w:tcW w:w="690" w:type="dxa"/>
            <w:gridSpan w:val="2"/>
            <w:shd w:val="clear" w:color="auto" w:fill="auto"/>
            <w:vAlign w:val="center"/>
          </w:tcPr>
          <w:p w14:paraId="036C256B" w14:textId="77777777" w:rsidR="00A16838" w:rsidRDefault="00000000">
            <w:pPr>
              <w:jc w:val="center"/>
            </w:pPr>
            <w:r>
              <w:rPr>
                <w:rFonts w:ascii="宋体" w:hAnsi="宋体"/>
                <w:sz w:val="18"/>
              </w:rPr>
              <w:t>10</w:t>
            </w:r>
          </w:p>
        </w:tc>
        <w:tc>
          <w:tcPr>
            <w:tcW w:w="2051" w:type="dxa"/>
            <w:gridSpan w:val="2"/>
            <w:shd w:val="clear" w:color="auto" w:fill="auto"/>
            <w:vAlign w:val="center"/>
          </w:tcPr>
          <w:p w14:paraId="66E43E0E" w14:textId="77777777" w:rsidR="00A16838" w:rsidRDefault="00A16838">
            <w:pPr>
              <w:jc w:val="center"/>
            </w:pPr>
          </w:p>
        </w:tc>
      </w:tr>
      <w:tr w:rsidR="00A16838" w14:paraId="6DE3E1D5" w14:textId="77777777" w:rsidTr="00203280">
        <w:trPr>
          <w:cantSplit/>
          <w:trHeight w:val="600"/>
        </w:trPr>
        <w:tc>
          <w:tcPr>
            <w:tcW w:w="598" w:type="dxa"/>
            <w:vMerge/>
            <w:vAlign w:val="center"/>
          </w:tcPr>
          <w:p w14:paraId="36341A5F" w14:textId="77777777" w:rsidR="00A16838" w:rsidRDefault="00A16838">
            <w:pPr>
              <w:widowControl/>
              <w:jc w:val="left"/>
              <w:rPr>
                <w:rFonts w:ascii="宋体" w:hAnsi="宋体" w:cs="宋体" w:hint="eastAsia"/>
                <w:color w:val="000000"/>
                <w:kern w:val="0"/>
                <w:sz w:val="18"/>
                <w:szCs w:val="18"/>
              </w:rPr>
            </w:pPr>
          </w:p>
        </w:tc>
        <w:tc>
          <w:tcPr>
            <w:tcW w:w="707" w:type="dxa"/>
            <w:shd w:val="clear" w:color="auto" w:fill="auto"/>
            <w:vAlign w:val="center"/>
          </w:tcPr>
          <w:p w14:paraId="07E4838F" w14:textId="77777777" w:rsidR="00A16838" w:rsidRDefault="00000000">
            <w:pPr>
              <w:jc w:val="center"/>
            </w:pPr>
            <w:r>
              <w:rPr>
                <w:rFonts w:ascii="宋体" w:hAnsi="宋体"/>
                <w:sz w:val="18"/>
              </w:rPr>
              <w:t>成本指标</w:t>
            </w:r>
          </w:p>
        </w:tc>
        <w:tc>
          <w:tcPr>
            <w:tcW w:w="1006" w:type="dxa"/>
            <w:shd w:val="clear" w:color="auto" w:fill="auto"/>
            <w:vAlign w:val="center"/>
          </w:tcPr>
          <w:p w14:paraId="6497BEA4" w14:textId="77777777" w:rsidR="00A16838" w:rsidRDefault="00000000">
            <w:pPr>
              <w:jc w:val="center"/>
            </w:pPr>
            <w:r>
              <w:rPr>
                <w:rFonts w:ascii="宋体" w:hAnsi="宋体"/>
                <w:sz w:val="18"/>
              </w:rPr>
              <w:t>经济成本指标</w:t>
            </w:r>
          </w:p>
        </w:tc>
        <w:tc>
          <w:tcPr>
            <w:tcW w:w="1569" w:type="dxa"/>
            <w:gridSpan w:val="2"/>
            <w:shd w:val="clear" w:color="auto" w:fill="auto"/>
            <w:noWrap/>
            <w:vAlign w:val="center"/>
          </w:tcPr>
          <w:p w14:paraId="2C799489" w14:textId="77777777" w:rsidR="00A16838" w:rsidRDefault="00000000">
            <w:pPr>
              <w:jc w:val="center"/>
            </w:pPr>
            <w:r>
              <w:rPr>
                <w:rFonts w:ascii="宋体" w:hAnsi="宋体"/>
                <w:sz w:val="18"/>
              </w:rPr>
              <w:t>项目预算控制率</w:t>
            </w:r>
          </w:p>
        </w:tc>
        <w:tc>
          <w:tcPr>
            <w:tcW w:w="1177" w:type="dxa"/>
            <w:shd w:val="clear" w:color="auto" w:fill="auto"/>
            <w:vAlign w:val="center"/>
          </w:tcPr>
          <w:p w14:paraId="4F442861" w14:textId="77777777" w:rsidR="00A16838" w:rsidRDefault="00000000">
            <w:pPr>
              <w:jc w:val="center"/>
            </w:pPr>
            <w:r>
              <w:rPr>
                <w:rFonts w:ascii="宋体" w:hAnsi="宋体"/>
                <w:sz w:val="18"/>
              </w:rPr>
              <w:t>&lt;=100%</w:t>
            </w:r>
          </w:p>
        </w:tc>
        <w:tc>
          <w:tcPr>
            <w:tcW w:w="1177" w:type="dxa"/>
            <w:shd w:val="clear" w:color="auto" w:fill="auto"/>
            <w:vAlign w:val="center"/>
          </w:tcPr>
          <w:p w14:paraId="04CDFE90" w14:textId="77777777" w:rsidR="00A16838" w:rsidRDefault="00000000">
            <w:pPr>
              <w:jc w:val="center"/>
            </w:pPr>
            <w:r>
              <w:rPr>
                <w:rFonts w:ascii="宋体" w:hAnsi="宋体"/>
                <w:sz w:val="18"/>
              </w:rPr>
              <w:t>34.35%</w:t>
            </w:r>
          </w:p>
        </w:tc>
        <w:tc>
          <w:tcPr>
            <w:tcW w:w="707" w:type="dxa"/>
            <w:gridSpan w:val="2"/>
            <w:shd w:val="clear" w:color="auto" w:fill="auto"/>
            <w:vAlign w:val="center"/>
          </w:tcPr>
          <w:p w14:paraId="6DAB8E4F" w14:textId="77777777" w:rsidR="00A16838" w:rsidRDefault="00000000">
            <w:pPr>
              <w:jc w:val="center"/>
            </w:pPr>
            <w:r>
              <w:rPr>
                <w:rFonts w:ascii="宋体" w:hAnsi="宋体"/>
                <w:sz w:val="18"/>
              </w:rPr>
              <w:t>20</w:t>
            </w:r>
          </w:p>
        </w:tc>
        <w:tc>
          <w:tcPr>
            <w:tcW w:w="690" w:type="dxa"/>
            <w:gridSpan w:val="2"/>
            <w:shd w:val="clear" w:color="auto" w:fill="auto"/>
            <w:vAlign w:val="center"/>
          </w:tcPr>
          <w:p w14:paraId="697F6F26" w14:textId="77777777" w:rsidR="00A16838" w:rsidRDefault="00000000">
            <w:pPr>
              <w:jc w:val="center"/>
            </w:pPr>
            <w:r>
              <w:rPr>
                <w:rFonts w:ascii="宋体" w:hAnsi="宋体"/>
                <w:sz w:val="18"/>
              </w:rPr>
              <w:t>6.87</w:t>
            </w:r>
          </w:p>
        </w:tc>
        <w:tc>
          <w:tcPr>
            <w:tcW w:w="2051" w:type="dxa"/>
            <w:gridSpan w:val="2"/>
            <w:shd w:val="clear" w:color="auto" w:fill="auto"/>
            <w:vAlign w:val="center"/>
          </w:tcPr>
          <w:p w14:paraId="58D7E7C9" w14:textId="77777777" w:rsidR="00A16838" w:rsidRDefault="00000000">
            <w:pPr>
              <w:jc w:val="center"/>
            </w:pPr>
            <w:r>
              <w:rPr>
                <w:rFonts w:ascii="宋体" w:hAnsi="宋体"/>
                <w:sz w:val="18"/>
              </w:rPr>
              <w:t>财政资金紧张造成项目资金未能及时支付</w:t>
            </w:r>
          </w:p>
        </w:tc>
      </w:tr>
      <w:tr w:rsidR="00A16838" w14:paraId="44F816B4" w14:textId="77777777" w:rsidTr="00203280">
        <w:trPr>
          <w:cantSplit/>
          <w:trHeight w:val="600"/>
        </w:trPr>
        <w:tc>
          <w:tcPr>
            <w:tcW w:w="598" w:type="dxa"/>
            <w:vMerge/>
            <w:vAlign w:val="center"/>
          </w:tcPr>
          <w:p w14:paraId="5A5BA416" w14:textId="77777777" w:rsidR="00A16838" w:rsidRDefault="00A16838">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08B2B5A4" w14:textId="77777777" w:rsidR="00A16838" w:rsidRDefault="00000000">
            <w:pPr>
              <w:jc w:val="center"/>
            </w:pPr>
            <w:r>
              <w:rPr>
                <w:rFonts w:ascii="宋体" w:hAnsi="宋体"/>
                <w:sz w:val="18"/>
              </w:rPr>
              <w:t>效益指标</w:t>
            </w:r>
          </w:p>
        </w:tc>
        <w:tc>
          <w:tcPr>
            <w:tcW w:w="1006" w:type="dxa"/>
            <w:vMerge w:val="restart"/>
            <w:shd w:val="clear" w:color="auto" w:fill="auto"/>
            <w:vAlign w:val="center"/>
          </w:tcPr>
          <w:p w14:paraId="4AEEF94B" w14:textId="77777777" w:rsidR="00A16838" w:rsidRDefault="00000000">
            <w:pPr>
              <w:jc w:val="center"/>
            </w:pPr>
            <w:r>
              <w:rPr>
                <w:rFonts w:ascii="宋体" w:hAnsi="宋体"/>
                <w:sz w:val="18"/>
              </w:rPr>
              <w:t>社会效益指标</w:t>
            </w:r>
          </w:p>
        </w:tc>
        <w:tc>
          <w:tcPr>
            <w:tcW w:w="1569" w:type="dxa"/>
            <w:gridSpan w:val="2"/>
            <w:shd w:val="clear" w:color="auto" w:fill="auto"/>
            <w:noWrap/>
            <w:vAlign w:val="center"/>
          </w:tcPr>
          <w:p w14:paraId="4CDE8C3C" w14:textId="77777777" w:rsidR="00A16838" w:rsidRDefault="00000000">
            <w:pPr>
              <w:jc w:val="center"/>
            </w:pPr>
            <w:r>
              <w:rPr>
                <w:rFonts w:ascii="宋体" w:hAnsi="宋体"/>
                <w:sz w:val="18"/>
              </w:rPr>
              <w:t>预防疫情传播</w:t>
            </w:r>
          </w:p>
        </w:tc>
        <w:tc>
          <w:tcPr>
            <w:tcW w:w="1177" w:type="dxa"/>
            <w:shd w:val="clear" w:color="auto" w:fill="auto"/>
            <w:vAlign w:val="center"/>
          </w:tcPr>
          <w:p w14:paraId="10B6B969" w14:textId="77777777" w:rsidR="00A16838" w:rsidRDefault="00000000">
            <w:pPr>
              <w:jc w:val="center"/>
            </w:pPr>
            <w:r>
              <w:rPr>
                <w:rFonts w:ascii="宋体" w:hAnsi="宋体"/>
                <w:sz w:val="18"/>
              </w:rPr>
              <w:t>有效预防</w:t>
            </w:r>
          </w:p>
        </w:tc>
        <w:tc>
          <w:tcPr>
            <w:tcW w:w="1177" w:type="dxa"/>
            <w:shd w:val="clear" w:color="auto" w:fill="auto"/>
            <w:vAlign w:val="center"/>
          </w:tcPr>
          <w:p w14:paraId="4CF39BEE" w14:textId="77777777" w:rsidR="00A16838" w:rsidRDefault="00000000">
            <w:pPr>
              <w:jc w:val="center"/>
            </w:pPr>
            <w:r>
              <w:rPr>
                <w:rFonts w:ascii="宋体" w:hAnsi="宋体"/>
                <w:sz w:val="18"/>
              </w:rPr>
              <w:t>完全达到预期</w:t>
            </w:r>
          </w:p>
        </w:tc>
        <w:tc>
          <w:tcPr>
            <w:tcW w:w="707" w:type="dxa"/>
            <w:gridSpan w:val="2"/>
            <w:shd w:val="clear" w:color="auto" w:fill="auto"/>
            <w:vAlign w:val="center"/>
          </w:tcPr>
          <w:p w14:paraId="38B1C870" w14:textId="77777777" w:rsidR="00A16838" w:rsidRDefault="00000000">
            <w:pPr>
              <w:jc w:val="center"/>
            </w:pPr>
            <w:r>
              <w:rPr>
                <w:rFonts w:ascii="宋体" w:hAnsi="宋体"/>
                <w:sz w:val="18"/>
              </w:rPr>
              <w:t>10</w:t>
            </w:r>
          </w:p>
        </w:tc>
        <w:tc>
          <w:tcPr>
            <w:tcW w:w="690" w:type="dxa"/>
            <w:gridSpan w:val="2"/>
            <w:shd w:val="clear" w:color="auto" w:fill="auto"/>
            <w:vAlign w:val="center"/>
          </w:tcPr>
          <w:p w14:paraId="17633566" w14:textId="77777777" w:rsidR="00A16838" w:rsidRDefault="00000000">
            <w:pPr>
              <w:jc w:val="center"/>
            </w:pPr>
            <w:r>
              <w:rPr>
                <w:rFonts w:ascii="宋体" w:hAnsi="宋体"/>
                <w:sz w:val="18"/>
              </w:rPr>
              <w:t>10</w:t>
            </w:r>
          </w:p>
        </w:tc>
        <w:tc>
          <w:tcPr>
            <w:tcW w:w="2051" w:type="dxa"/>
            <w:gridSpan w:val="2"/>
            <w:shd w:val="clear" w:color="auto" w:fill="auto"/>
            <w:vAlign w:val="center"/>
          </w:tcPr>
          <w:p w14:paraId="5404532F" w14:textId="77777777" w:rsidR="00A16838" w:rsidRDefault="00A16838">
            <w:pPr>
              <w:jc w:val="center"/>
            </w:pPr>
          </w:p>
        </w:tc>
      </w:tr>
      <w:tr w:rsidR="00A16838" w14:paraId="4A91099F" w14:textId="77777777" w:rsidTr="00203280">
        <w:trPr>
          <w:cantSplit/>
          <w:trHeight w:val="600"/>
        </w:trPr>
        <w:tc>
          <w:tcPr>
            <w:tcW w:w="598" w:type="dxa"/>
            <w:vMerge/>
            <w:vAlign w:val="center"/>
          </w:tcPr>
          <w:p w14:paraId="7C8BCF0E" w14:textId="77777777" w:rsidR="00A16838" w:rsidRDefault="00A16838">
            <w:pPr>
              <w:widowControl/>
              <w:jc w:val="left"/>
              <w:rPr>
                <w:rFonts w:ascii="宋体" w:hAnsi="宋体" w:cs="宋体" w:hint="eastAsia"/>
                <w:color w:val="000000"/>
                <w:kern w:val="0"/>
                <w:sz w:val="18"/>
                <w:szCs w:val="18"/>
              </w:rPr>
            </w:pPr>
          </w:p>
        </w:tc>
        <w:tc>
          <w:tcPr>
            <w:tcW w:w="707" w:type="dxa"/>
            <w:vMerge/>
            <w:shd w:val="clear" w:color="auto" w:fill="auto"/>
            <w:vAlign w:val="center"/>
          </w:tcPr>
          <w:p w14:paraId="1A9339DC" w14:textId="77777777" w:rsidR="00A16838" w:rsidRDefault="00A16838">
            <w:pPr>
              <w:widowControl/>
              <w:jc w:val="center"/>
              <w:rPr>
                <w:rFonts w:ascii="宋体" w:hAnsi="宋体" w:cs="宋体" w:hint="eastAsia"/>
                <w:color w:val="000000"/>
                <w:kern w:val="0"/>
                <w:sz w:val="18"/>
                <w:szCs w:val="18"/>
              </w:rPr>
            </w:pPr>
          </w:p>
        </w:tc>
        <w:tc>
          <w:tcPr>
            <w:tcW w:w="1006" w:type="dxa"/>
            <w:vMerge/>
            <w:shd w:val="clear" w:color="auto" w:fill="auto"/>
            <w:vAlign w:val="center"/>
          </w:tcPr>
          <w:p w14:paraId="1D1F6472" w14:textId="77777777" w:rsidR="00A16838" w:rsidRDefault="00A16838">
            <w:pPr>
              <w:widowControl/>
              <w:jc w:val="center"/>
              <w:rPr>
                <w:rFonts w:ascii="宋体" w:hAnsi="宋体" w:cs="宋体" w:hint="eastAsia"/>
                <w:color w:val="000000"/>
                <w:kern w:val="0"/>
                <w:sz w:val="18"/>
                <w:szCs w:val="18"/>
              </w:rPr>
            </w:pPr>
          </w:p>
        </w:tc>
        <w:tc>
          <w:tcPr>
            <w:tcW w:w="1569" w:type="dxa"/>
            <w:gridSpan w:val="2"/>
            <w:shd w:val="clear" w:color="auto" w:fill="auto"/>
            <w:noWrap/>
            <w:vAlign w:val="center"/>
          </w:tcPr>
          <w:p w14:paraId="585D33BE" w14:textId="77777777" w:rsidR="00A16838" w:rsidRDefault="00000000">
            <w:pPr>
              <w:jc w:val="center"/>
            </w:pPr>
            <w:r>
              <w:rPr>
                <w:rFonts w:ascii="宋体" w:hAnsi="宋体"/>
                <w:sz w:val="18"/>
              </w:rPr>
              <w:t>完善疫情监测工作</w:t>
            </w:r>
          </w:p>
        </w:tc>
        <w:tc>
          <w:tcPr>
            <w:tcW w:w="1177" w:type="dxa"/>
            <w:shd w:val="clear" w:color="auto" w:fill="auto"/>
            <w:vAlign w:val="center"/>
          </w:tcPr>
          <w:p w14:paraId="0A96E10F" w14:textId="77777777" w:rsidR="00A16838" w:rsidRDefault="00000000">
            <w:pPr>
              <w:jc w:val="center"/>
            </w:pPr>
            <w:r>
              <w:rPr>
                <w:rFonts w:ascii="宋体" w:hAnsi="宋体"/>
                <w:sz w:val="18"/>
              </w:rPr>
              <w:t>有效完善</w:t>
            </w:r>
          </w:p>
        </w:tc>
        <w:tc>
          <w:tcPr>
            <w:tcW w:w="1177" w:type="dxa"/>
            <w:shd w:val="clear" w:color="auto" w:fill="auto"/>
            <w:vAlign w:val="center"/>
          </w:tcPr>
          <w:p w14:paraId="5944B88A" w14:textId="77777777" w:rsidR="00A16838" w:rsidRDefault="00000000">
            <w:pPr>
              <w:jc w:val="center"/>
            </w:pPr>
            <w:r>
              <w:rPr>
                <w:rFonts w:ascii="宋体" w:hAnsi="宋体"/>
                <w:sz w:val="18"/>
              </w:rPr>
              <w:t>完全达到预期</w:t>
            </w:r>
          </w:p>
        </w:tc>
        <w:tc>
          <w:tcPr>
            <w:tcW w:w="707" w:type="dxa"/>
            <w:gridSpan w:val="2"/>
            <w:shd w:val="clear" w:color="auto" w:fill="auto"/>
            <w:vAlign w:val="center"/>
          </w:tcPr>
          <w:p w14:paraId="3C6879E6" w14:textId="77777777" w:rsidR="00A16838" w:rsidRDefault="00000000">
            <w:pPr>
              <w:jc w:val="center"/>
            </w:pPr>
            <w:r>
              <w:rPr>
                <w:rFonts w:ascii="宋体" w:hAnsi="宋体"/>
                <w:sz w:val="18"/>
              </w:rPr>
              <w:t>10</w:t>
            </w:r>
          </w:p>
        </w:tc>
        <w:tc>
          <w:tcPr>
            <w:tcW w:w="690" w:type="dxa"/>
            <w:gridSpan w:val="2"/>
            <w:shd w:val="clear" w:color="auto" w:fill="auto"/>
            <w:vAlign w:val="center"/>
          </w:tcPr>
          <w:p w14:paraId="0F193863" w14:textId="77777777" w:rsidR="00A16838" w:rsidRDefault="00000000">
            <w:pPr>
              <w:jc w:val="center"/>
            </w:pPr>
            <w:r>
              <w:rPr>
                <w:rFonts w:ascii="宋体" w:hAnsi="宋体"/>
                <w:sz w:val="18"/>
              </w:rPr>
              <w:t>10</w:t>
            </w:r>
          </w:p>
        </w:tc>
        <w:tc>
          <w:tcPr>
            <w:tcW w:w="2051" w:type="dxa"/>
            <w:gridSpan w:val="2"/>
            <w:shd w:val="clear" w:color="auto" w:fill="auto"/>
            <w:vAlign w:val="center"/>
          </w:tcPr>
          <w:p w14:paraId="5594DA8C" w14:textId="77777777" w:rsidR="00A16838" w:rsidRDefault="00A16838">
            <w:pPr>
              <w:jc w:val="center"/>
            </w:pPr>
          </w:p>
        </w:tc>
      </w:tr>
      <w:tr w:rsidR="00A16838" w14:paraId="79C418FA" w14:textId="77777777" w:rsidTr="00203280">
        <w:trPr>
          <w:cantSplit/>
          <w:trHeight w:val="600"/>
        </w:trPr>
        <w:tc>
          <w:tcPr>
            <w:tcW w:w="598" w:type="dxa"/>
            <w:vMerge/>
            <w:vAlign w:val="center"/>
          </w:tcPr>
          <w:p w14:paraId="392AEDA8" w14:textId="77777777" w:rsidR="00A16838" w:rsidRDefault="00A16838">
            <w:pPr>
              <w:widowControl/>
              <w:jc w:val="left"/>
              <w:rPr>
                <w:rFonts w:ascii="宋体" w:hAnsi="宋体" w:cs="宋体" w:hint="eastAsia"/>
                <w:color w:val="000000"/>
                <w:kern w:val="0"/>
                <w:sz w:val="18"/>
                <w:szCs w:val="18"/>
              </w:rPr>
            </w:pPr>
          </w:p>
        </w:tc>
        <w:tc>
          <w:tcPr>
            <w:tcW w:w="707" w:type="dxa"/>
            <w:shd w:val="clear" w:color="auto" w:fill="auto"/>
            <w:vAlign w:val="center"/>
          </w:tcPr>
          <w:p w14:paraId="3EEC1827" w14:textId="77777777" w:rsidR="00A16838" w:rsidRDefault="00000000">
            <w:pPr>
              <w:jc w:val="center"/>
            </w:pPr>
            <w:r>
              <w:rPr>
                <w:rFonts w:ascii="宋体" w:hAnsi="宋体"/>
                <w:sz w:val="18"/>
              </w:rPr>
              <w:t>满意度指标</w:t>
            </w:r>
          </w:p>
        </w:tc>
        <w:tc>
          <w:tcPr>
            <w:tcW w:w="1006" w:type="dxa"/>
            <w:shd w:val="clear" w:color="auto" w:fill="auto"/>
            <w:vAlign w:val="center"/>
          </w:tcPr>
          <w:p w14:paraId="02676D02" w14:textId="77777777" w:rsidR="00A16838" w:rsidRDefault="00000000">
            <w:pPr>
              <w:jc w:val="center"/>
            </w:pPr>
            <w:r>
              <w:rPr>
                <w:rFonts w:ascii="宋体" w:hAnsi="宋体"/>
                <w:sz w:val="18"/>
              </w:rPr>
              <w:t>满意度指标</w:t>
            </w:r>
          </w:p>
        </w:tc>
        <w:tc>
          <w:tcPr>
            <w:tcW w:w="1569" w:type="dxa"/>
            <w:gridSpan w:val="2"/>
            <w:shd w:val="clear" w:color="auto" w:fill="auto"/>
            <w:noWrap/>
            <w:vAlign w:val="center"/>
          </w:tcPr>
          <w:p w14:paraId="54CD9B39" w14:textId="77777777" w:rsidR="00A16838" w:rsidRDefault="00000000">
            <w:pPr>
              <w:jc w:val="center"/>
            </w:pPr>
            <w:r>
              <w:rPr>
                <w:rFonts w:ascii="宋体" w:hAnsi="宋体"/>
                <w:sz w:val="18"/>
              </w:rPr>
              <w:t>群众满意度（%）</w:t>
            </w:r>
          </w:p>
        </w:tc>
        <w:tc>
          <w:tcPr>
            <w:tcW w:w="1177" w:type="dxa"/>
            <w:shd w:val="clear" w:color="auto" w:fill="auto"/>
            <w:vAlign w:val="center"/>
          </w:tcPr>
          <w:p w14:paraId="6EC8CE12" w14:textId="77777777" w:rsidR="00A16838" w:rsidRDefault="00000000">
            <w:pPr>
              <w:jc w:val="center"/>
            </w:pPr>
            <w:r>
              <w:rPr>
                <w:rFonts w:ascii="宋体" w:hAnsi="宋体"/>
                <w:sz w:val="18"/>
              </w:rPr>
              <w:t>&gt;=80%</w:t>
            </w:r>
          </w:p>
        </w:tc>
        <w:tc>
          <w:tcPr>
            <w:tcW w:w="1177" w:type="dxa"/>
            <w:shd w:val="clear" w:color="auto" w:fill="auto"/>
            <w:vAlign w:val="center"/>
          </w:tcPr>
          <w:p w14:paraId="28967CC1" w14:textId="77777777" w:rsidR="00A16838" w:rsidRDefault="00000000">
            <w:pPr>
              <w:jc w:val="center"/>
            </w:pPr>
            <w:r>
              <w:rPr>
                <w:rFonts w:ascii="宋体" w:hAnsi="宋体"/>
                <w:sz w:val="18"/>
              </w:rPr>
              <w:t>80%</w:t>
            </w:r>
          </w:p>
        </w:tc>
        <w:tc>
          <w:tcPr>
            <w:tcW w:w="707" w:type="dxa"/>
            <w:gridSpan w:val="2"/>
            <w:shd w:val="clear" w:color="auto" w:fill="auto"/>
            <w:vAlign w:val="center"/>
          </w:tcPr>
          <w:p w14:paraId="303CC777" w14:textId="77777777" w:rsidR="00A16838" w:rsidRDefault="00000000">
            <w:pPr>
              <w:jc w:val="center"/>
            </w:pPr>
            <w:r>
              <w:rPr>
                <w:rFonts w:ascii="宋体" w:hAnsi="宋体"/>
                <w:sz w:val="18"/>
              </w:rPr>
              <w:t>10</w:t>
            </w:r>
          </w:p>
        </w:tc>
        <w:tc>
          <w:tcPr>
            <w:tcW w:w="690" w:type="dxa"/>
            <w:gridSpan w:val="2"/>
            <w:shd w:val="clear" w:color="auto" w:fill="auto"/>
            <w:vAlign w:val="center"/>
          </w:tcPr>
          <w:p w14:paraId="26BCE16C" w14:textId="77777777" w:rsidR="00A16838" w:rsidRDefault="00000000">
            <w:pPr>
              <w:jc w:val="center"/>
            </w:pPr>
            <w:r>
              <w:rPr>
                <w:rFonts w:ascii="宋体" w:hAnsi="宋体"/>
                <w:sz w:val="18"/>
              </w:rPr>
              <w:t>10</w:t>
            </w:r>
          </w:p>
        </w:tc>
        <w:tc>
          <w:tcPr>
            <w:tcW w:w="2051" w:type="dxa"/>
            <w:gridSpan w:val="2"/>
            <w:shd w:val="clear" w:color="auto" w:fill="auto"/>
            <w:vAlign w:val="center"/>
          </w:tcPr>
          <w:p w14:paraId="3720A0C3" w14:textId="77777777" w:rsidR="00A16838" w:rsidRDefault="00A16838">
            <w:pPr>
              <w:jc w:val="center"/>
            </w:pPr>
          </w:p>
        </w:tc>
      </w:tr>
      <w:tr w:rsidR="00A16838" w14:paraId="3E09BD47" w14:textId="77777777">
        <w:trPr>
          <w:cantSplit/>
          <w:trHeight w:val="500"/>
        </w:trPr>
        <w:tc>
          <w:tcPr>
            <w:tcW w:w="6234" w:type="dxa"/>
            <w:gridSpan w:val="7"/>
            <w:shd w:val="clear" w:color="auto" w:fill="auto"/>
            <w:vAlign w:val="center"/>
          </w:tcPr>
          <w:p w14:paraId="72FF1B3D" w14:textId="77777777" w:rsidR="00A16838" w:rsidRDefault="00000000">
            <w:pPr>
              <w:jc w:val="center"/>
            </w:pPr>
            <w:r>
              <w:rPr>
                <w:rFonts w:ascii="宋体" w:hAnsi="宋体"/>
                <w:sz w:val="18"/>
              </w:rPr>
              <w:t>总分</w:t>
            </w:r>
          </w:p>
        </w:tc>
        <w:tc>
          <w:tcPr>
            <w:tcW w:w="707" w:type="dxa"/>
            <w:gridSpan w:val="2"/>
            <w:shd w:val="clear" w:color="auto" w:fill="auto"/>
            <w:vAlign w:val="center"/>
          </w:tcPr>
          <w:p w14:paraId="3FC4ED12" w14:textId="77777777" w:rsidR="00A16838" w:rsidRDefault="00000000">
            <w:pPr>
              <w:jc w:val="center"/>
            </w:pPr>
            <w:r>
              <w:rPr>
                <w:rFonts w:ascii="宋体" w:hAnsi="宋体"/>
                <w:sz w:val="18"/>
              </w:rPr>
              <w:t>100</w:t>
            </w:r>
          </w:p>
        </w:tc>
        <w:tc>
          <w:tcPr>
            <w:tcW w:w="690" w:type="dxa"/>
            <w:gridSpan w:val="2"/>
            <w:shd w:val="clear" w:color="auto" w:fill="auto"/>
            <w:vAlign w:val="center"/>
          </w:tcPr>
          <w:p w14:paraId="00C79366" w14:textId="77777777" w:rsidR="00A16838" w:rsidRDefault="00000000">
            <w:pPr>
              <w:jc w:val="center"/>
            </w:pPr>
            <w:r>
              <w:rPr>
                <w:rFonts w:ascii="宋体" w:hAnsi="宋体"/>
                <w:sz w:val="18"/>
              </w:rPr>
              <w:t>80.31分</w:t>
            </w:r>
          </w:p>
        </w:tc>
        <w:tc>
          <w:tcPr>
            <w:tcW w:w="2051" w:type="dxa"/>
            <w:gridSpan w:val="2"/>
            <w:shd w:val="clear" w:color="auto" w:fill="auto"/>
            <w:vAlign w:val="center"/>
          </w:tcPr>
          <w:p w14:paraId="036E6AF4" w14:textId="77777777" w:rsidR="00A16838" w:rsidRDefault="00A16838">
            <w:pPr>
              <w:jc w:val="center"/>
            </w:pPr>
          </w:p>
        </w:tc>
      </w:tr>
    </w:tbl>
    <w:p w14:paraId="566B7F82" w14:textId="77777777" w:rsidR="00A1683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75078FD1" w14:textId="77777777" w:rsidR="00A1683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3E252CDA" w14:textId="77777777" w:rsidR="00A16838"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3367EA3"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CA50C14"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2CD4570"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7EDC24A"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7435A3E"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DE9A955"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811ED2F"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2C4EC9A"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B5C98F"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4021EEE" w14:textId="77777777" w:rsidR="00A168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0698234" w14:textId="77777777" w:rsidR="00A168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AB4D464" w14:textId="77777777" w:rsidR="00A168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644CF73" w14:textId="77777777" w:rsidR="00A168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8D767C9" w14:textId="77777777" w:rsidR="00A1683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AB57159" w14:textId="77777777" w:rsidR="00A1683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DCA2950" w14:textId="77777777" w:rsidR="00A16838"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F9FD4ED" w14:textId="77777777" w:rsidR="00A1683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1B87379" w14:textId="77777777" w:rsidR="00A16838"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C32A7AD" w14:textId="77777777" w:rsidR="00A16838"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0E574C9A" w14:textId="77777777" w:rsidR="00A1683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6225EA0" w14:textId="77777777" w:rsidR="00A16838"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2F95002F" w14:textId="77777777" w:rsidR="00A168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234DFAC" w14:textId="77777777" w:rsidR="00A16838"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41757FBC" w14:textId="77777777" w:rsidR="00A168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3B21641" w14:textId="77777777" w:rsidR="00A16838" w:rsidRDefault="00A16838">
      <w:pPr>
        <w:ind w:firstLineChars="200" w:firstLine="640"/>
        <w:rPr>
          <w:rFonts w:ascii="仿宋_GB2312" w:eastAsia="仿宋_GB2312"/>
          <w:sz w:val="32"/>
          <w:szCs w:val="32"/>
        </w:rPr>
      </w:pPr>
    </w:p>
    <w:p w14:paraId="720CACFA" w14:textId="77777777" w:rsidR="00A16838" w:rsidRDefault="00A16838">
      <w:pPr>
        <w:ind w:firstLineChars="200" w:firstLine="640"/>
        <w:outlineLvl w:val="1"/>
        <w:rPr>
          <w:rFonts w:ascii="黑体" w:eastAsia="黑体" w:hAnsi="黑体" w:cs="宋体" w:hint="eastAsia"/>
          <w:bCs/>
          <w:kern w:val="0"/>
          <w:sz w:val="32"/>
          <w:szCs w:val="32"/>
        </w:rPr>
      </w:pPr>
    </w:p>
    <w:sectPr w:rsidR="00A1683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4FF98" w14:textId="77777777" w:rsidR="00E80E47" w:rsidRDefault="00E80E47">
      <w:r>
        <w:separator/>
      </w:r>
    </w:p>
  </w:endnote>
  <w:endnote w:type="continuationSeparator" w:id="0">
    <w:p w14:paraId="2E0780BA" w14:textId="77777777" w:rsidR="00E80E47" w:rsidRDefault="00E80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A4C16" w14:textId="77777777" w:rsidR="00A16838" w:rsidRDefault="00000000">
    <w:pPr>
      <w:pStyle w:val="a4"/>
    </w:pPr>
    <w:r>
      <w:rPr>
        <w:noProof/>
      </w:rPr>
      <mc:AlternateContent>
        <mc:Choice Requires="wps">
          <w:drawing>
            <wp:anchor distT="0" distB="0" distL="114300" distR="114300" simplePos="0" relativeHeight="251659264" behindDoc="0" locked="0" layoutInCell="1" allowOverlap="1" wp14:anchorId="433F4534" wp14:editId="6D4EC1B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6A83EB" w14:textId="77777777" w:rsidR="00A168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33F453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16A83EB" w14:textId="77777777" w:rsidR="00A168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83C0F" w14:textId="77777777" w:rsidR="00E80E47" w:rsidRDefault="00E80E47">
      <w:r>
        <w:separator/>
      </w:r>
    </w:p>
  </w:footnote>
  <w:footnote w:type="continuationSeparator" w:id="0">
    <w:p w14:paraId="3D674943" w14:textId="77777777" w:rsidR="00E80E47" w:rsidRDefault="00E80E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00114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E05D1C"/>
    <w:rsid w:val="00166DF9"/>
    <w:rsid w:val="00203280"/>
    <w:rsid w:val="00213C59"/>
    <w:rsid w:val="003210CE"/>
    <w:rsid w:val="003D4C4C"/>
    <w:rsid w:val="004752E2"/>
    <w:rsid w:val="00756E68"/>
    <w:rsid w:val="00A16838"/>
    <w:rsid w:val="00B70D59"/>
    <w:rsid w:val="00D55605"/>
    <w:rsid w:val="00E05D1C"/>
    <w:rsid w:val="00E332F5"/>
    <w:rsid w:val="00E80E47"/>
    <w:rsid w:val="00F50528"/>
    <w:rsid w:val="00F52A8D"/>
    <w:rsid w:val="00F75534"/>
    <w:rsid w:val="00F974C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14E7B"/>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EED214A"/>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6A4A6"/>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1290</Words>
  <Characters>7359</Characters>
  <Application>Microsoft Office Word</Application>
  <DocSecurity>0</DocSecurity>
  <Lines>61</Lines>
  <Paragraphs>17</Paragraphs>
  <ScaleCrop>false</ScaleCrop>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