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06CF77">
      <w:pPr>
        <w:rPr>
          <w:rFonts w:hint="eastAsia" w:ascii="黑体" w:hAnsi="黑体" w:eastAsia="黑体"/>
          <w:sz w:val="32"/>
          <w:szCs w:val="32"/>
        </w:rPr>
      </w:pPr>
    </w:p>
    <w:p w14:paraId="165201EB">
      <w:pPr>
        <w:jc w:val="center"/>
        <w:rPr>
          <w:rFonts w:hint="eastAsia" w:ascii="方正小标宋_GBK" w:hAnsi="宋体" w:eastAsia="方正小标宋_GBK"/>
          <w:sz w:val="44"/>
          <w:szCs w:val="44"/>
        </w:rPr>
      </w:pPr>
    </w:p>
    <w:p w14:paraId="6320473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中共乌鲁木齐市米东区委员会党校</w:t>
      </w:r>
    </w:p>
    <w:p w14:paraId="685A2289">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64EBDC2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4768A937">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15308AE9">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024DBDA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7B715B3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46C4A1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0080F499">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6E3435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4085C1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FC2C03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5D55E01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4282BC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2C92EF2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BEC7DD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AA535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0F05C570">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6B741C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0771B6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5463B08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F7766DD">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72B1D48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B32E0EA">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9EB286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2D78F3F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1435408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59FA1C9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6B26BB1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7E562F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611608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3B14F5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43CD7A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D2AEE5A">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306B8C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73EA9795">
      <w:r>
        <w:rPr>
          <w:rFonts w:hint="eastAsia" w:ascii="仿宋_GB2312" w:hAnsi="仿宋_GB2312" w:eastAsia="仿宋_GB2312" w:cs="仿宋_GB2312"/>
          <w:sz w:val="32"/>
          <w:szCs w:val="32"/>
        </w:rPr>
        <w:fldChar w:fldCharType="end"/>
      </w:r>
    </w:p>
    <w:p w14:paraId="09C6164F">
      <w:pPr>
        <w:rPr>
          <w:rFonts w:ascii="仿宋_GB2312" w:eastAsia="仿宋_GB2312"/>
          <w:sz w:val="32"/>
          <w:szCs w:val="32"/>
        </w:rPr>
      </w:pPr>
      <w:r>
        <w:rPr>
          <w:rFonts w:hint="eastAsia" w:ascii="仿宋_GB2312" w:eastAsia="仿宋_GB2312"/>
          <w:sz w:val="32"/>
          <w:szCs w:val="32"/>
        </w:rPr>
        <w:br w:type="page"/>
      </w:r>
    </w:p>
    <w:p w14:paraId="0F528CD3">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6CF13000">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164244A1">
      <w:pPr>
        <w:ind w:firstLine="640" w:firstLineChars="200"/>
        <w:rPr>
          <w:rFonts w:ascii="仿宋_GB2312" w:eastAsia="仿宋_GB2312"/>
          <w:sz w:val="32"/>
          <w:szCs w:val="32"/>
        </w:rPr>
      </w:pPr>
      <w:r>
        <w:rPr>
          <w:rFonts w:hint="eastAsia" w:ascii="仿宋_GB2312" w:eastAsia="仿宋_GB2312"/>
          <w:sz w:val="32"/>
          <w:szCs w:val="32"/>
        </w:rPr>
        <w:t>1.学习、研究和宣传马克思列宁主义、毛泽东思想、邓小平理论、“三个代表”重要思想、科学发展观和</w:t>
      </w:r>
      <w:bookmarkStart w:id="49" w:name="_GoBack"/>
      <w:bookmarkEnd w:id="49"/>
      <w:r>
        <w:rPr>
          <w:rFonts w:hint="eastAsia" w:ascii="仿宋_GB2312" w:eastAsia="仿宋_GB2312"/>
          <w:sz w:val="32"/>
          <w:szCs w:val="32"/>
          <w:lang w:eastAsia="zh-CN"/>
        </w:rPr>
        <w:t>习近平新时代中国特色社会主义思想</w:t>
      </w:r>
      <w:r>
        <w:rPr>
          <w:rFonts w:hint="eastAsia" w:ascii="仿宋_GB2312" w:eastAsia="仿宋_GB2312"/>
          <w:sz w:val="32"/>
          <w:szCs w:val="32"/>
        </w:rPr>
        <w:t>以及党和国家的路线、方针、政策、法律、法规。</w:t>
      </w:r>
    </w:p>
    <w:p w14:paraId="11FA5694">
      <w:pPr>
        <w:ind w:firstLine="640" w:firstLineChars="200"/>
        <w:rPr>
          <w:rFonts w:ascii="仿宋_GB2312" w:eastAsia="仿宋_GB2312"/>
          <w:sz w:val="32"/>
          <w:szCs w:val="32"/>
        </w:rPr>
      </w:pPr>
      <w:r>
        <w:rPr>
          <w:rFonts w:hint="eastAsia" w:ascii="仿宋_GB2312" w:eastAsia="仿宋_GB2312"/>
          <w:sz w:val="32"/>
          <w:szCs w:val="32"/>
        </w:rPr>
        <w:t>2.根据区委对干部队伍建设的要求，开展区属科级干部、党员干部、社区干部、发展对象、理论骨干及异地挂职干部的培训工作。</w:t>
      </w:r>
    </w:p>
    <w:p w14:paraId="3C30AAD6">
      <w:pPr>
        <w:ind w:firstLine="640" w:firstLineChars="200"/>
        <w:rPr>
          <w:rFonts w:ascii="仿宋_GB2312" w:eastAsia="仿宋_GB2312"/>
          <w:sz w:val="32"/>
          <w:szCs w:val="32"/>
        </w:rPr>
      </w:pPr>
      <w:r>
        <w:rPr>
          <w:rFonts w:hint="eastAsia" w:ascii="仿宋_GB2312" w:eastAsia="仿宋_GB2312"/>
          <w:sz w:val="32"/>
          <w:szCs w:val="32"/>
        </w:rPr>
        <w:t>3.在组织部的指导下，协助其他部门做好政治理论及业务培训工作。</w:t>
      </w:r>
    </w:p>
    <w:p w14:paraId="7BCB566C">
      <w:pPr>
        <w:ind w:firstLine="640" w:firstLineChars="200"/>
        <w:rPr>
          <w:rFonts w:ascii="仿宋_GB2312" w:eastAsia="仿宋_GB2312"/>
          <w:sz w:val="32"/>
          <w:szCs w:val="32"/>
        </w:rPr>
      </w:pPr>
      <w:r>
        <w:rPr>
          <w:rFonts w:hint="eastAsia" w:ascii="仿宋_GB2312" w:eastAsia="仿宋_GB2312"/>
          <w:sz w:val="32"/>
          <w:szCs w:val="32"/>
        </w:rPr>
        <w:t>4.完成上级交办的其他工作。</w:t>
      </w:r>
    </w:p>
    <w:p w14:paraId="42BF7920">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6969F42">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中共乌鲁木齐市米东区委员会党校2023年度，实有人数</w:t>
      </w:r>
      <w:r>
        <w:rPr>
          <w:rFonts w:hint="eastAsia" w:ascii="仿宋_GB2312" w:eastAsia="仿宋_GB2312"/>
          <w:sz w:val="32"/>
          <w:szCs w:val="32"/>
          <w:lang w:val="zh-CN"/>
        </w:rPr>
        <w:t>24</w:t>
      </w:r>
      <w:r>
        <w:rPr>
          <w:rFonts w:hint="eastAsia" w:ascii="仿宋_GB2312" w:eastAsia="仿宋_GB2312"/>
          <w:sz w:val="32"/>
          <w:szCs w:val="32"/>
        </w:rPr>
        <w:t>人，其中：在职人员</w:t>
      </w:r>
      <w:r>
        <w:rPr>
          <w:rFonts w:hint="eastAsia" w:ascii="仿宋_GB2312" w:eastAsia="仿宋_GB2312"/>
          <w:sz w:val="32"/>
          <w:szCs w:val="32"/>
          <w:lang w:val="zh-CN"/>
        </w:rPr>
        <w:t>13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w:t>
      </w:r>
      <w:r>
        <w:rPr>
          <w:rFonts w:hint="eastAsia" w:ascii="仿宋_GB2312" w:eastAsia="仿宋_GB2312"/>
          <w:sz w:val="32"/>
          <w:szCs w:val="32"/>
        </w:rPr>
        <w:t>人。</w:t>
      </w:r>
    </w:p>
    <w:p w14:paraId="1AB9BB51">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2</w:t>
      </w:r>
      <w:r>
        <w:rPr>
          <w:rFonts w:hint="eastAsia" w:ascii="仿宋_GB2312" w:hAnsi="黑体" w:eastAsia="仿宋_GB2312" w:cs="宋体"/>
          <w:bCs/>
          <w:kern w:val="0"/>
          <w:sz w:val="32"/>
          <w:szCs w:val="32"/>
        </w:rPr>
        <w:t>个处室，分别是：</w:t>
      </w:r>
      <w:r>
        <w:rPr>
          <w:rFonts w:hint="eastAsia" w:ascii="仿宋_GB2312" w:eastAsia="仿宋_GB2312"/>
          <w:sz w:val="32"/>
          <w:szCs w:val="32"/>
        </w:rPr>
        <w:t>办公室、</w:t>
      </w:r>
      <w:r>
        <w:rPr>
          <w:rFonts w:hint="eastAsia" w:eastAsia="方正仿宋"/>
          <w:color w:val="1E1C11"/>
          <w:kern w:val="0"/>
          <w:sz w:val="30"/>
          <w:szCs w:val="30"/>
        </w:rPr>
        <w:t>教</w:t>
      </w:r>
      <w:r>
        <w:rPr>
          <w:rFonts w:hint="eastAsia" w:ascii="仿宋_GB2312" w:eastAsia="仿宋_GB2312"/>
          <w:sz w:val="32"/>
          <w:szCs w:val="32"/>
        </w:rPr>
        <w:t>务处</w:t>
      </w:r>
      <w:r>
        <w:rPr>
          <w:rFonts w:hint="eastAsia" w:ascii="仿宋_GB2312" w:hAnsi="宋体" w:eastAsia="仿宋_GB2312" w:cs="宋体"/>
          <w:kern w:val="0"/>
          <w:sz w:val="32"/>
          <w:szCs w:val="32"/>
        </w:rPr>
        <w:t>。</w:t>
      </w:r>
    </w:p>
    <w:p w14:paraId="03AE8736">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5985DB09">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7F30DFDA">
      <w:pPr>
        <w:ind w:firstLine="640" w:firstLineChars="200"/>
        <w:rPr>
          <w:rFonts w:ascii="仿宋_GB2312" w:eastAsia="仿宋_GB2312"/>
          <w:sz w:val="32"/>
          <w:szCs w:val="32"/>
        </w:rPr>
      </w:pPr>
      <w:r>
        <w:rPr>
          <w:rFonts w:hint="eastAsia" w:ascii="仿宋_GB2312" w:eastAsia="仿宋_GB2312"/>
          <w:sz w:val="32"/>
          <w:szCs w:val="32"/>
        </w:rPr>
        <w:t>2023年度收入总计288.50万元，其中：本年收入合计288.46万元，使用非财政拨款结余0.00万元，年初结转和结余0.05万元。</w:t>
      </w:r>
    </w:p>
    <w:p w14:paraId="1108AA81">
      <w:pPr>
        <w:ind w:firstLine="640" w:firstLineChars="200"/>
        <w:rPr>
          <w:rFonts w:ascii="仿宋_GB2312" w:eastAsia="仿宋_GB2312"/>
          <w:sz w:val="32"/>
          <w:szCs w:val="32"/>
        </w:rPr>
      </w:pPr>
      <w:r>
        <w:rPr>
          <w:rFonts w:hint="eastAsia" w:ascii="仿宋_GB2312" w:eastAsia="仿宋_GB2312"/>
          <w:sz w:val="32"/>
          <w:szCs w:val="32"/>
        </w:rPr>
        <w:t>2023年度支出总计288.50万元，其中：本年支出合计236.90万元，结余分配0.00万元，年末结转和结余51.61万元。</w:t>
      </w:r>
    </w:p>
    <w:p w14:paraId="1481D788">
      <w:pPr>
        <w:ind w:firstLine="640" w:firstLineChars="200"/>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增加130.11万元</w:t>
      </w:r>
      <w:r>
        <w:rPr>
          <w:rFonts w:hint="eastAsia" w:ascii="仿宋_GB2312" w:eastAsia="仿宋_GB2312"/>
          <w:sz w:val="32"/>
          <w:szCs w:val="32"/>
        </w:rPr>
        <w:t>，增长82.15%，主要原因是：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w:t>
      </w:r>
    </w:p>
    <w:p w14:paraId="54362684">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3C7072F1">
      <w:pPr>
        <w:ind w:firstLine="640" w:firstLineChars="200"/>
        <w:jc w:val="left"/>
        <w:rPr>
          <w:rFonts w:ascii="仿宋_GB2312" w:eastAsia="仿宋_GB2312"/>
          <w:sz w:val="32"/>
          <w:szCs w:val="32"/>
        </w:rPr>
      </w:pPr>
      <w:r>
        <w:rPr>
          <w:rFonts w:hint="eastAsia" w:ascii="仿宋_GB2312" w:eastAsia="仿宋_GB2312"/>
          <w:sz w:val="32"/>
          <w:szCs w:val="32"/>
        </w:rPr>
        <w:t>本年收入288.46万元，其中：财政拨款收入</w:t>
      </w:r>
      <w:r>
        <w:rPr>
          <w:rFonts w:hint="eastAsia" w:ascii="仿宋_GB2312" w:eastAsia="仿宋_GB2312"/>
          <w:sz w:val="32"/>
          <w:szCs w:val="32"/>
          <w:lang w:val="zh-CN"/>
        </w:rPr>
        <w:t>225.71</w:t>
      </w:r>
      <w:r>
        <w:rPr>
          <w:rFonts w:hint="eastAsia" w:ascii="仿宋_GB2312" w:eastAsia="仿宋_GB2312"/>
          <w:sz w:val="32"/>
          <w:szCs w:val="32"/>
        </w:rPr>
        <w:t>万元，占</w:t>
      </w:r>
      <w:r>
        <w:rPr>
          <w:rFonts w:hint="eastAsia" w:ascii="仿宋_GB2312" w:eastAsia="仿宋_GB2312"/>
          <w:sz w:val="32"/>
          <w:szCs w:val="32"/>
          <w:lang w:val="zh-CN"/>
        </w:rPr>
        <w:t>78.25%</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62.75</w:t>
      </w:r>
      <w:r>
        <w:rPr>
          <w:rFonts w:hint="eastAsia" w:ascii="仿宋_GB2312" w:eastAsia="仿宋_GB2312"/>
          <w:sz w:val="32"/>
          <w:szCs w:val="32"/>
        </w:rPr>
        <w:t>万元，占</w:t>
      </w:r>
      <w:r>
        <w:rPr>
          <w:rFonts w:hint="eastAsia" w:ascii="仿宋_GB2312" w:eastAsia="仿宋_GB2312"/>
          <w:sz w:val="32"/>
          <w:szCs w:val="32"/>
          <w:lang w:val="zh-CN"/>
        </w:rPr>
        <w:t>21.75%</w:t>
      </w:r>
      <w:r>
        <w:rPr>
          <w:rFonts w:hint="eastAsia" w:ascii="仿宋_GB2312" w:eastAsia="仿宋_GB2312"/>
          <w:sz w:val="32"/>
          <w:szCs w:val="32"/>
        </w:rPr>
        <w:t>。</w:t>
      </w:r>
    </w:p>
    <w:p w14:paraId="40F64AFD">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43A791AB">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本年支出236.90万元，其中：基本支出236.90万元，占100.00%；项目支出0.00万元，占0.00%；上缴上级支出0.00万元，占0.00%；经营支出0.00万元，占0.00%；对附属单位补助支出0.00万元，占0.00%。</w:t>
      </w:r>
    </w:p>
    <w:p w14:paraId="0E8C2B16">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325D95ED">
      <w:pPr>
        <w:ind w:firstLine="640" w:firstLineChars="200"/>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225.71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225.71</w:t>
      </w:r>
      <w:r>
        <w:rPr>
          <w:rFonts w:hint="eastAsia" w:ascii="仿宋_GB2312" w:eastAsia="仿宋_GB2312"/>
          <w:sz w:val="32"/>
          <w:szCs w:val="32"/>
        </w:rPr>
        <w:t>万元。财政拨款支出总计</w:t>
      </w:r>
      <w:r>
        <w:rPr>
          <w:rFonts w:hint="eastAsia" w:ascii="仿宋_GB2312" w:eastAsia="仿宋_GB2312"/>
          <w:sz w:val="32"/>
          <w:szCs w:val="32"/>
          <w:lang w:val="zh-CN"/>
        </w:rPr>
        <w:t>225.71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3.49</w:t>
      </w:r>
      <w:r>
        <w:rPr>
          <w:rFonts w:hint="eastAsia" w:ascii="仿宋_GB2312" w:eastAsia="仿宋_GB2312"/>
          <w:sz w:val="32"/>
          <w:szCs w:val="32"/>
        </w:rPr>
        <w:t>万元，本年财政拨款支出</w:t>
      </w:r>
      <w:r>
        <w:rPr>
          <w:rFonts w:hint="eastAsia" w:ascii="仿宋_GB2312" w:eastAsia="仿宋_GB2312"/>
          <w:sz w:val="32"/>
          <w:szCs w:val="32"/>
          <w:lang w:val="zh-CN"/>
        </w:rPr>
        <w:t>222.21</w:t>
      </w:r>
      <w:r>
        <w:rPr>
          <w:rFonts w:hint="eastAsia" w:ascii="仿宋_GB2312" w:eastAsia="仿宋_GB2312"/>
          <w:sz w:val="32"/>
          <w:szCs w:val="32"/>
        </w:rPr>
        <w:t>万元。</w:t>
      </w:r>
    </w:p>
    <w:p w14:paraId="4B4D8202">
      <w:pPr>
        <w:ind w:firstLine="640" w:firstLineChars="200"/>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增加67.37万元</w:t>
      </w:r>
      <w:r>
        <w:rPr>
          <w:rFonts w:hint="eastAsia" w:ascii="仿宋_GB2312" w:eastAsia="仿宋_GB2312"/>
          <w:sz w:val="32"/>
          <w:szCs w:val="32"/>
        </w:rPr>
        <w:t>，增长42.55%,主要原因是：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271.09</w:t>
      </w:r>
      <w:r>
        <w:rPr>
          <w:rFonts w:hint="eastAsia" w:ascii="仿宋_GB2312" w:eastAsia="仿宋_GB2312"/>
          <w:sz w:val="32"/>
          <w:szCs w:val="32"/>
        </w:rPr>
        <w:t>万元，决算数</w:t>
      </w:r>
      <w:r>
        <w:rPr>
          <w:rFonts w:hint="eastAsia" w:ascii="仿宋_GB2312" w:eastAsia="仿宋_GB2312"/>
          <w:sz w:val="32"/>
          <w:szCs w:val="32"/>
          <w:lang w:val="zh-CN"/>
        </w:rPr>
        <w:t>225.71</w:t>
      </w:r>
      <w:r>
        <w:rPr>
          <w:rFonts w:hint="eastAsia" w:ascii="仿宋_GB2312" w:eastAsia="仿宋_GB2312"/>
          <w:sz w:val="32"/>
          <w:szCs w:val="32"/>
        </w:rPr>
        <w:t>万元，预决算差异率-16.74%，主要原因是：单位本年人员工资、津贴补贴等人员经费实际金额小于年初预算安排资金。</w:t>
      </w:r>
    </w:p>
    <w:p w14:paraId="7781698E">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3ABB5CD4">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0E50EC0">
      <w:pPr>
        <w:ind w:firstLine="640" w:firstLineChars="200"/>
        <w:rPr>
          <w:rFonts w:ascii="仿宋_GB2312" w:eastAsia="仿宋_GB2312"/>
          <w:sz w:val="32"/>
          <w:szCs w:val="32"/>
        </w:rPr>
      </w:pPr>
      <w:r>
        <w:rPr>
          <w:rFonts w:hint="eastAsia" w:ascii="仿宋_GB2312" w:eastAsia="仿宋_GB2312"/>
          <w:sz w:val="32"/>
          <w:szCs w:val="32"/>
        </w:rPr>
        <w:t>2023年度一般公共预算财政拨款支出222.21万元，占本年支出合计的</w:t>
      </w:r>
      <w:r>
        <w:rPr>
          <w:rFonts w:hint="eastAsia" w:ascii="仿宋_GB2312" w:eastAsia="仿宋_GB2312"/>
          <w:sz w:val="32"/>
          <w:szCs w:val="32"/>
          <w:lang w:val="zh-CN"/>
        </w:rPr>
        <w:t>93.80%</w:t>
      </w:r>
      <w:r>
        <w:rPr>
          <w:rFonts w:hint="eastAsia" w:ascii="仿宋_GB2312" w:eastAsia="仿宋_GB2312"/>
          <w:sz w:val="32"/>
          <w:szCs w:val="32"/>
        </w:rPr>
        <w:t>。与上年相比，</w:t>
      </w:r>
      <w:r>
        <w:rPr>
          <w:rFonts w:hint="eastAsia" w:ascii="仿宋_GB2312" w:eastAsia="仿宋_GB2312"/>
          <w:sz w:val="32"/>
          <w:szCs w:val="32"/>
          <w:lang w:val="zh-CN"/>
        </w:rPr>
        <w:t>增加63.87万元</w:t>
      </w:r>
      <w:r>
        <w:rPr>
          <w:rFonts w:hint="eastAsia" w:ascii="仿宋_GB2312" w:eastAsia="仿宋_GB2312"/>
          <w:sz w:val="32"/>
          <w:szCs w:val="32"/>
        </w:rPr>
        <w:t>，增长40.34%,主要原因是：</w:t>
      </w:r>
      <w:r>
        <w:rPr>
          <w:rFonts w:hint="eastAsia" w:ascii="仿宋_GB2312" w:hAnsi="仿宋_GB2312" w:eastAsia="仿宋_GB2312" w:cs="仿宋_GB2312"/>
          <w:sz w:val="32"/>
          <w:szCs w:val="32"/>
          <w:lang w:val="zh-CN"/>
        </w:rPr>
        <w:t>单位本年人员增加，相应人员工资、津贴补贴、奖金等人员经费增加</w:t>
      </w:r>
      <w:r>
        <w:rPr>
          <w:rFonts w:hint="eastAsia" w:ascii="仿宋_GB2312" w:eastAsia="仿宋_GB2312"/>
          <w:sz w:val="32"/>
          <w:szCs w:val="32"/>
        </w:rPr>
        <w:t>。与年初预算相比，年初预算数</w:t>
      </w:r>
      <w:r>
        <w:rPr>
          <w:rFonts w:hint="eastAsia" w:ascii="仿宋_GB2312" w:eastAsia="仿宋_GB2312"/>
          <w:sz w:val="32"/>
          <w:szCs w:val="32"/>
          <w:lang w:val="zh-CN"/>
        </w:rPr>
        <w:t>271.09</w:t>
      </w:r>
      <w:r>
        <w:rPr>
          <w:rFonts w:hint="eastAsia" w:ascii="仿宋_GB2312" w:eastAsia="仿宋_GB2312"/>
          <w:sz w:val="32"/>
          <w:szCs w:val="32"/>
        </w:rPr>
        <w:t>万元，决算数</w:t>
      </w:r>
      <w:r>
        <w:rPr>
          <w:rFonts w:hint="eastAsia" w:ascii="仿宋_GB2312" w:eastAsia="仿宋_GB2312"/>
          <w:sz w:val="32"/>
          <w:szCs w:val="32"/>
          <w:lang w:val="zh-CN"/>
        </w:rPr>
        <w:t>222.21</w:t>
      </w:r>
      <w:r>
        <w:rPr>
          <w:rFonts w:hint="eastAsia" w:ascii="仿宋_GB2312" w:eastAsia="仿宋_GB2312"/>
          <w:sz w:val="32"/>
          <w:szCs w:val="32"/>
        </w:rPr>
        <w:t>万元，预决算差异率</w:t>
      </w:r>
      <w:r>
        <w:rPr>
          <w:rFonts w:hint="eastAsia" w:ascii="仿宋_GB2312" w:eastAsia="仿宋_GB2312"/>
          <w:sz w:val="32"/>
          <w:szCs w:val="32"/>
          <w:lang w:val="zh-CN"/>
        </w:rPr>
        <w:t>-18.03%</w:t>
      </w:r>
      <w:r>
        <w:rPr>
          <w:rFonts w:hint="eastAsia" w:ascii="仿宋_GB2312" w:eastAsia="仿宋_GB2312"/>
          <w:sz w:val="32"/>
          <w:szCs w:val="32"/>
        </w:rPr>
        <w:t>，主要原因是：单位本年人员工资、津贴补贴等人员经费实际金额小于年初预算安排资金。</w:t>
      </w:r>
    </w:p>
    <w:p w14:paraId="2E73BE82">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303EF9C">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1.教育支出（类）</w:t>
      </w:r>
      <w:r>
        <w:rPr>
          <w:rFonts w:hint="eastAsia" w:ascii="仿宋_GB2312" w:eastAsia="仿宋_GB2312"/>
          <w:kern w:val="2"/>
          <w:sz w:val="32"/>
          <w:szCs w:val="32"/>
          <w:lang w:val="zh-CN"/>
        </w:rPr>
        <w:t>201.39</w:t>
      </w:r>
      <w:r>
        <w:rPr>
          <w:rFonts w:ascii="仿宋_GB2312" w:eastAsia="仿宋_GB2312"/>
          <w:kern w:val="2"/>
          <w:sz w:val="32"/>
          <w:szCs w:val="32"/>
          <w:lang w:val="zh-CN"/>
        </w:rPr>
        <w:t>万元，占</w:t>
      </w:r>
      <w:r>
        <w:rPr>
          <w:rFonts w:hint="eastAsia" w:ascii="仿宋_GB2312" w:eastAsia="仿宋_GB2312"/>
          <w:kern w:val="2"/>
          <w:sz w:val="32"/>
          <w:szCs w:val="32"/>
          <w:lang w:val="zh-CN"/>
        </w:rPr>
        <w:t>90.63%</w:t>
      </w:r>
      <w:r>
        <w:rPr>
          <w:rFonts w:ascii="仿宋_GB2312" w:eastAsia="仿宋_GB2312"/>
          <w:kern w:val="2"/>
          <w:sz w:val="32"/>
          <w:szCs w:val="32"/>
          <w:lang w:val="zh-CN"/>
        </w:rPr>
        <w:t>；</w:t>
      </w:r>
    </w:p>
    <w:p w14:paraId="0DA259E8">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20.83</w:t>
      </w:r>
      <w:r>
        <w:rPr>
          <w:rFonts w:ascii="仿宋_GB2312" w:eastAsia="仿宋_GB2312"/>
          <w:kern w:val="2"/>
          <w:sz w:val="32"/>
          <w:szCs w:val="32"/>
          <w:lang w:val="zh-CN"/>
        </w:rPr>
        <w:t>万元，占</w:t>
      </w:r>
      <w:r>
        <w:rPr>
          <w:rFonts w:hint="eastAsia" w:ascii="仿宋_GB2312" w:eastAsia="仿宋_GB2312"/>
          <w:kern w:val="2"/>
          <w:sz w:val="32"/>
          <w:szCs w:val="32"/>
          <w:lang w:val="zh-CN"/>
        </w:rPr>
        <w:t>9.37%。</w:t>
      </w:r>
    </w:p>
    <w:p w14:paraId="5B392E4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3BB07C2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1.教育支出（类）进修及培训（款）干部教育（项）:支出决算数为201.39万元，比上年决算增加49.22万元，增长32.35%，主要原因是：</w:t>
      </w:r>
      <w:r>
        <w:rPr>
          <w:rFonts w:hint="eastAsia" w:ascii="仿宋_GB2312" w:hAnsi="仿宋_GB2312" w:eastAsia="仿宋_GB2312" w:cs="仿宋_GB2312"/>
          <w:sz w:val="32"/>
          <w:szCs w:val="32"/>
          <w:lang w:val="zh-CN"/>
        </w:rPr>
        <w:t>单位本年人员增加，相应人员工资、津贴补贴、奖金等人员经费增加。</w:t>
      </w:r>
    </w:p>
    <w:p w14:paraId="7C96FC3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2.社会保障和就业支出（类）行政事业单位养老支出（款）机关事业单位职业年金缴费支出（项）:支出决算数为5.98万元，比上年决算增加5.98万元，增长100%，主要原因是：</w:t>
      </w:r>
      <w:r>
        <w:rPr>
          <w:rFonts w:hint="eastAsia" w:ascii="仿宋_GB2312" w:hAnsi="仿宋_GB2312" w:eastAsia="仿宋_GB2312" w:cs="仿宋_GB2312"/>
          <w:sz w:val="32"/>
          <w:szCs w:val="32"/>
          <w:lang w:val="zh-CN"/>
        </w:rPr>
        <w:t>单位本年补缴以前年度职业年金费用。</w:t>
      </w:r>
    </w:p>
    <w:p w14:paraId="4757B2D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3.社会保障和就业支出（类）行政事业单位养老支出（款）机关事业单位基本养老保险缴费支出（项）:支出决算数为14.85万元，比上年决算增加8.68万元，增长140.68%，主要原因是：</w:t>
      </w:r>
      <w:r>
        <w:rPr>
          <w:rFonts w:hint="eastAsia" w:ascii="仿宋_GB2312" w:hAnsi="仿宋_GB2312" w:eastAsia="仿宋_GB2312" w:cs="仿宋_GB2312"/>
          <w:sz w:val="32"/>
          <w:szCs w:val="32"/>
          <w:lang w:val="zh-CN"/>
        </w:rPr>
        <w:t>单位本年人员经费增加，相应人员养老保险缴费增加。</w:t>
      </w:r>
    </w:p>
    <w:p w14:paraId="0A748D3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34595549">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222.21万元，其中：人员经费202.96万元，包括：基本工资、津贴补贴、奖金、机关事业单位基本养老保险缴费、职业年金缴费、职工基本医疗保险缴费、公务员医疗补助缴费、其他社会保障缴费、住房公积金、生活补助、奖励金。</w:t>
      </w:r>
    </w:p>
    <w:p w14:paraId="73BC78CC">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公用经费19.25万元，包括：办公费、邮电费、培训费、委托业务费、工会经费、福利费、公务用车运行维护费、税金及附加费用、其他商品和</w:t>
      </w:r>
      <w:r>
        <w:rPr>
          <w:rFonts w:hint="eastAsia" w:ascii="仿宋_GB2312" w:eastAsia="仿宋_GB2312"/>
          <w:sz w:val="32"/>
          <w:szCs w:val="32"/>
          <w:lang w:val="zh-CN"/>
        </w:rPr>
        <w:t>服务支出。</w:t>
      </w:r>
    </w:p>
    <w:p w14:paraId="20732704">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7CAC967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“三公”经费支出1.83万元，</w:t>
      </w:r>
      <w:r>
        <w:rPr>
          <w:rFonts w:hint="eastAsia" w:ascii="仿宋_GB2312" w:eastAsia="仿宋_GB2312"/>
          <w:sz w:val="32"/>
          <w:szCs w:val="32"/>
        </w:rPr>
        <w:t>比上年</w:t>
      </w:r>
      <w:r>
        <w:rPr>
          <w:rFonts w:hint="eastAsia" w:ascii="仿宋_GB2312" w:eastAsia="仿宋_GB2312"/>
          <w:sz w:val="32"/>
          <w:szCs w:val="32"/>
          <w:lang w:val="zh-CN"/>
        </w:rPr>
        <w:t>增加0.38万元，</w:t>
      </w:r>
      <w:r>
        <w:rPr>
          <w:rFonts w:hint="eastAsia" w:ascii="仿宋_GB2312" w:eastAsia="仿宋_GB2312"/>
          <w:sz w:val="32"/>
          <w:szCs w:val="32"/>
        </w:rPr>
        <w:t>增长26.21%,</w:t>
      </w:r>
      <w:r>
        <w:rPr>
          <w:rFonts w:hint="eastAsia" w:ascii="仿宋_GB2312" w:eastAsia="仿宋_GB2312"/>
          <w:sz w:val="32"/>
          <w:szCs w:val="32"/>
          <w:lang w:val="zh-CN"/>
        </w:rPr>
        <w:t>主要原因是：车辆出行次数增加，车辆维修维护费、燃油费等增加。其中：因公出国（境）费支出0.00万元，占0.00%，比上年增加0.00万元，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主要原因是：单位本年无此项经费；公务用车购置及运行维护费支出1.83万元，占100.00%，比上年增加0.38万元，</w:t>
      </w:r>
      <w:r>
        <w:rPr>
          <w:rFonts w:hint="eastAsia" w:ascii="仿宋_GB2312" w:eastAsia="仿宋_GB2312"/>
          <w:sz w:val="32"/>
          <w:szCs w:val="32"/>
        </w:rPr>
        <w:t>增长26.21%,</w:t>
      </w:r>
      <w:r>
        <w:rPr>
          <w:rFonts w:hint="eastAsia" w:ascii="仿宋_GB2312" w:eastAsia="仿宋_GB2312"/>
          <w:sz w:val="32"/>
          <w:szCs w:val="32"/>
          <w:lang w:val="zh-CN"/>
        </w:rPr>
        <w:t>主要原因是：车辆出行次数增加，车辆维修维护费、燃油费等增加；公务接待费支出0.00万元，占0.00%，比上年增加0.00万元，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主要原因是：单位本年无此项经费。</w:t>
      </w:r>
    </w:p>
    <w:p w14:paraId="0416825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E943047">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因公出国（境）费支出0.00万元，开支内容包括单位本年无此项经费。单位全年安排的因公出国（境）团组0个，因公出国（境）0人次。</w:t>
      </w:r>
    </w:p>
    <w:p w14:paraId="460D15B8">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1.83万元，其中：公务用车购置费0.00万元，公务用车运行维护费1.83万元。公务用车运行维护费开支内容包括公务用车燃油费、车辆维修维护费、保险费、过路费等。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7F070C7B">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公务接待费0.00万元，开支内容包括单位本年无此项经费。单位全年安排的国内公务接待0批次，0人次。</w:t>
      </w:r>
    </w:p>
    <w:p w14:paraId="4C76C651">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预算数1.83万元，决算数1.83万元，预决算差异率0.00%，主要原因是：严格按预算执行，预决算对比无差异。其中：因公出国（境）费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0.00万元，决算数0.00万元，预决算差异率0.00%，主要原因是：单位本年无此项经费；公务用车购置费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预算数1.83万元，决算数1.83万元，预决算差异率0.00%，主要原因是：严格按预算执行，预决算对比无差异；公务接待费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预算数0.00万元，决算数0.00万元，预决算差异率0.00%，主要原因是：单位本年无此项经费。</w:t>
      </w:r>
    </w:p>
    <w:p w14:paraId="03A2E02E">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13774173">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EF1401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277E0D2">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4B07EDE">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01FFC0D3">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32C55811">
      <w:pPr>
        <w:ind w:firstLine="640" w:firstLineChars="200"/>
        <w:rPr>
          <w:rFonts w:hint="eastAsia" w:ascii="仿宋_GB2312" w:hAnsi="仿宋_GB2312" w:eastAsia="仿宋_GB2312" w:cs="仿宋_GB2312"/>
          <w:sz w:val="32"/>
          <w:szCs w:val="32"/>
          <w:lang w:val="zh-CN"/>
        </w:rPr>
      </w:pPr>
      <w:bookmarkStart w:id="24" w:name="_Toc227"/>
      <w:bookmarkStart w:id="25" w:name="_Toc26704"/>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中共乌鲁木齐市米东区委员会党校（行政单位和参照公务员法管理事业单位）机关运行经费支出19.25万元，</w:t>
      </w:r>
      <w:r>
        <w:rPr>
          <w:rFonts w:hint="eastAsia" w:ascii="仿宋_GB2312" w:hAnsi="仿宋_GB2312" w:eastAsia="仿宋_GB2312" w:cs="仿宋_GB2312"/>
          <w:sz w:val="32"/>
          <w:szCs w:val="32"/>
          <w:lang w:val="zh-CN"/>
        </w:rPr>
        <w:t>比上年增加0.31万元，增长1.64%，主要原因是：单位本年</w:t>
      </w:r>
      <w:r>
        <w:rPr>
          <w:rFonts w:hint="eastAsia" w:ascii="仿宋_GB2312" w:eastAsia="仿宋_GB2312"/>
          <w:sz w:val="32"/>
          <w:szCs w:val="32"/>
        </w:rPr>
        <w:t>办公费、培训费、委托业务费、公务用车运行维护费较上年增加</w:t>
      </w:r>
      <w:r>
        <w:rPr>
          <w:rFonts w:hint="eastAsia" w:ascii="仿宋_GB2312" w:hAnsi="仿宋_GB2312" w:eastAsia="仿宋_GB2312" w:cs="仿宋_GB2312"/>
          <w:sz w:val="32"/>
          <w:szCs w:val="32"/>
          <w:lang w:val="zh-CN"/>
        </w:rPr>
        <w:t>。</w:t>
      </w:r>
    </w:p>
    <w:p w14:paraId="57D05087">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6DAE286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2023年度政府采购支出总额0.21万元，其中：政府采购货物支出0.21万元、政府采购工程支出0.00万元、政府采购服务支出0.00万元。</w:t>
      </w:r>
    </w:p>
    <w:p w14:paraId="4D50DDB2">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授予中小企业合同金额0.21万元，占政府采购支出总额的100.00%，其中：授予小微企业合同金额0.21万元，占政府采购支出总额的100.00%</w:t>
      </w:r>
      <w:r>
        <w:rPr>
          <w:rFonts w:hint="eastAsia" w:ascii="仿宋_GB2312" w:hAnsi="仿宋_GB2312" w:eastAsia="仿宋_GB2312" w:cs="仿宋_GB2312"/>
          <w:sz w:val="32"/>
          <w:szCs w:val="32"/>
        </w:rPr>
        <w:t>。</w:t>
      </w:r>
    </w:p>
    <w:p w14:paraId="3255CD42">
      <w:pPr>
        <w:ind w:firstLine="640" w:firstLineChars="200"/>
        <w:jc w:val="left"/>
        <w:rPr>
          <w:rFonts w:eastAsia="黑体"/>
          <w:sz w:val="32"/>
          <w:szCs w:val="30"/>
          <w:lang w:val="zh-CN"/>
        </w:rPr>
      </w:pPr>
      <w:bookmarkStart w:id="26" w:name="_Toc8391"/>
      <w:bookmarkStart w:id="27" w:name="_Toc4591"/>
      <w:r>
        <w:rPr>
          <w:rFonts w:hint="eastAsia" w:eastAsia="黑体"/>
          <w:sz w:val="32"/>
          <w:szCs w:val="30"/>
          <w:lang w:val="zh-CN"/>
        </w:rPr>
        <w:t>（三）国有资产占用情况说明</w:t>
      </w:r>
      <w:bookmarkEnd w:id="26"/>
      <w:bookmarkEnd w:id="27"/>
    </w:p>
    <w:p w14:paraId="20B01D6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487.50</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屋3,014.00平方米，价值343.73万元。车辆2辆，价值28.26万元，其中：副部（省）级及以上领导用车0辆、主要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F654D71">
      <w:pPr>
        <w:ind w:firstLine="640" w:firstLineChars="200"/>
        <w:jc w:val="left"/>
        <w:outlineLvl w:val="1"/>
        <w:rPr>
          <w:rFonts w:hint="eastAsia" w:ascii="黑体" w:hAnsi="黑体" w:eastAsia="黑体" w:cs="宋体"/>
          <w:bCs/>
          <w:kern w:val="0"/>
          <w:sz w:val="32"/>
          <w:szCs w:val="32"/>
        </w:rPr>
      </w:pPr>
      <w:bookmarkStart w:id="28" w:name="_Toc11283"/>
      <w:bookmarkStart w:id="29" w:name="_Toc435"/>
      <w:r>
        <w:rPr>
          <w:rFonts w:hint="eastAsia" w:ascii="黑体" w:hAnsi="黑体" w:eastAsia="黑体" w:cs="宋体"/>
          <w:bCs/>
          <w:kern w:val="0"/>
          <w:sz w:val="32"/>
          <w:szCs w:val="32"/>
        </w:rPr>
        <w:t>十一、预算绩效的情况说明</w:t>
      </w:r>
      <w:bookmarkEnd w:id="28"/>
      <w:bookmarkEnd w:id="29"/>
    </w:p>
    <w:p w14:paraId="667160B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根据预算绩效管理要求，我单位2023年度预算绩效管理整体支出绩效自评表1个，全年预算总额</w:t>
      </w:r>
      <w:r>
        <w:rPr>
          <w:rFonts w:ascii="仿宋_GB2312" w:hAnsi="仿宋_GB2312" w:eastAsia="仿宋_GB2312" w:cs="仿宋_GB2312"/>
          <w:sz w:val="32"/>
          <w:szCs w:val="32"/>
          <w:lang w:val="zh-CN"/>
        </w:rPr>
        <w:t>288.50</w:t>
      </w:r>
      <w:r>
        <w:rPr>
          <w:rFonts w:hint="eastAsia" w:ascii="仿宋_GB2312" w:hAnsi="仿宋_GB2312" w:eastAsia="仿宋_GB2312" w:cs="仿宋_GB2312"/>
          <w:sz w:val="32"/>
          <w:szCs w:val="32"/>
          <w:lang w:val="zh-CN"/>
        </w:rPr>
        <w:t>万元，实际执行总额</w:t>
      </w:r>
      <w:r>
        <w:rPr>
          <w:rFonts w:ascii="仿宋_GB2312" w:hAnsi="仿宋_GB2312" w:eastAsia="仿宋_GB2312" w:cs="仿宋_GB2312"/>
          <w:sz w:val="32"/>
          <w:szCs w:val="32"/>
          <w:lang w:val="zh-CN"/>
        </w:rPr>
        <w:t>236.90</w:t>
      </w:r>
      <w:r>
        <w:rPr>
          <w:rFonts w:hint="eastAsia" w:ascii="仿宋_GB2312" w:hAnsi="仿宋_GB2312" w:eastAsia="仿宋_GB2312" w:cs="仿宋_GB2312"/>
          <w:sz w:val="32"/>
          <w:szCs w:val="32"/>
          <w:lang w:val="zh-CN"/>
        </w:rPr>
        <w:t>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w:t>
      </w:r>
      <w:r>
        <w:rPr>
          <w:rFonts w:ascii="仿宋_GB2312" w:hAnsi="仿宋_GB2312" w:eastAsia="仿宋_GB2312" w:cs="仿宋_GB2312"/>
          <w:sz w:val="32"/>
          <w:szCs w:val="32"/>
          <w:lang w:val="zh-CN"/>
        </w:rPr>
        <w:t>一是</w:t>
      </w:r>
      <w:r>
        <w:rPr>
          <w:rFonts w:hint="eastAsia" w:ascii="仿宋_GB2312" w:hAnsi="仿宋_GB2312" w:eastAsia="仿宋_GB2312" w:cs="仿宋_GB2312"/>
          <w:sz w:val="32"/>
          <w:szCs w:val="32"/>
          <w:lang w:val="zh-CN"/>
        </w:rPr>
        <w:t>部门整体支出预算控制率偏低，相关管理制度还需要进一步完善</w:t>
      </w:r>
      <w:r>
        <w:rPr>
          <w:rFonts w:ascii="仿宋_GB2312" w:hAnsi="仿宋_GB2312" w:eastAsia="仿宋_GB2312" w:cs="仿宋_GB2312"/>
          <w:sz w:val="32"/>
          <w:szCs w:val="32"/>
          <w:lang w:val="zh-CN"/>
        </w:rPr>
        <w:t>；二是</w:t>
      </w:r>
      <w:r>
        <w:rPr>
          <w:rFonts w:hint="eastAsia" w:ascii="仿宋_GB2312" w:hAnsi="仿宋_GB2312" w:eastAsia="仿宋_GB2312" w:cs="仿宋_GB2312"/>
          <w:sz w:val="32"/>
          <w:szCs w:val="32"/>
          <w:lang w:val="zh-CN"/>
        </w:rPr>
        <w:t>预算编制人员的业务水平有待进一步提高。预算编制人员对专业知识学习不够全面，对单位的基本情况了解不够充分，会导致在预算编制中对经费细化不够等情况。下一步改进措施：</w:t>
      </w:r>
      <w:r>
        <w:rPr>
          <w:rFonts w:ascii="仿宋_GB2312" w:hAnsi="仿宋_GB2312" w:eastAsia="仿宋_GB2312" w:cs="仿宋_GB2312"/>
          <w:sz w:val="32"/>
          <w:szCs w:val="32"/>
          <w:lang w:val="zh-CN"/>
        </w:rPr>
        <w:t>一是</w:t>
      </w:r>
      <w:r>
        <w:rPr>
          <w:rFonts w:hint="eastAsia" w:ascii="仿宋_GB2312" w:hAnsi="仿宋_GB2312" w:eastAsia="仿宋_GB2312" w:cs="仿宋_GB2312"/>
          <w:sz w:val="32"/>
          <w:szCs w:val="32"/>
          <w:lang w:val="zh-CN"/>
        </w:rPr>
        <w:t>单位领导高度重视预算编制工作，并亲自参与，年初要对全年的工作进行全面、科学的谋划，让预算编制合理性有效提升，加强对固定资产的管理，加大实物与账目核对，及时核销处置资产，确保账实相符；调进调出人员财产做好交接手续；</w:t>
      </w:r>
      <w:r>
        <w:rPr>
          <w:rFonts w:ascii="仿宋_GB2312" w:hAnsi="仿宋_GB2312" w:eastAsia="仿宋_GB2312" w:cs="仿宋_GB2312"/>
          <w:sz w:val="32"/>
          <w:szCs w:val="32"/>
          <w:lang w:val="zh-CN"/>
        </w:rPr>
        <w:t>二是</w:t>
      </w:r>
      <w:r>
        <w:rPr>
          <w:rFonts w:hint="eastAsia" w:ascii="仿宋_GB2312" w:hAnsi="仿宋_GB2312" w:eastAsia="仿宋_GB2312" w:cs="仿宋_GB2312"/>
          <w:sz w:val="32"/>
          <w:szCs w:val="32"/>
          <w:lang w:val="zh-CN"/>
        </w:rPr>
        <w:t>按财政的规定采取有效措施，坚持过紧日子思想，使一般性支出控制在限额以内。具体项目自评情况附绩效自评表及自评报告。</w:t>
      </w:r>
      <w:bookmarkStart w:id="30" w:name="_Hlk174962300"/>
    </w:p>
    <w:p w14:paraId="26979137">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1FAAAAD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51"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tblGrid>
      <w:tr w14:paraId="67314ED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71680AD6">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3F7497B2">
            <w:pPr>
              <w:jc w:val="center"/>
            </w:pPr>
            <w:r>
              <w:rPr>
                <w:rFonts w:ascii="宋体" w:hAnsi="宋体"/>
                <w:sz w:val="18"/>
              </w:rPr>
              <w:t>米东区党校</w:t>
            </w:r>
          </w:p>
        </w:tc>
      </w:tr>
      <w:tr w14:paraId="66F4439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9AA86D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E02CB4E">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C3E3ED5">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AFD66D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660254B">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183957F">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00B0E83">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2338AEA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00CB2E8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D231D4">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1CE6568">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16154D5B">
            <w:pPr>
              <w:jc w:val="center"/>
            </w:pPr>
            <w:r>
              <w:rPr>
                <w:rFonts w:ascii="宋体" w:hAnsi="宋体"/>
                <w:sz w:val="18"/>
              </w:rPr>
              <w:t>271.09</w:t>
            </w:r>
          </w:p>
        </w:tc>
        <w:tc>
          <w:tcPr>
            <w:tcW w:w="1134" w:type="dxa"/>
            <w:tcBorders>
              <w:top w:val="nil"/>
              <w:left w:val="nil"/>
              <w:bottom w:val="single" w:color="auto" w:sz="4" w:space="0"/>
              <w:right w:val="single" w:color="auto" w:sz="4" w:space="0"/>
            </w:tcBorders>
            <w:shd w:val="clear" w:color="auto" w:fill="auto"/>
            <w:vAlign w:val="center"/>
          </w:tcPr>
          <w:p w14:paraId="4A45583A">
            <w:pPr>
              <w:jc w:val="center"/>
            </w:pPr>
            <w:r>
              <w:rPr>
                <w:rFonts w:ascii="宋体" w:hAnsi="宋体"/>
                <w:sz w:val="18"/>
              </w:rPr>
              <w:t>288.50</w:t>
            </w:r>
          </w:p>
        </w:tc>
        <w:tc>
          <w:tcPr>
            <w:tcW w:w="2126" w:type="dxa"/>
            <w:tcBorders>
              <w:top w:val="nil"/>
              <w:left w:val="nil"/>
              <w:bottom w:val="single" w:color="auto" w:sz="4" w:space="0"/>
              <w:right w:val="single" w:color="auto" w:sz="4" w:space="0"/>
            </w:tcBorders>
            <w:shd w:val="clear" w:color="auto" w:fill="auto"/>
            <w:vAlign w:val="center"/>
          </w:tcPr>
          <w:p w14:paraId="61567D70">
            <w:pPr>
              <w:jc w:val="center"/>
            </w:pPr>
            <w:r>
              <w:rPr>
                <w:rFonts w:ascii="宋体" w:hAnsi="宋体"/>
                <w:sz w:val="18"/>
              </w:rPr>
              <w:t>236.90</w:t>
            </w:r>
          </w:p>
        </w:tc>
        <w:tc>
          <w:tcPr>
            <w:tcW w:w="1004" w:type="dxa"/>
            <w:tcBorders>
              <w:top w:val="nil"/>
              <w:left w:val="nil"/>
              <w:bottom w:val="single" w:color="auto" w:sz="4" w:space="0"/>
              <w:right w:val="single" w:color="auto" w:sz="4" w:space="0"/>
            </w:tcBorders>
            <w:shd w:val="clear" w:color="auto" w:fill="auto"/>
            <w:vAlign w:val="center"/>
          </w:tcPr>
          <w:p w14:paraId="4E171FC2">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682A28CB">
            <w:pPr>
              <w:jc w:val="center"/>
            </w:pPr>
            <w:r>
              <w:rPr>
                <w:rFonts w:ascii="宋体" w:hAnsi="宋体"/>
                <w:sz w:val="18"/>
              </w:rPr>
              <w:t>82.11%</w:t>
            </w:r>
          </w:p>
        </w:tc>
        <w:tc>
          <w:tcPr>
            <w:tcW w:w="720" w:type="dxa"/>
            <w:tcBorders>
              <w:top w:val="nil"/>
              <w:left w:val="nil"/>
              <w:bottom w:val="single" w:color="auto" w:sz="4" w:space="0"/>
              <w:right w:val="single" w:color="auto" w:sz="4" w:space="0"/>
            </w:tcBorders>
            <w:shd w:val="clear" w:color="auto" w:fill="auto"/>
            <w:vAlign w:val="center"/>
          </w:tcPr>
          <w:p w14:paraId="346BF35A">
            <w:pPr>
              <w:jc w:val="center"/>
            </w:pPr>
            <w:r>
              <w:rPr>
                <w:rFonts w:ascii="宋体" w:hAnsi="宋体"/>
                <w:sz w:val="18"/>
              </w:rPr>
              <w:t>8.21</w:t>
            </w:r>
          </w:p>
        </w:tc>
      </w:tr>
      <w:tr w14:paraId="737ADB78">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C555B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6768222">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6B6B353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AE585D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24CD43D">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876EC0B">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54A519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F27ECFD">
            <w:pPr>
              <w:widowControl/>
              <w:jc w:val="center"/>
              <w:rPr>
                <w:rFonts w:hint="eastAsia" w:ascii="宋体" w:hAnsi="宋体" w:cs="宋体"/>
                <w:kern w:val="0"/>
                <w:sz w:val="18"/>
                <w:szCs w:val="18"/>
              </w:rPr>
            </w:pPr>
            <w:r>
              <w:rPr>
                <w:rFonts w:hint="eastAsia" w:ascii="宋体" w:hAnsi="宋体"/>
                <w:sz w:val="18"/>
                <w:szCs w:val="18"/>
              </w:rPr>
              <w:t>-</w:t>
            </w:r>
          </w:p>
        </w:tc>
      </w:tr>
      <w:tr w14:paraId="26F4CF1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428B9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2F32482">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54CC6F95">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41E1979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68194B7">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432D29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CC51DAF">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110729A">
            <w:pPr>
              <w:widowControl/>
              <w:jc w:val="center"/>
              <w:rPr>
                <w:rFonts w:hint="eastAsia" w:ascii="宋体" w:hAnsi="宋体" w:cs="宋体"/>
                <w:kern w:val="0"/>
                <w:sz w:val="18"/>
                <w:szCs w:val="18"/>
              </w:rPr>
            </w:pPr>
            <w:r>
              <w:rPr>
                <w:rFonts w:hint="eastAsia" w:ascii="宋体" w:hAnsi="宋体"/>
                <w:sz w:val="18"/>
                <w:szCs w:val="18"/>
              </w:rPr>
              <w:t>-</w:t>
            </w:r>
          </w:p>
        </w:tc>
      </w:tr>
      <w:tr w14:paraId="66C01DF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BA489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80173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76072F3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ABE89E">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A07A461">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239F2C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424B35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EFFBBCF">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3F8C6F02">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4B7CDA">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201A065">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03731D6F">
            <w:pPr>
              <w:jc w:val="center"/>
            </w:pPr>
            <w:r>
              <w:rPr>
                <w:rFonts w:ascii="宋体" w:hAnsi="宋体"/>
                <w:sz w:val="18"/>
              </w:rPr>
              <w:t>271.09</w:t>
            </w:r>
          </w:p>
        </w:tc>
        <w:tc>
          <w:tcPr>
            <w:tcW w:w="1134" w:type="dxa"/>
            <w:tcBorders>
              <w:top w:val="nil"/>
              <w:left w:val="nil"/>
              <w:bottom w:val="single" w:color="auto" w:sz="4" w:space="0"/>
              <w:right w:val="single" w:color="auto" w:sz="4" w:space="0"/>
            </w:tcBorders>
            <w:shd w:val="clear" w:color="auto" w:fill="auto"/>
            <w:vAlign w:val="center"/>
          </w:tcPr>
          <w:p w14:paraId="723CDD86">
            <w:pPr>
              <w:jc w:val="center"/>
            </w:pPr>
            <w:r>
              <w:rPr>
                <w:rFonts w:ascii="宋体" w:hAnsi="宋体"/>
                <w:sz w:val="18"/>
              </w:rPr>
              <w:t>288.50</w:t>
            </w:r>
          </w:p>
        </w:tc>
        <w:tc>
          <w:tcPr>
            <w:tcW w:w="2126" w:type="dxa"/>
            <w:tcBorders>
              <w:top w:val="nil"/>
              <w:left w:val="nil"/>
              <w:bottom w:val="single" w:color="auto" w:sz="4" w:space="0"/>
              <w:right w:val="single" w:color="auto" w:sz="4" w:space="0"/>
            </w:tcBorders>
            <w:shd w:val="clear" w:color="auto" w:fill="auto"/>
            <w:vAlign w:val="center"/>
          </w:tcPr>
          <w:p w14:paraId="240B5258">
            <w:pPr>
              <w:jc w:val="center"/>
            </w:pPr>
            <w:r>
              <w:rPr>
                <w:rFonts w:ascii="宋体" w:hAnsi="宋体"/>
                <w:sz w:val="18"/>
              </w:rPr>
              <w:t>236.90</w:t>
            </w:r>
          </w:p>
        </w:tc>
        <w:tc>
          <w:tcPr>
            <w:tcW w:w="1004" w:type="dxa"/>
            <w:tcBorders>
              <w:top w:val="nil"/>
              <w:left w:val="nil"/>
              <w:bottom w:val="single" w:color="auto" w:sz="4" w:space="0"/>
              <w:right w:val="single" w:color="auto" w:sz="4" w:space="0"/>
            </w:tcBorders>
            <w:shd w:val="clear" w:color="auto" w:fill="auto"/>
            <w:vAlign w:val="center"/>
          </w:tcPr>
          <w:p w14:paraId="6162CCC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6564A0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762CBAD">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4DBD8729">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8B7E7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77E58F1">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5526EF9D">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1C3409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4A929410">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446F9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1D1817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D5FCD74">
            <w:pPr>
              <w:widowControl/>
              <w:jc w:val="center"/>
              <w:rPr>
                <w:rFonts w:hint="eastAsia" w:ascii="宋体" w:hAnsi="宋体" w:cs="宋体"/>
                <w:kern w:val="0"/>
                <w:sz w:val="18"/>
                <w:szCs w:val="18"/>
              </w:rPr>
            </w:pPr>
            <w:r>
              <w:rPr>
                <w:rFonts w:hint="eastAsia" w:ascii="宋体" w:hAnsi="宋体" w:cs="宋体"/>
                <w:kern w:val="0"/>
                <w:sz w:val="18"/>
                <w:szCs w:val="18"/>
              </w:rPr>
              <w:t>-</w:t>
            </w:r>
          </w:p>
        </w:tc>
      </w:tr>
      <w:tr w14:paraId="1B98164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F7041C">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7165ACAA">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49DF7C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r>
      <w:tr w14:paraId="3F593B0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9B282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3F609798">
            <w:pPr>
              <w:jc w:val="left"/>
            </w:pPr>
            <w:r>
              <w:rPr>
                <w:rFonts w:ascii="宋体" w:hAnsi="宋体"/>
                <w:sz w:val="18"/>
              </w:rPr>
              <w:t>一、学习、研究和宣传马克思列宁主义、毛泽东思想、邓小平理论、“三个代表”重要思想、科学发展观和</w:t>
            </w:r>
            <w:r>
              <w:rPr>
                <w:rFonts w:hint="eastAsia" w:ascii="宋体" w:hAnsi="宋体"/>
                <w:sz w:val="18"/>
                <w:lang w:eastAsia="zh-CN"/>
              </w:rPr>
              <w:t>习近平新时代中国特色社会主义思想</w:t>
            </w:r>
            <w:r>
              <w:rPr>
                <w:rFonts w:ascii="宋体" w:hAnsi="宋体"/>
                <w:sz w:val="18"/>
              </w:rPr>
              <w:t>以及党和国家的路线、方针、政策、法律、法规。二、根据区委对干部队伍建设的要求，开展区属科级干部、党员干部、社区干部、发展对象、理论骨干及异地挂职干部的培训工作。三、在组织部的指导下，协助其他部门做好政治理论及业务培训工作。四、开展进修班、培训班、理论研修班、专题研讨班和师资培训班等培训工作，提高培训效率、覆盖率。</w:t>
            </w:r>
          </w:p>
        </w:tc>
        <w:tc>
          <w:tcPr>
            <w:tcW w:w="4689" w:type="dxa"/>
            <w:gridSpan w:val="4"/>
            <w:tcBorders>
              <w:top w:val="single" w:color="auto" w:sz="4" w:space="0"/>
              <w:left w:val="nil"/>
              <w:bottom w:val="single" w:color="auto" w:sz="4" w:space="0"/>
              <w:right w:val="single" w:color="auto" w:sz="4" w:space="0"/>
            </w:tcBorders>
            <w:shd w:val="clear" w:color="auto" w:fill="auto"/>
          </w:tcPr>
          <w:p w14:paraId="77A46EDE">
            <w:pPr>
              <w:jc w:val="left"/>
            </w:pPr>
            <w:r>
              <w:rPr>
                <w:rFonts w:ascii="宋体" w:hAnsi="宋体"/>
                <w:sz w:val="18"/>
              </w:rPr>
              <w:t>组织开展各类主体班次6个，培训学员199人次，其中：女干部培训班1期29人次，中青年干部培训班2期81人次，科级干部任职培训班3期89人次，使广大党员干部理想信念更加坚定，理论素养不断提高，党性修养切实增强，业务知识水平不断提升，产生了较好的社会效益，有力促进了全区干部教育事业的持续、健康发展，。与年度预期值相比，我单位已组织开展各类主体班次6个，存在20%的正偏差，偏差的原因是今年区委重视并加大我区干部的培训力度，我单位承担的学员培训工作任务增加，有利于党员干部的党性的培养和锻炼。该项工作为经常性工作，后期将进一步提高宣讲教师备课、做课件的能力水平，提升教师的教学能力和水平，按照区委培训工作的总体要求继续跟进。</w:t>
            </w:r>
          </w:p>
        </w:tc>
      </w:tr>
      <w:tr w14:paraId="628296E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D3AFC05">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AE342A7">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3B80DDA8">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59C43977">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7DD765A">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661238A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6414565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7B40B16C">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r>
      <w:tr w14:paraId="72B1AC5C">
        <w:tblPrEx>
          <w:tblCellMar>
            <w:top w:w="0" w:type="dxa"/>
            <w:left w:w="108" w:type="dxa"/>
            <w:bottom w:w="0" w:type="dxa"/>
            <w:right w:w="108" w:type="dxa"/>
          </w:tblCellMar>
        </w:tblPrEx>
        <w:trPr>
          <w:cantSplit/>
          <w:trHeight w:val="74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E473A3">
            <w:pPr>
              <w:jc w:val="center"/>
            </w:pPr>
            <w:r>
              <w:rPr>
                <w:rFonts w:ascii="宋体" w:hAnsi="宋体"/>
                <w:sz w:val="18"/>
              </w:rPr>
              <w:t>运行成本</w:t>
            </w:r>
          </w:p>
        </w:tc>
        <w:tc>
          <w:tcPr>
            <w:tcW w:w="1417" w:type="dxa"/>
            <w:vMerge w:val="restart"/>
            <w:tcBorders>
              <w:top w:val="nil"/>
              <w:left w:val="nil"/>
              <w:bottom w:val="single" w:color="auto" w:sz="4" w:space="0"/>
              <w:right w:val="single" w:color="auto" w:sz="4" w:space="0"/>
            </w:tcBorders>
            <w:shd w:val="clear" w:color="auto" w:fill="auto"/>
            <w:noWrap/>
            <w:vAlign w:val="center"/>
          </w:tcPr>
          <w:p w14:paraId="45350BE2">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1F15A483">
            <w:pPr>
              <w:jc w:val="center"/>
            </w:pPr>
            <w:r>
              <w:rPr>
                <w:rFonts w:ascii="宋体" w:hAnsi="宋体"/>
                <w:sz w:val="18"/>
              </w:rPr>
              <w:t>"三公"经费控制率</w:t>
            </w:r>
          </w:p>
        </w:tc>
        <w:tc>
          <w:tcPr>
            <w:tcW w:w="1134" w:type="dxa"/>
            <w:tcBorders>
              <w:top w:val="nil"/>
              <w:left w:val="nil"/>
              <w:bottom w:val="single" w:color="auto" w:sz="4" w:space="0"/>
              <w:right w:val="single" w:color="auto" w:sz="4" w:space="0"/>
            </w:tcBorders>
            <w:shd w:val="clear" w:color="auto" w:fill="auto"/>
            <w:noWrap/>
            <w:vAlign w:val="center"/>
          </w:tcPr>
          <w:p w14:paraId="1C54ED0A">
            <w:pPr>
              <w:jc w:val="center"/>
            </w:pPr>
            <w:r>
              <w:rPr>
                <w:rFonts w:ascii="宋体" w:hAnsi="宋体"/>
                <w:sz w:val="18"/>
              </w:rPr>
              <w:t>&lt;=100%</w:t>
            </w:r>
          </w:p>
        </w:tc>
        <w:tc>
          <w:tcPr>
            <w:tcW w:w="2126" w:type="dxa"/>
            <w:tcBorders>
              <w:top w:val="nil"/>
              <w:left w:val="nil"/>
              <w:bottom w:val="single" w:color="auto" w:sz="4" w:space="0"/>
              <w:right w:val="single" w:color="auto" w:sz="4" w:space="0"/>
            </w:tcBorders>
            <w:shd w:val="clear" w:color="auto" w:fill="auto"/>
            <w:noWrap/>
            <w:vAlign w:val="center"/>
          </w:tcPr>
          <w:p w14:paraId="01165BFF">
            <w:pPr>
              <w:jc w:val="center"/>
            </w:pPr>
            <w:r>
              <w:rPr>
                <w:rFonts w:ascii="宋体" w:hAnsi="宋体"/>
                <w:sz w:val="18"/>
              </w:rPr>
              <w:t>关于加强“三公”经费管理严控一般性支出的通知（财预〔2022〕126号）</w:t>
            </w:r>
          </w:p>
        </w:tc>
        <w:tc>
          <w:tcPr>
            <w:tcW w:w="1004" w:type="dxa"/>
            <w:tcBorders>
              <w:top w:val="nil"/>
              <w:left w:val="nil"/>
              <w:bottom w:val="single" w:color="auto" w:sz="4" w:space="0"/>
              <w:right w:val="single" w:color="auto" w:sz="4" w:space="0"/>
            </w:tcBorders>
            <w:shd w:val="clear" w:color="auto" w:fill="auto"/>
            <w:noWrap/>
            <w:vAlign w:val="center"/>
          </w:tcPr>
          <w:p w14:paraId="51D4046D">
            <w:pPr>
              <w:jc w:val="center"/>
            </w:pPr>
            <w:r>
              <w:rPr>
                <w:rFonts w:ascii="宋体" w:hAnsi="宋体"/>
                <w:sz w:val="18"/>
              </w:rPr>
              <w:t>73.34%</w:t>
            </w:r>
          </w:p>
        </w:tc>
        <w:tc>
          <w:tcPr>
            <w:tcW w:w="839" w:type="dxa"/>
            <w:tcBorders>
              <w:top w:val="nil"/>
              <w:left w:val="nil"/>
              <w:bottom w:val="single" w:color="auto" w:sz="4" w:space="0"/>
              <w:right w:val="single" w:color="auto" w:sz="4" w:space="0"/>
            </w:tcBorders>
            <w:shd w:val="clear" w:color="auto" w:fill="auto"/>
            <w:noWrap/>
            <w:vAlign w:val="center"/>
          </w:tcPr>
          <w:p w14:paraId="4DBAABAE">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D590E9A">
            <w:pPr>
              <w:jc w:val="center"/>
            </w:pPr>
            <w:r>
              <w:rPr>
                <w:rFonts w:ascii="宋体" w:hAnsi="宋体"/>
                <w:sz w:val="18"/>
              </w:rPr>
              <w:t>30</w:t>
            </w:r>
          </w:p>
        </w:tc>
      </w:tr>
      <w:tr w14:paraId="65B19AD6">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252E46C0">
            <w:pPr>
              <w:jc w:val="center"/>
            </w:pPr>
            <w:r>
              <w:rPr>
                <w:rFonts w:ascii="宋体" w:hAnsi="宋体"/>
                <w:sz w:val="18"/>
              </w:rPr>
              <w:t>履职效能</w:t>
            </w:r>
          </w:p>
        </w:tc>
        <w:tc>
          <w:tcPr>
            <w:tcW w:w="1417" w:type="dxa"/>
            <w:vMerge w:val="continue"/>
            <w:tcBorders>
              <w:top w:val="nil"/>
              <w:left w:val="nil"/>
              <w:bottom w:val="single" w:color="auto" w:sz="4" w:space="0"/>
              <w:right w:val="single" w:color="auto" w:sz="4" w:space="0"/>
            </w:tcBorders>
            <w:shd w:val="clear" w:color="auto" w:fill="auto"/>
            <w:noWrap/>
            <w:vAlign w:val="center"/>
          </w:tcPr>
          <w:p w14:paraId="7B5CFB01">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9164B9A">
            <w:pPr>
              <w:jc w:val="center"/>
            </w:pPr>
            <w:r>
              <w:rPr>
                <w:rFonts w:ascii="宋体" w:hAnsi="宋体"/>
                <w:sz w:val="18"/>
              </w:rPr>
              <w:t>组织开展各类主体班次</w:t>
            </w:r>
          </w:p>
        </w:tc>
        <w:tc>
          <w:tcPr>
            <w:tcW w:w="1134" w:type="dxa"/>
            <w:tcBorders>
              <w:top w:val="nil"/>
              <w:left w:val="nil"/>
              <w:bottom w:val="single" w:color="auto" w:sz="4" w:space="0"/>
              <w:right w:val="single" w:color="auto" w:sz="4" w:space="0"/>
            </w:tcBorders>
            <w:shd w:val="clear" w:color="auto" w:fill="auto"/>
            <w:noWrap/>
            <w:vAlign w:val="center"/>
          </w:tcPr>
          <w:p w14:paraId="275F1EB3">
            <w:pPr>
              <w:jc w:val="center"/>
            </w:pPr>
            <w:r>
              <w:rPr>
                <w:rFonts w:ascii="宋体" w:hAnsi="宋体"/>
                <w:sz w:val="18"/>
              </w:rPr>
              <w:t>&gt;=5个</w:t>
            </w:r>
          </w:p>
        </w:tc>
        <w:tc>
          <w:tcPr>
            <w:tcW w:w="2126" w:type="dxa"/>
            <w:tcBorders>
              <w:top w:val="nil"/>
              <w:left w:val="nil"/>
              <w:bottom w:val="single" w:color="auto" w:sz="4" w:space="0"/>
              <w:right w:val="single" w:color="auto" w:sz="4" w:space="0"/>
            </w:tcBorders>
            <w:shd w:val="clear" w:color="auto" w:fill="auto"/>
            <w:noWrap/>
            <w:vAlign w:val="center"/>
          </w:tcPr>
          <w:p w14:paraId="07298502">
            <w:pPr>
              <w:jc w:val="center"/>
            </w:pPr>
            <w:r>
              <w:rPr>
                <w:rFonts w:ascii="宋体" w:hAnsi="宋体"/>
                <w:sz w:val="18"/>
              </w:rPr>
              <w:t>中国共产党党校（行政学院）工作条例</w:t>
            </w:r>
          </w:p>
        </w:tc>
        <w:tc>
          <w:tcPr>
            <w:tcW w:w="1004" w:type="dxa"/>
            <w:tcBorders>
              <w:top w:val="nil"/>
              <w:left w:val="nil"/>
              <w:bottom w:val="single" w:color="auto" w:sz="4" w:space="0"/>
              <w:right w:val="single" w:color="auto" w:sz="4" w:space="0"/>
            </w:tcBorders>
            <w:shd w:val="clear" w:color="auto" w:fill="auto"/>
            <w:noWrap/>
            <w:vAlign w:val="center"/>
          </w:tcPr>
          <w:p w14:paraId="5EE0583E">
            <w:pPr>
              <w:jc w:val="center"/>
            </w:pPr>
            <w:r>
              <w:rPr>
                <w:rFonts w:ascii="宋体" w:hAnsi="宋体"/>
                <w:sz w:val="18"/>
              </w:rPr>
              <w:t>6个</w:t>
            </w:r>
          </w:p>
        </w:tc>
        <w:tc>
          <w:tcPr>
            <w:tcW w:w="839" w:type="dxa"/>
            <w:tcBorders>
              <w:top w:val="nil"/>
              <w:left w:val="nil"/>
              <w:bottom w:val="single" w:color="auto" w:sz="4" w:space="0"/>
              <w:right w:val="single" w:color="auto" w:sz="4" w:space="0"/>
            </w:tcBorders>
            <w:shd w:val="clear" w:color="auto" w:fill="auto"/>
            <w:noWrap/>
            <w:vAlign w:val="center"/>
          </w:tcPr>
          <w:p w14:paraId="5FA63D67">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78E946E">
            <w:pPr>
              <w:jc w:val="center"/>
            </w:pPr>
            <w:r>
              <w:rPr>
                <w:rFonts w:ascii="宋体" w:hAnsi="宋体"/>
                <w:sz w:val="18"/>
              </w:rPr>
              <w:t>30</w:t>
            </w:r>
          </w:p>
        </w:tc>
      </w:tr>
      <w:tr w14:paraId="7BC452D0">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98DE359">
            <w:pPr>
              <w:widowControl/>
              <w:jc w:val="center"/>
              <w:rPr>
                <w:rFonts w:hint="eastAsia" w:ascii="宋体" w:hAnsi="宋体" w:cs="宋体"/>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357C4D9">
            <w:pPr>
              <w:jc w:val="center"/>
            </w:pPr>
            <w:r>
              <w:rPr>
                <w:rFonts w:ascii="宋体" w:hAnsi="宋体"/>
                <w:sz w:val="18"/>
              </w:rPr>
              <w:t>质量指标</w:t>
            </w:r>
          </w:p>
        </w:tc>
        <w:tc>
          <w:tcPr>
            <w:tcW w:w="1418" w:type="dxa"/>
            <w:tcBorders>
              <w:top w:val="nil"/>
              <w:left w:val="nil"/>
              <w:bottom w:val="single" w:color="auto" w:sz="4" w:space="0"/>
              <w:right w:val="single" w:color="auto" w:sz="4" w:space="0"/>
            </w:tcBorders>
            <w:shd w:val="clear" w:color="auto" w:fill="auto"/>
            <w:noWrap/>
            <w:vAlign w:val="center"/>
          </w:tcPr>
          <w:p w14:paraId="59276171">
            <w:pPr>
              <w:jc w:val="center"/>
            </w:pPr>
            <w:r>
              <w:rPr>
                <w:rFonts w:ascii="宋体" w:hAnsi="宋体"/>
                <w:sz w:val="18"/>
              </w:rPr>
              <w:t>党性教育占总课程的比重</w:t>
            </w:r>
          </w:p>
        </w:tc>
        <w:tc>
          <w:tcPr>
            <w:tcW w:w="1134" w:type="dxa"/>
            <w:tcBorders>
              <w:top w:val="nil"/>
              <w:left w:val="nil"/>
              <w:bottom w:val="single" w:color="auto" w:sz="4" w:space="0"/>
              <w:right w:val="single" w:color="auto" w:sz="4" w:space="0"/>
            </w:tcBorders>
            <w:shd w:val="clear" w:color="auto" w:fill="auto"/>
            <w:noWrap/>
            <w:vAlign w:val="center"/>
          </w:tcPr>
          <w:p w14:paraId="56D2171F">
            <w:pPr>
              <w:jc w:val="center"/>
            </w:pPr>
            <w:r>
              <w:rPr>
                <w:rFonts w:ascii="宋体" w:hAnsi="宋体"/>
                <w:sz w:val="18"/>
              </w:rPr>
              <w:t>&gt;=20%</w:t>
            </w:r>
          </w:p>
        </w:tc>
        <w:tc>
          <w:tcPr>
            <w:tcW w:w="2126" w:type="dxa"/>
            <w:tcBorders>
              <w:top w:val="nil"/>
              <w:left w:val="nil"/>
              <w:bottom w:val="single" w:color="auto" w:sz="4" w:space="0"/>
              <w:right w:val="single" w:color="auto" w:sz="4" w:space="0"/>
            </w:tcBorders>
            <w:shd w:val="clear" w:color="auto" w:fill="auto"/>
            <w:noWrap/>
            <w:vAlign w:val="center"/>
          </w:tcPr>
          <w:p w14:paraId="54CDEFC1">
            <w:pPr>
              <w:jc w:val="center"/>
            </w:pPr>
            <w:r>
              <w:rPr>
                <w:rFonts w:ascii="宋体" w:hAnsi="宋体"/>
                <w:sz w:val="18"/>
              </w:rPr>
              <w:t>中国共产党党校（行政学院）工作条例</w:t>
            </w:r>
          </w:p>
        </w:tc>
        <w:tc>
          <w:tcPr>
            <w:tcW w:w="1004" w:type="dxa"/>
            <w:tcBorders>
              <w:top w:val="nil"/>
              <w:left w:val="nil"/>
              <w:bottom w:val="single" w:color="auto" w:sz="4" w:space="0"/>
              <w:right w:val="single" w:color="auto" w:sz="4" w:space="0"/>
            </w:tcBorders>
            <w:shd w:val="clear" w:color="auto" w:fill="auto"/>
            <w:noWrap/>
            <w:vAlign w:val="center"/>
          </w:tcPr>
          <w:p w14:paraId="7B73A3BD">
            <w:pPr>
              <w:jc w:val="center"/>
            </w:pPr>
            <w:r>
              <w:rPr>
                <w:rFonts w:ascii="宋体" w:hAnsi="宋体"/>
                <w:sz w:val="18"/>
              </w:rPr>
              <w:t>20%</w:t>
            </w:r>
          </w:p>
        </w:tc>
        <w:tc>
          <w:tcPr>
            <w:tcW w:w="839" w:type="dxa"/>
            <w:tcBorders>
              <w:top w:val="nil"/>
              <w:left w:val="nil"/>
              <w:bottom w:val="single" w:color="auto" w:sz="4" w:space="0"/>
              <w:right w:val="single" w:color="auto" w:sz="4" w:space="0"/>
            </w:tcBorders>
            <w:shd w:val="clear" w:color="auto" w:fill="auto"/>
            <w:noWrap/>
            <w:vAlign w:val="center"/>
          </w:tcPr>
          <w:p w14:paraId="1E5D87B1">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52B58DC">
            <w:pPr>
              <w:jc w:val="center"/>
            </w:pPr>
            <w:r>
              <w:rPr>
                <w:rFonts w:ascii="宋体" w:hAnsi="宋体"/>
                <w:sz w:val="18"/>
              </w:rPr>
              <w:t>30</w:t>
            </w:r>
          </w:p>
        </w:tc>
      </w:tr>
      <w:tr w14:paraId="018C69C6">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5AA01E7">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5617DD00">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C8619EC">
            <w:pPr>
              <w:jc w:val="center"/>
            </w:pPr>
            <w:r>
              <w:rPr>
                <w:rFonts w:ascii="宋体" w:hAnsi="宋体"/>
                <w:sz w:val="18"/>
              </w:rPr>
              <w:t>98.21分</w:t>
            </w:r>
          </w:p>
        </w:tc>
      </w:tr>
      <w:bookmarkEnd w:id="30"/>
    </w:tbl>
    <w:p w14:paraId="3B592872">
      <w:pPr>
        <w:jc w:val="left"/>
        <w:rPr>
          <w:rFonts w:ascii="仿宋_GB2312" w:eastAsia="仿宋_GB2312"/>
          <w:sz w:val="32"/>
          <w:szCs w:val="32"/>
        </w:rPr>
      </w:pPr>
    </w:p>
    <w:p w14:paraId="49E1F43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7C639735">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650D2EC4">
      <w:pPr>
        <w:jc w:val="center"/>
        <w:outlineLvl w:val="0"/>
        <w:rPr>
          <w:rFonts w:hint="eastAsia" w:ascii="黑体" w:hAnsi="黑体" w:eastAsia="黑体"/>
          <w:sz w:val="32"/>
          <w:szCs w:val="32"/>
        </w:rPr>
      </w:pPr>
      <w:bookmarkStart w:id="31" w:name="_Toc3250"/>
      <w:bookmarkStart w:id="32"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1"/>
      <w:bookmarkEnd w:id="32"/>
    </w:p>
    <w:p w14:paraId="45C8082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25ED3F5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19A3ECE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0C372B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2515B84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D4BE3D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370C40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81E778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3DD18B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6409082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498BAA4C">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0E10FA6E">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3C64191D">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244E7E">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76E41342">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6C3C2DD">
      <w:pPr>
        <w:ind w:firstLine="640" w:firstLineChars="200"/>
        <w:outlineLvl w:val="1"/>
        <w:rPr>
          <w:rFonts w:hint="eastAsia" w:ascii="黑体" w:hAnsi="黑体" w:eastAsia="仿宋_GB2312" w:cs="宋体"/>
          <w:bCs/>
          <w:kern w:val="0"/>
          <w:sz w:val="32"/>
          <w:szCs w:val="32"/>
        </w:rPr>
      </w:pPr>
      <w:bookmarkStart w:id="33" w:name="_Toc2183"/>
      <w:bookmarkStart w:id="34" w:name="_Toc6062"/>
      <w:r>
        <w:rPr>
          <w:rFonts w:hint="eastAsia" w:ascii="黑体" w:hAnsi="黑体" w:eastAsia="仿宋_GB2312" w:cs="宋体"/>
          <w:bCs/>
          <w:kern w:val="0"/>
          <w:sz w:val="32"/>
          <w:szCs w:val="32"/>
        </w:rPr>
        <w:t>一、《收入支出决算总表》</w:t>
      </w:r>
      <w:bookmarkEnd w:id="33"/>
      <w:bookmarkEnd w:id="34"/>
    </w:p>
    <w:p w14:paraId="3F1763BD">
      <w:pPr>
        <w:ind w:firstLine="640" w:firstLineChars="200"/>
        <w:outlineLvl w:val="1"/>
        <w:rPr>
          <w:rFonts w:hint="eastAsia" w:ascii="黑体" w:hAnsi="黑体" w:eastAsia="仿宋_GB2312" w:cs="宋体"/>
          <w:bCs/>
          <w:kern w:val="0"/>
          <w:sz w:val="32"/>
          <w:szCs w:val="32"/>
        </w:rPr>
      </w:pPr>
      <w:bookmarkStart w:id="35" w:name="_Toc24532"/>
      <w:bookmarkStart w:id="36" w:name="_Toc30364"/>
      <w:r>
        <w:rPr>
          <w:rFonts w:hint="eastAsia" w:ascii="黑体" w:hAnsi="黑体" w:eastAsia="仿宋_GB2312" w:cs="宋体"/>
          <w:bCs/>
          <w:kern w:val="0"/>
          <w:sz w:val="32"/>
          <w:szCs w:val="32"/>
        </w:rPr>
        <w:t>二、《收入决算表》</w:t>
      </w:r>
      <w:bookmarkEnd w:id="35"/>
      <w:bookmarkEnd w:id="36"/>
    </w:p>
    <w:p w14:paraId="7F5A2020">
      <w:pPr>
        <w:ind w:firstLine="640" w:firstLineChars="200"/>
        <w:outlineLvl w:val="1"/>
        <w:rPr>
          <w:rFonts w:hint="eastAsia" w:ascii="黑体" w:hAnsi="黑体" w:eastAsia="仿宋_GB2312" w:cs="宋体"/>
          <w:bCs/>
          <w:kern w:val="0"/>
          <w:sz w:val="32"/>
          <w:szCs w:val="32"/>
        </w:rPr>
      </w:pPr>
      <w:bookmarkStart w:id="37" w:name="_Toc21304"/>
      <w:bookmarkStart w:id="38" w:name="_Toc32434"/>
      <w:r>
        <w:rPr>
          <w:rFonts w:hint="eastAsia" w:ascii="黑体" w:hAnsi="黑体" w:eastAsia="仿宋_GB2312" w:cs="宋体"/>
          <w:bCs/>
          <w:kern w:val="0"/>
          <w:sz w:val="32"/>
          <w:szCs w:val="32"/>
        </w:rPr>
        <w:t>三、《支出决算表》</w:t>
      </w:r>
      <w:bookmarkEnd w:id="37"/>
      <w:bookmarkEnd w:id="38"/>
    </w:p>
    <w:p w14:paraId="3F8F5CFE">
      <w:pPr>
        <w:ind w:firstLine="640" w:firstLineChars="200"/>
        <w:outlineLvl w:val="1"/>
        <w:rPr>
          <w:rFonts w:hint="eastAsia" w:ascii="黑体" w:hAnsi="黑体" w:eastAsia="仿宋_GB2312" w:cs="宋体"/>
          <w:bCs/>
          <w:kern w:val="0"/>
          <w:sz w:val="32"/>
          <w:szCs w:val="32"/>
        </w:rPr>
      </w:pPr>
      <w:bookmarkStart w:id="39" w:name="_Toc28786"/>
      <w:bookmarkStart w:id="40" w:name="_Toc14238"/>
      <w:r>
        <w:rPr>
          <w:rFonts w:hint="eastAsia" w:ascii="黑体" w:hAnsi="黑体" w:eastAsia="仿宋_GB2312" w:cs="宋体"/>
          <w:bCs/>
          <w:kern w:val="0"/>
          <w:sz w:val="32"/>
          <w:szCs w:val="32"/>
        </w:rPr>
        <w:t>四、《财政拨款收入支出决算总表》</w:t>
      </w:r>
      <w:bookmarkEnd w:id="39"/>
      <w:bookmarkEnd w:id="40"/>
    </w:p>
    <w:p w14:paraId="79EF4F5E">
      <w:pPr>
        <w:ind w:firstLine="640" w:firstLineChars="200"/>
        <w:outlineLvl w:val="1"/>
        <w:rPr>
          <w:rFonts w:hint="eastAsia" w:ascii="黑体" w:hAnsi="黑体" w:eastAsia="仿宋_GB2312" w:cs="宋体"/>
          <w:bCs/>
          <w:kern w:val="0"/>
          <w:sz w:val="32"/>
          <w:szCs w:val="32"/>
        </w:rPr>
      </w:pPr>
      <w:bookmarkStart w:id="41" w:name="_Toc10347"/>
      <w:bookmarkStart w:id="42" w:name="_Toc14869"/>
      <w:r>
        <w:rPr>
          <w:rFonts w:hint="eastAsia" w:ascii="黑体" w:hAnsi="黑体" w:eastAsia="仿宋_GB2312" w:cs="宋体"/>
          <w:bCs/>
          <w:kern w:val="0"/>
          <w:sz w:val="32"/>
          <w:szCs w:val="32"/>
        </w:rPr>
        <w:t>五、《一般公共预算财政拨款支出决算表》</w:t>
      </w:r>
      <w:bookmarkEnd w:id="41"/>
      <w:bookmarkEnd w:id="42"/>
    </w:p>
    <w:p w14:paraId="6CC4B3D8">
      <w:pPr>
        <w:ind w:firstLine="640" w:firstLineChars="200"/>
        <w:outlineLvl w:val="1"/>
        <w:rPr>
          <w:rFonts w:hint="eastAsia" w:ascii="黑体" w:hAnsi="黑体" w:eastAsia="仿宋_GB2312" w:cs="宋体"/>
          <w:bCs/>
          <w:kern w:val="0"/>
          <w:sz w:val="32"/>
          <w:szCs w:val="32"/>
        </w:rPr>
      </w:pPr>
      <w:bookmarkStart w:id="43" w:name="_Toc8884"/>
      <w:bookmarkStart w:id="44" w:name="_Toc5626"/>
      <w:r>
        <w:rPr>
          <w:rFonts w:hint="eastAsia" w:ascii="黑体" w:hAnsi="黑体" w:eastAsia="仿宋_GB2312" w:cs="宋体"/>
          <w:bCs/>
          <w:kern w:val="0"/>
          <w:sz w:val="32"/>
          <w:szCs w:val="32"/>
        </w:rPr>
        <w:t>六、《一般公共预算财政拨款基本支出决算表》</w:t>
      </w:r>
      <w:bookmarkEnd w:id="43"/>
      <w:bookmarkEnd w:id="44"/>
    </w:p>
    <w:p w14:paraId="5134587C">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5" w:name="_Toc32663"/>
      <w:bookmarkStart w:id="46" w:name="_Toc29106"/>
      <w:r>
        <w:rPr>
          <w:rFonts w:hint="eastAsia" w:ascii="黑体" w:hAnsi="黑体" w:eastAsia="仿宋_GB2312" w:cs="宋体"/>
          <w:bCs/>
          <w:kern w:val="0"/>
          <w:sz w:val="32"/>
          <w:szCs w:val="32"/>
        </w:rPr>
        <w:t>《财政拨款“三公”经费支出决算表》</w:t>
      </w:r>
      <w:bookmarkEnd w:id="45"/>
      <w:bookmarkEnd w:id="46"/>
    </w:p>
    <w:p w14:paraId="60335FFE">
      <w:pPr>
        <w:ind w:firstLine="640" w:firstLineChars="200"/>
        <w:outlineLvl w:val="1"/>
        <w:rPr>
          <w:rFonts w:hint="eastAsia" w:ascii="黑体" w:hAnsi="黑体" w:eastAsia="仿宋_GB2312" w:cs="宋体"/>
          <w:bCs/>
          <w:kern w:val="0"/>
          <w:sz w:val="32"/>
          <w:szCs w:val="32"/>
        </w:rPr>
      </w:pPr>
      <w:bookmarkStart w:id="47" w:name="_Toc7643"/>
      <w:bookmarkStart w:id="48" w:name="_Toc5453"/>
      <w:r>
        <w:rPr>
          <w:rFonts w:hint="eastAsia" w:ascii="黑体" w:hAnsi="黑体" w:eastAsia="仿宋_GB2312" w:cs="宋体"/>
          <w:bCs/>
          <w:kern w:val="0"/>
          <w:sz w:val="32"/>
          <w:szCs w:val="32"/>
        </w:rPr>
        <w:t>八、《政府性基金预算财政拨款收入支出决算表》</w:t>
      </w:r>
      <w:bookmarkEnd w:id="47"/>
      <w:bookmarkEnd w:id="48"/>
    </w:p>
    <w:p w14:paraId="2DF67009">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6234DE29">
      <w:pPr>
        <w:ind w:firstLine="640" w:firstLineChars="200"/>
        <w:rPr>
          <w:rFonts w:ascii="仿宋_GB2312" w:eastAsia="仿宋_GB2312"/>
          <w:sz w:val="32"/>
          <w:szCs w:val="32"/>
        </w:rPr>
      </w:pPr>
    </w:p>
    <w:p w14:paraId="213BC362">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方正仿宋">
    <w:altName w:val="宋体"/>
    <w:panose1 w:val="00000000000000000000"/>
    <w:charset w:val="86"/>
    <w:family w:val="roman"/>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C25AD3">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301A1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1301A15B">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B42E2"/>
    <w:rsid w:val="00213C59"/>
    <w:rsid w:val="003210CE"/>
    <w:rsid w:val="003B42E2"/>
    <w:rsid w:val="00482354"/>
    <w:rsid w:val="004F5DFB"/>
    <w:rsid w:val="0076474A"/>
    <w:rsid w:val="00772EC5"/>
    <w:rsid w:val="00814187"/>
    <w:rsid w:val="00AE56F1"/>
    <w:rsid w:val="00B70D59"/>
    <w:rsid w:val="00C75D79"/>
    <w:rsid w:val="00E670D9"/>
    <w:rsid w:val="00E9380A"/>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7FC3D58"/>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1146</Words>
  <Characters>6534</Characters>
  <Lines>54</Lines>
  <Paragraphs>15</Paragraphs>
  <TotalTime>24</TotalTime>
  <ScaleCrop>false</ScaleCrop>
  <LinksUpToDate>false</LinksUpToDate>
  <CharactersWithSpaces>7665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2024-11-19T09:11:16Z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