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color w:val="auto"/>
          <w:kern w:val="0"/>
          <w:sz w:val="32"/>
          <w:szCs w:val="32"/>
        </w:rPr>
      </w:pPr>
      <w:bookmarkStart w:id="0" w:name="_GoBack"/>
      <w:r>
        <w:rPr>
          <w:rFonts w:hint="eastAsia" w:ascii="仿宋" w:hAnsi="仿宋" w:eastAsia="仿宋" w:cs="宋体"/>
          <w:color w:val="auto"/>
          <w:kern w:val="0"/>
          <w:sz w:val="32"/>
          <w:szCs w:val="32"/>
        </w:rPr>
        <w:t>附件2：</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pPr>
        <w:spacing w:line="540" w:lineRule="exact"/>
        <w:jc w:val="center"/>
        <w:rPr>
          <w:rFonts w:ascii="华文中宋" w:hAnsi="华文中宋" w:eastAsia="华文中宋" w:cs="宋体"/>
          <w:b/>
          <w:color w:val="auto"/>
          <w:kern w:val="0"/>
          <w:sz w:val="52"/>
          <w:szCs w:val="52"/>
        </w:rPr>
      </w:pPr>
    </w:p>
    <w:p>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jc w:val="center"/>
        <w:rPr>
          <w:rFonts w:hAnsi="宋体" w:eastAsia="仿宋_GB2312" w:cs="宋体"/>
          <w:color w:val="auto"/>
          <w:kern w:val="0"/>
          <w:sz w:val="30"/>
          <w:szCs w:val="30"/>
        </w:rPr>
      </w:pPr>
    </w:p>
    <w:p>
      <w:pPr>
        <w:spacing w:line="540" w:lineRule="exact"/>
        <w:rPr>
          <w:rFonts w:hAnsi="宋体" w:eastAsia="仿宋_GB2312" w:cs="宋体"/>
          <w:color w:val="auto"/>
          <w:kern w:val="0"/>
          <w:sz w:val="30"/>
          <w:szCs w:val="30"/>
        </w:rPr>
      </w:pPr>
    </w:p>
    <w:p>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羊毛工村至卧龙岗村段中小河流治理工程</w:t>
      </w:r>
    </w:p>
    <w:p>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米东区水务局机关</w:t>
      </w:r>
    </w:p>
    <w:p>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米东区水务局机关</w:t>
      </w:r>
    </w:p>
    <w:p>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赖涛</w:t>
      </w:r>
    </w:p>
    <w:p>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2024年05月31日</w:t>
      </w:r>
    </w:p>
    <w:p>
      <w:pPr>
        <w:spacing w:line="700" w:lineRule="exact"/>
        <w:ind w:firstLine="708" w:firstLineChars="236"/>
        <w:jc w:val="left"/>
        <w:rPr>
          <w:rFonts w:hAnsi="宋体" w:eastAsia="仿宋_GB2312" w:cs="宋体"/>
          <w:color w:val="auto"/>
          <w:kern w:val="0"/>
          <w:sz w:val="30"/>
          <w:szCs w:val="30"/>
        </w:rPr>
      </w:pPr>
    </w:p>
    <w:p>
      <w:pPr>
        <w:spacing w:line="540" w:lineRule="exact"/>
        <w:rPr>
          <w:rStyle w:val="18"/>
          <w:rFonts w:ascii="黑体" w:hAnsi="黑体" w:eastAsia="黑体"/>
          <w:b w:val="0"/>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根据《关于新疆羊毛工村至卧龙岗村段中小河流治理工程立项的批复》乌发改函（2021）657号，米东区临近山区，水磨河羊毛工村至卧龙岗村段河道为天然河道，防洪能力不足，河道周围居民较多，洪水会威胁到群众生命财产安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（2）项目2023年的主要实施内容：该项自建设内容主要包括新建总长18.14千米的渠道，其中左岸渠道长9.07千米，右岸渠道长9.07千米；新建分洪闸2座及附属设施。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（3）2023年当年完成情况：已完成11.6千米的渠道，剩余5.04千米的河道和2座分洪闸未完成建设。</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（1）该项目资金投入情况：经乌财农【2021】115号文件批准，项目系中央水利发展资金，共安排预算2660万元，于2022年支付798万元，2023年年初部门预算结转1862万元，年中资金未调整。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（2）该项目资金使用情况：①2023年总预算情况：1862万元；②资金投入包括建筑工程投资1394万，机电设备及安装等工程108.27万元，服务及基本预备费用投资359.73万元；③预算执行率：90.01%。</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该项目为跨年项目。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该项目总体绩效目标：通过项目实施，建设分洪渠18.14千米，新建分洪闸4座、桥涵21座。项目完成后，有效提高水磨河防洪标准，减少对周围群众威胁，减少洪水灾害对企业造成的损失。</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该项目阶段性目标为：在2023年计划完成10千米的渠道。有效提高河道防洪能力，提高水磨河防洪标准，有效提升居民满意度。</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首先，项目地目标：完成18.14千米分洪渠建设，按期完成，按照合同约定时间完工，提高资金支付的及时性，有效执行项目预算控制率，提高社会效益，提升居民满意度，设置的指标能够完整的体现并合理的对此项目进行绩效评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其次，该项目施工单位根据倒排工期表按照项目建设节点，按时开展并有序实施工程，及时支付工程款。</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最后，项目业主施工单位、监理做好分部分项工程验收，并留存好相关验收、监理、施工档案资料。以确保数据的准确性和完整性。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水利发展资金-羊毛工村至卧龙岗村段中小河流治理工程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（1）绩效评价的对象：水利发展资金-羊毛工村至卧龙岗村段中小河流治理工程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羊毛工村至卧龙岗村段中小河流治理工程项目的基本情况：建设分洪渠18.14千米，新建分洪闸4座、桥涵21座。目前已开展2023年绩效评价工作，已完成10千米的分洪渠的建设，有效提高河道防洪能力，提高水磨河防洪标准，有效保障建设渠道周围的村民的生命财产安全，并提升了居民满意度。主要经验是建立健全河道项目实施监管机制，多措并举重视项目实施方案编制，加大宣传力度开展项目宣传推介。存在的问题是未做好项目规划工作，提前做好项目规划有利于加快推进项目实施完工。2023年此项目较好的完成了预期目标。</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指标解释</w:t>
      </w:r>
      <w:r>
        <w:rPr>
          <w:rStyle w:val="18"/>
          <w:rFonts w:hint="eastAsia" w:ascii="楷体" w:hAnsi="楷体" w:eastAsia="楷体"/>
          <w:b w:val="0"/>
          <w:bCs w:val="0"/>
          <w:color w:val="auto"/>
          <w:spacing w:val="-4"/>
          <w:sz w:val="32"/>
          <w:szCs w:val="32"/>
        </w:rPr>
        <w:tab/>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t>项目申请、设立过程是否符合相关要求，用以反映和考核项目立项的规范情况。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项目预算资金是否按照计划执行，用以反映或考核项目预算执行情况。</w:t>
      </w:r>
      <w:r>
        <w:rPr>
          <w:rStyle w:val="18"/>
          <w:rFonts w:hint="eastAsia" w:ascii="楷体" w:hAnsi="楷体" w:eastAsia="楷体"/>
          <w:b w:val="0"/>
          <w:bCs w:val="0"/>
          <w:color w:val="auto"/>
          <w:spacing w:val="-4"/>
          <w:sz w:val="32"/>
          <w:szCs w:val="32"/>
        </w:rPr>
        <w:tab/>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渠道建设长度</w:t>
      </w:r>
      <w:r>
        <w:rPr>
          <w:rStyle w:val="18"/>
          <w:rFonts w:hint="eastAsia" w:ascii="楷体" w:hAnsi="楷体" w:eastAsia="楷体"/>
          <w:b w:val="0"/>
          <w:bCs w:val="0"/>
          <w:color w:val="auto"/>
          <w:spacing w:val="-4"/>
          <w:sz w:val="32"/>
          <w:szCs w:val="32"/>
        </w:rPr>
        <w:tab/>
        <w:t>渠道建设长度总长为18.14千米</w:t>
      </w:r>
      <w:r>
        <w:rPr>
          <w:rStyle w:val="18"/>
          <w:rFonts w:hint="eastAsia" w:ascii="楷体" w:hAnsi="楷体" w:eastAsia="楷体"/>
          <w:b w:val="0"/>
          <w:bCs w:val="0"/>
          <w:color w:val="auto"/>
          <w:spacing w:val="-4"/>
          <w:sz w:val="32"/>
          <w:szCs w:val="32"/>
        </w:rPr>
        <w:tab/>
        <w:t>根据项目立项建设内容为参考依据，产出数量为渠道建设长度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工程按期完成率</w:t>
      </w:r>
      <w:r>
        <w:rPr>
          <w:rStyle w:val="18"/>
          <w:rFonts w:hint="eastAsia" w:ascii="楷体" w:hAnsi="楷体" w:eastAsia="楷体"/>
          <w:b w:val="0"/>
          <w:bCs w:val="0"/>
          <w:color w:val="auto"/>
          <w:spacing w:val="-4"/>
          <w:sz w:val="32"/>
          <w:szCs w:val="32"/>
        </w:rPr>
        <w:tab/>
        <w:t>项目按期完成的比率，用以反映和考核项目产出质量目标的实现程度。</w:t>
      </w:r>
      <w:r>
        <w:rPr>
          <w:rStyle w:val="18"/>
          <w:rFonts w:hint="eastAsia" w:ascii="楷体" w:hAnsi="楷体" w:eastAsia="楷体"/>
          <w:b w:val="0"/>
          <w:bCs w:val="0"/>
          <w:color w:val="auto"/>
          <w:spacing w:val="-4"/>
          <w:sz w:val="32"/>
          <w:szCs w:val="32"/>
        </w:rPr>
        <w:tab/>
        <w:t>工程按期完成率=（1-超过合同约定工期天数*0.1%）×100%。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资金支付及时率</w:t>
      </w:r>
      <w:r>
        <w:rPr>
          <w:rStyle w:val="18"/>
          <w:rFonts w:hint="eastAsia" w:ascii="楷体" w:hAnsi="楷体" w:eastAsia="楷体"/>
          <w:b w:val="0"/>
          <w:bCs w:val="0"/>
          <w:color w:val="auto"/>
          <w:spacing w:val="-4"/>
          <w:sz w:val="32"/>
          <w:szCs w:val="32"/>
        </w:rPr>
        <w:tab/>
        <w:t>资金支付实际完成时间与计划完成时间的比较，用以反映和考核项目产出时效目标的实现程度。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t>资金支付及时率=（1-超过合同约定付款天数*0.1%）×100%。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项目预算控制率</w:t>
      </w:r>
      <w:r>
        <w:rPr>
          <w:rStyle w:val="18"/>
          <w:rFonts w:hint="eastAsia" w:ascii="楷体" w:hAnsi="楷体" w:eastAsia="楷体"/>
          <w:b w:val="0"/>
          <w:bCs w:val="0"/>
          <w:color w:val="auto"/>
          <w:spacing w:val="-4"/>
          <w:sz w:val="32"/>
          <w:szCs w:val="32"/>
        </w:rPr>
        <w:tab/>
        <w:t>完成项目计划工作目标的实际节约成本与计划成本的比率，用以反映和考核项目的成本节约程度。</w:t>
      </w:r>
      <w:r>
        <w:rPr>
          <w:rStyle w:val="18"/>
          <w:rFonts w:hint="eastAsia" w:ascii="楷体" w:hAnsi="楷体" w:eastAsia="楷体"/>
          <w:b w:val="0"/>
          <w:bCs w:val="0"/>
          <w:color w:val="auto"/>
          <w:spacing w:val="-4"/>
          <w:sz w:val="32"/>
          <w:szCs w:val="32"/>
        </w:rPr>
        <w:tab/>
        <w:t>成本节约率=[（计划成本-实际成本）/计划成本]×100%。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实际成本：项目实施单位如期、保质、保量完成既定工作目标实际所耗费的支出。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计划成本：项目实施单位为完成工作目标计划安排的支出，一般以项目预算为参考。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社会效益指标</w:t>
      </w:r>
      <w:r>
        <w:rPr>
          <w:rStyle w:val="18"/>
          <w:rFonts w:hint="eastAsia" w:ascii="楷体" w:hAnsi="楷体" w:eastAsia="楷体"/>
          <w:b w:val="0"/>
          <w:bCs w:val="0"/>
          <w:color w:val="auto"/>
          <w:spacing w:val="-4"/>
          <w:sz w:val="32"/>
          <w:szCs w:val="32"/>
        </w:rPr>
        <w:tab/>
        <w:t>有效提高河道防洪能力</w:t>
      </w:r>
      <w:r>
        <w:rPr>
          <w:rStyle w:val="18"/>
          <w:rFonts w:hint="eastAsia" w:ascii="楷体" w:hAnsi="楷体" w:eastAsia="楷体"/>
          <w:b w:val="0"/>
          <w:bCs w:val="0"/>
          <w:color w:val="auto"/>
          <w:spacing w:val="-4"/>
          <w:sz w:val="32"/>
          <w:szCs w:val="32"/>
        </w:rPr>
        <w:tab/>
        <w:t>项目实施所产生的效益。</w:t>
      </w:r>
      <w:r>
        <w:rPr>
          <w:rStyle w:val="18"/>
          <w:rFonts w:hint="eastAsia" w:ascii="楷体" w:hAnsi="楷体" w:eastAsia="楷体"/>
          <w:b w:val="0"/>
          <w:bCs w:val="0"/>
          <w:color w:val="auto"/>
          <w:spacing w:val="-4"/>
          <w:sz w:val="32"/>
          <w:szCs w:val="32"/>
        </w:rPr>
        <w:tab/>
        <w:t>项目实施所产生的社会效益。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社会效益指标</w:t>
      </w:r>
      <w:r>
        <w:rPr>
          <w:rStyle w:val="18"/>
          <w:rFonts w:hint="eastAsia" w:ascii="楷体" w:hAnsi="楷体" w:eastAsia="楷体"/>
          <w:b w:val="0"/>
          <w:bCs w:val="0"/>
          <w:color w:val="auto"/>
          <w:spacing w:val="-4"/>
          <w:sz w:val="32"/>
          <w:szCs w:val="32"/>
        </w:rPr>
        <w:tab/>
        <w:t>提高水磨河防洪标准。</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群众满意度</w:t>
      </w:r>
      <w:r>
        <w:rPr>
          <w:rStyle w:val="18"/>
          <w:rFonts w:hint="eastAsia" w:ascii="楷体" w:hAnsi="楷体" w:eastAsia="楷体"/>
          <w:b w:val="0"/>
          <w:bCs w:val="0"/>
          <w:color w:val="auto"/>
          <w:spacing w:val="-4"/>
          <w:sz w:val="32"/>
          <w:szCs w:val="32"/>
        </w:rPr>
        <w:tab/>
        <w:t>社会公众或服务对象对项目实施效果的满意程度。</w:t>
      </w:r>
      <w:r>
        <w:rPr>
          <w:rStyle w:val="18"/>
          <w:rFonts w:hint="eastAsia" w:ascii="楷体" w:hAnsi="楷体" w:eastAsia="楷体"/>
          <w:b w:val="0"/>
          <w:bCs w:val="0"/>
          <w:color w:val="auto"/>
          <w:spacing w:val="-4"/>
          <w:sz w:val="32"/>
          <w:szCs w:val="32"/>
        </w:rPr>
        <w:tab/>
        <w:t>社会公众或服务对象是指因该项目实施而受到影响的部门（单位）、群体或个人。一般采取社会调查的方式。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水利发展资金-羊毛工村至卧龙岗村段中小河流治理工程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·乌财农【2021】115号关于提前下达2022年中央水利发展资金预算（项目部分）的通知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·乌发改函（2021）657号关于新疆乌鲁木齐市羊毛工镇羊毛工村至卧龙岗村段中小河流治理工程立项的批复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·乌发改函（2022）391号关于新疆乌鲁木齐市羊毛工镇羊毛工村至卧龙岗村段中小河流治理工程初步设计的批复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·乌发改函（2022）388号关于新疆乌鲁木齐市羊毛工镇羊毛工村至卧龙岗村段中小河流治理工程可行性研究报告的批复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·乌鲁木齐市米东区水务局水利项目管理制度。</w:t>
      </w:r>
      <w:r>
        <w:rPr>
          <w:rStyle w:val="18"/>
          <w:rFonts w:hint="eastAsia" w:ascii="楷体" w:hAnsi="楷体" w:eastAsia="楷体"/>
          <w:b w:val="0"/>
          <w:bCs w:val="0"/>
          <w:color w:val="auto"/>
          <w:spacing w:val="-4"/>
          <w:sz w:val="32"/>
          <w:szCs w:val="32"/>
        </w:rPr>
        <w:cr/>
      </w:r>
    </w:p>
    <w:p>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及访谈等形式，对2023年水利发展资金-羊毛工村至卧龙岗村段中小河流治理工程进行客观评价，最终评分结果为：总分为74.54分，绩效评级为合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分值</w:t>
      </w:r>
      <w:r>
        <w:rPr>
          <w:rStyle w:val="18"/>
          <w:rFonts w:hint="eastAsia" w:ascii="楷体" w:hAnsi="楷体" w:eastAsia="楷体"/>
          <w:b w:val="0"/>
          <w:bCs w:val="0"/>
          <w:color w:val="auto"/>
          <w:spacing w:val="-4"/>
          <w:sz w:val="32"/>
          <w:szCs w:val="32"/>
        </w:rPr>
        <w:tab/>
        <w:t>得分</w:t>
      </w:r>
      <w:r>
        <w:rPr>
          <w:rStyle w:val="18"/>
          <w:rFonts w:hint="eastAsia" w:ascii="楷体" w:hAnsi="楷体" w:eastAsia="楷体"/>
          <w:b w:val="0"/>
          <w:bCs w:val="0"/>
          <w:color w:val="auto"/>
          <w:spacing w:val="-4"/>
          <w:sz w:val="32"/>
          <w:szCs w:val="32"/>
        </w:rPr>
        <w:tab/>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立项依据充分性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立项程序规范性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绩效指标明确性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预算编制科学性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4.5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4.5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资金使用合规性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管理制度健全性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制度执行有效性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渠道建设</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5.5</w:t>
      </w:r>
      <w:r>
        <w:rPr>
          <w:rStyle w:val="18"/>
          <w:rFonts w:hint="eastAsia" w:ascii="楷体" w:hAnsi="楷体" w:eastAsia="楷体"/>
          <w:b w:val="0"/>
          <w:bCs w:val="0"/>
          <w:color w:val="auto"/>
          <w:spacing w:val="-4"/>
          <w:sz w:val="32"/>
          <w:szCs w:val="32"/>
        </w:rPr>
        <w:tab/>
        <w:t>55%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工程按期完工率</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5.5</w:t>
      </w:r>
      <w:r>
        <w:rPr>
          <w:rStyle w:val="18"/>
          <w:rFonts w:hint="eastAsia" w:ascii="楷体" w:hAnsi="楷体" w:eastAsia="楷体"/>
          <w:b w:val="0"/>
          <w:bCs w:val="0"/>
          <w:color w:val="auto"/>
          <w:spacing w:val="-4"/>
          <w:sz w:val="32"/>
          <w:szCs w:val="32"/>
        </w:rPr>
        <w:tab/>
        <w:t>55%</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资金支付及时率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产出成本</w:t>
      </w:r>
      <w:r>
        <w:rPr>
          <w:rStyle w:val="18"/>
          <w:rFonts w:hint="eastAsia" w:ascii="楷体" w:hAnsi="楷体" w:eastAsia="楷体"/>
          <w:b w:val="0"/>
          <w:bCs w:val="0"/>
          <w:color w:val="auto"/>
          <w:spacing w:val="-4"/>
          <w:sz w:val="32"/>
          <w:szCs w:val="32"/>
        </w:rPr>
        <w:tab/>
        <w:t>项目预算控制率</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9</w:t>
      </w:r>
      <w:r>
        <w:rPr>
          <w:rStyle w:val="18"/>
          <w:rFonts w:hint="eastAsia" w:ascii="楷体" w:hAnsi="楷体" w:eastAsia="楷体"/>
          <w:b w:val="0"/>
          <w:bCs w:val="0"/>
          <w:color w:val="auto"/>
          <w:spacing w:val="-4"/>
          <w:sz w:val="32"/>
          <w:szCs w:val="32"/>
        </w:rPr>
        <w:tab/>
        <w:t>90%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项目效益</w:t>
      </w:r>
      <w:r>
        <w:rPr>
          <w:rStyle w:val="18"/>
          <w:rFonts w:hint="eastAsia" w:ascii="楷体" w:hAnsi="楷体" w:eastAsia="楷体"/>
          <w:b w:val="0"/>
          <w:bCs w:val="0"/>
          <w:color w:val="auto"/>
          <w:spacing w:val="-4"/>
          <w:sz w:val="32"/>
          <w:szCs w:val="32"/>
        </w:rPr>
        <w:tab/>
        <w:t>社会效益指标</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群众满意度</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及时拨付，单位在此次评价期间内：建设分洪渠18.14千米，新建分洪闸4座、桥涵21座。目前已开展2023年绩效评价工作，已完成10千米的分洪渠的建设，有效提高河道防洪能力，提高水磨河防洪标准，有效保障建设渠道周围的村民的生命财产安全，并提升了居民满意度。主要经验是建立健全河道项目实施监管机制，多措并举重视项目实施方案编制，加大宣传力度开展项目宣传推介。存在的问题是未做好项目规划工作，提前做好项目规划有利于加快推进项目实施完工。2023年此项目较好的完成了预期目标。</w:t>
      </w:r>
      <w:r>
        <w:rPr>
          <w:rStyle w:val="18"/>
          <w:rFonts w:hint="eastAsia" w:ascii="楷体" w:hAnsi="楷体" w:eastAsia="楷体"/>
          <w:b w:val="0"/>
          <w:bCs w:val="0"/>
          <w:color w:val="auto"/>
          <w:spacing w:val="-4"/>
          <w:sz w:val="32"/>
          <w:szCs w:val="32"/>
        </w:rPr>
        <w:cr/>
      </w:r>
    </w:p>
    <w:p>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项目决策指标由3个二级指标和6个三级指标构成，权重为20分，实际得分20分。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项目立项符合中华人民共和国水法及中华人民共和国防洪法、中华人民共和国河道管理条例、中小河流域治理项目政策要求。同时，该项目与乌鲁木齐市米东区水务局河道管理职责相符，属于水务局加强开展防洪工作履职所需。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立项程序规范性:米东区水务局严格按照米东区发改委规定的程序进项立项，并提交相关发改委要求的材料，申请设立，审批文件、材料符合相关要求，故立项程序规范，得4分。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成本、效益和满意度构建绩效评价指标，且具有明确性、可衡量性、可实现性、相关性和时限性等特点，能较为全面地反映本项目的产出和效益，故绩效目标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其中，目标已细化为具体的绩效指标，新建渠道长度、工程按期完成率、资金支付及时率，可通过数量指标、质量指标、时效指标和成本指标予以量化，具体为：完成新建渠道长度18.14千米，工程按期完工率为100%，资金支付及时率为100%，并具有确切的评价标准，且指标设定均与该项目绩效目标相关。各项指标均能在现实条件下收集到相关数据进行佐证（通过向施工单位收集工程验收表完成的工程量确认河道新建长度，向监理公司收集工程项目支付资料，进一步确认资金支付及时率），并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预算编制科学性：本预算编制科学合理。米东区水务局聘请设计单位对项目整体投资进行估计，并出具了可行性研究报告，故预算编制科学性指标得分3分。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资金分配合理且符合中央水利发展资金使用规范，乌发改函（2022）388号关于新疆乌鲁木齐市羊毛工镇羊毛工村至卧龙岗村段中小河流治理工程可行性研究报告的批复，根据可行性研究报告中指出：①2023年总预算情况：1862万元；②资金投入包括建筑工程投资1394万，机电设备及安装等工程108.27万元，服务及基本预备费用投资359.73万元；故资金分配合理性指标得分3分。综上，该指标满分6分，得分6分。</w:t>
      </w:r>
      <w:r>
        <w:rPr>
          <w:rStyle w:val="18"/>
          <w:rFonts w:hint="eastAsia" w:ascii="楷体" w:hAnsi="楷体" w:eastAsia="楷体"/>
          <w:b w:val="0"/>
          <w:bCs w:val="0"/>
          <w:color w:val="auto"/>
          <w:spacing w:val="-4"/>
          <w:sz w:val="32"/>
          <w:szCs w:val="32"/>
        </w:rPr>
        <w:tab/>
      </w:r>
    </w:p>
    <w:p>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项目过程指标由2个二级指标和5个三级指标构成，权重为20分，实际得分20分。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资金到位率：该项目资金由财政拨付，在2023年1月1日到位，资金直接支付到施工单位。使用上年结转资金,与绩效自评的资金情况一致。故资金到位率指标得分5分。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预算执行率：米东区水务局在2023年2月20日支付工程款1676万元，故预算执行率得分为4.5分。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资金使用合规性：本项目资金的使用符合中央水利发展资金管理制度以及有关区财政专项资金管理办法的规定。同时，资金的拨付有 米东区财政局、米东区水务局 审批程序，执行严格的财务审批手续，符合项目预算批复或合同规定的用途，不存在截留、挤占、挪用、虚列支出等情况。故资金使用合规性得分为3分。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综上，该指标满分13分，得分12.5分。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管理制度健全性：米东区水务局已制定相应的乌鲁木齐市米东区水务局水利项目管理制度，且制度合法、合规、完整，为项目顺利实施提供重要保障。故管理制度健全性得分为3分。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根据评价小组核查情况，水务局严格遵守相关法律法规和乌鲁木齐市米东区水务局水利项目管理制度的规定，项目调整及支出调整手续完备，整体管理合理有序，项目完成后，及时将会计凭证等相关资料分类归档，制度执行有效。故制度执行有效性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项目产出指标由4个二级指标和4个三级指标构成，权重为40分，实际得分25分。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河道建设”的目标值是18.14千米，2023年度我单位实际完成10千米，偏差原因是2023年10月经我局与乌鲁木齐市国土局对接，本项目中间2公里河道因涉及耕地与农田，故需办理用地手续，2024年4月与国土局对接，市国土局与米东区草原监理站对接需办理林地手续，故未完成。实际完成率为55%，故实际完成率得分为5.5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工程按期完成率是指工程按期完成率为100%，实际工程按期完成率为55%，质量达标率为55%。故工程质量达标率得分为5.5分。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资金拨付及时率：米东区水务局在2023年2月20日支付工程款1676万元，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故完成及时性得分为5分。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项目预算控制率：本项目实际支出1676万元，无超支情况，得分为9分。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综上，该部分指标满分40分，得分25分。</w:t>
      </w:r>
    </w:p>
    <w:p>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有效提升河道防洪能力”，指标值：有效提高。实际完成值：完全达到预期，达成年度指标。评价指标“提高水磨河防洪标准”，指标值：有效提高。实际完成值：完全达到预期，达成年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综上，该指标满分20分，得分20分。</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2. 满意度指标完成情况分析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群众满意度：评价指标“群众满意度”，指标值：≥90%，实际完成值：111%。通过设置群众满意度问卷调查的方式进行考评评价，共计调查样本总量为22个样本，有效调查问卷份。其中，统计“群众满意”的平均值为100%。故满意度指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pPr>
        <w:spacing w:line="540" w:lineRule="exact"/>
        <w:ind w:firstLine="567"/>
        <w:rPr>
          <w:rStyle w:val="18"/>
          <w:rFonts w:ascii="楷体" w:hAnsi="楷体" w:eastAsia="楷体"/>
          <w:color w:val="auto"/>
          <w:spacing w:val="-4"/>
          <w:sz w:val="32"/>
          <w:szCs w:val="32"/>
        </w:rPr>
      </w:pP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是提高思想认识，加强组织领导，提高水利项目工程质量监督力度。二是坚持精准施策，因地制宜实施。三是三、坚持多措并举，狠抓项目进度。主要经验是建立健全河道项目实施监管机制，多措并举重视项目实施方案编制，加大宣传力度开展项目宣传推介，本项目通过前期的调查、水文数据和实地进行走访，在前期确定好水磨河流域重点治理段，发现治理羊毛工镇羊毛工村至卧龙岗村段具有重要的治理意义。在项目施工过程中通过施工调度会的督促形式，及时掌握项目的进展情况及项目遇到的问题，抓住项目重要施工节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存在的问题是未做好项目规划工作，导致项目河道2千米未及时办理林地补偿手续和用地手续。2023年此项目较好的完成了预期目标。</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一）严格执行基本建设程序，提前与国土、林草、电力等相关部门做好对接，严格按照相关部门关于中小河流域治理项目的相关规定及时办理河道用地和林草手续，通过本次项目，我们要在以后的工程项目中提前做好项目的初期手续办理，与相关部门做好沟通，以免沟通不畅导致项目施工进度受到影响，力争项目早日完工，彻底解决长期困扰周围居民群众的洪水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推进工程规范建设。建设单位要及早谋划，严格执行项目基本建设程序，及时申请办理前期有关手续的审批；主管部门应加强监管，督促建设单位按照国家法律法规要求，执行基本建设程序，履行审批手续，对未批先建的，按相关法律法规对建设单位予以处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夯实合同管理，增强法律风险防控意识。一是深入开展法制宣传教育，增强法律意识，培养复合型人才；二是加强合同评审，规避合同风险；三是加强合同执行全过程管理，主动采取措施堵塞管理漏洞，避免争议，从而提高投资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加强建设工程管理，严格责任追究制度。一是强化责任落实，严格责任追究制度；二是加强对参建单位的管理，严格按照合同及招投标文件要求，保障人员配备；三是提高项目管理水平，充分发挥代建、监理等参建单位的管理职能，确保工程质量。</w:t>
      </w:r>
    </w:p>
    <w:p>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七、其他需要说明的问题</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p>
      <w:pPr>
        <w:spacing w:line="540" w:lineRule="exact"/>
        <w:ind w:firstLine="567"/>
        <w:rPr>
          <w:rStyle w:val="18"/>
          <w:rFonts w:ascii="仿宋" w:hAnsi="仿宋" w:eastAsia="仿宋"/>
          <w:b w:val="0"/>
          <w:color w:val="auto"/>
          <w:spacing w:val="-4"/>
          <w:sz w:val="32"/>
          <w:szCs w:val="32"/>
        </w:rPr>
      </w:pPr>
    </w:p>
    <w:bookmarkEnd w:id="0"/>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5C0C0356"/>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autoRedefine/>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autoRedefine/>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autoRedefine/>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autoRedefine/>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autoRedefine/>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autoRedefine/>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autoRedefine/>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autoRedefine/>
    <w:semiHidden/>
    <w:unhideWhenUsed/>
    <w:qFormat/>
    <w:uiPriority w:val="99"/>
    <w:rPr>
      <w:sz w:val="18"/>
      <w:szCs w:val="18"/>
    </w:rPr>
  </w:style>
  <w:style w:type="paragraph" w:styleId="12">
    <w:name w:val="footer"/>
    <w:basedOn w:val="1"/>
    <w:link w:val="44"/>
    <w:autoRedefine/>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autoRedefine/>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autoRedefine/>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autoRedefine/>
    <w:qFormat/>
    <w:uiPriority w:val="0"/>
    <w:rPr>
      <w:b/>
      <w:bCs/>
    </w:rPr>
  </w:style>
  <w:style w:type="character" w:styleId="19">
    <w:name w:val="Emphasis"/>
    <w:basedOn w:val="17"/>
    <w:autoRedefine/>
    <w:qFormat/>
    <w:uiPriority w:val="20"/>
    <w:rPr>
      <w:rFonts w:asciiTheme="minorHAnsi" w:hAnsiTheme="minorHAnsi"/>
      <w:b/>
      <w:i/>
      <w:iCs/>
    </w:rPr>
  </w:style>
  <w:style w:type="character" w:customStyle="1" w:styleId="20">
    <w:name w:val="标题 1 字符"/>
    <w:basedOn w:val="17"/>
    <w:link w:val="2"/>
    <w:autoRedefine/>
    <w:qFormat/>
    <w:uiPriority w:val="9"/>
    <w:rPr>
      <w:rFonts w:asciiTheme="majorHAnsi" w:hAnsiTheme="majorHAnsi" w:eastAsiaTheme="majorEastAsia"/>
      <w:b/>
      <w:bCs/>
      <w:kern w:val="32"/>
      <w:sz w:val="32"/>
      <w:szCs w:val="32"/>
    </w:rPr>
  </w:style>
  <w:style w:type="character" w:customStyle="1" w:styleId="21">
    <w:name w:val="标题 2 字符"/>
    <w:basedOn w:val="17"/>
    <w:link w:val="3"/>
    <w:autoRedefine/>
    <w:semiHidden/>
    <w:qFormat/>
    <w:uiPriority w:val="9"/>
    <w:rPr>
      <w:rFonts w:asciiTheme="majorHAnsi" w:hAnsiTheme="majorHAnsi" w:eastAsiaTheme="majorEastAsia"/>
      <w:b/>
      <w:bCs/>
      <w:i/>
      <w:iCs/>
      <w:sz w:val="28"/>
      <w:szCs w:val="28"/>
    </w:rPr>
  </w:style>
  <w:style w:type="character" w:customStyle="1" w:styleId="22">
    <w:name w:val="标题 3 字符"/>
    <w:basedOn w:val="17"/>
    <w:link w:val="4"/>
    <w:autoRedefine/>
    <w:semiHidden/>
    <w:qFormat/>
    <w:uiPriority w:val="9"/>
    <w:rPr>
      <w:rFonts w:asciiTheme="majorHAnsi" w:hAnsiTheme="majorHAnsi" w:eastAsiaTheme="majorEastAsia"/>
      <w:b/>
      <w:bCs/>
      <w:sz w:val="26"/>
      <w:szCs w:val="26"/>
    </w:rPr>
  </w:style>
  <w:style w:type="character" w:customStyle="1" w:styleId="23">
    <w:name w:val="标题 4 字符"/>
    <w:basedOn w:val="17"/>
    <w:link w:val="5"/>
    <w:autoRedefine/>
    <w:semiHidden/>
    <w:qFormat/>
    <w:uiPriority w:val="9"/>
    <w:rPr>
      <w:b/>
      <w:bCs/>
      <w:sz w:val="28"/>
      <w:szCs w:val="28"/>
    </w:rPr>
  </w:style>
  <w:style w:type="character" w:customStyle="1" w:styleId="24">
    <w:name w:val="标题 5 字符"/>
    <w:basedOn w:val="17"/>
    <w:link w:val="6"/>
    <w:autoRedefine/>
    <w:semiHidden/>
    <w:qFormat/>
    <w:uiPriority w:val="9"/>
    <w:rPr>
      <w:b/>
      <w:bCs/>
      <w:i/>
      <w:iCs/>
      <w:sz w:val="26"/>
      <w:szCs w:val="26"/>
    </w:rPr>
  </w:style>
  <w:style w:type="character" w:customStyle="1" w:styleId="25">
    <w:name w:val="标题 6 字符"/>
    <w:basedOn w:val="17"/>
    <w:link w:val="7"/>
    <w:autoRedefine/>
    <w:semiHidden/>
    <w:qFormat/>
    <w:uiPriority w:val="9"/>
    <w:rPr>
      <w:b/>
      <w:bCs/>
    </w:rPr>
  </w:style>
  <w:style w:type="character" w:customStyle="1" w:styleId="26">
    <w:name w:val="标题 7 字符"/>
    <w:basedOn w:val="17"/>
    <w:link w:val="8"/>
    <w:autoRedefine/>
    <w:semiHidden/>
    <w:qFormat/>
    <w:uiPriority w:val="9"/>
    <w:rPr>
      <w:sz w:val="24"/>
      <w:szCs w:val="24"/>
    </w:rPr>
  </w:style>
  <w:style w:type="character" w:customStyle="1" w:styleId="27">
    <w:name w:val="标题 8 字符"/>
    <w:basedOn w:val="17"/>
    <w:link w:val="9"/>
    <w:autoRedefine/>
    <w:semiHidden/>
    <w:qFormat/>
    <w:uiPriority w:val="9"/>
    <w:rPr>
      <w:i/>
      <w:iCs/>
      <w:sz w:val="24"/>
      <w:szCs w:val="24"/>
    </w:rPr>
  </w:style>
  <w:style w:type="character" w:customStyle="1" w:styleId="28">
    <w:name w:val="标题 9 字符"/>
    <w:basedOn w:val="17"/>
    <w:link w:val="10"/>
    <w:autoRedefine/>
    <w:semiHidden/>
    <w:qFormat/>
    <w:uiPriority w:val="9"/>
    <w:rPr>
      <w:rFonts w:asciiTheme="majorHAnsi" w:hAnsiTheme="majorHAnsi" w:eastAsiaTheme="majorEastAsia"/>
    </w:rPr>
  </w:style>
  <w:style w:type="character" w:customStyle="1" w:styleId="29">
    <w:name w:val="标题 字符"/>
    <w:basedOn w:val="17"/>
    <w:link w:val="15"/>
    <w:autoRedefine/>
    <w:qFormat/>
    <w:uiPriority w:val="10"/>
    <w:rPr>
      <w:rFonts w:asciiTheme="majorHAnsi" w:hAnsiTheme="majorHAnsi" w:eastAsiaTheme="majorEastAsia"/>
      <w:b/>
      <w:bCs/>
      <w:kern w:val="28"/>
      <w:sz w:val="32"/>
      <w:szCs w:val="32"/>
    </w:rPr>
  </w:style>
  <w:style w:type="character" w:customStyle="1" w:styleId="30">
    <w:name w:val="副标题 字符"/>
    <w:basedOn w:val="17"/>
    <w:link w:val="14"/>
    <w:autoRedefine/>
    <w:qFormat/>
    <w:uiPriority w:val="11"/>
    <w:rPr>
      <w:rFonts w:asciiTheme="majorHAnsi" w:hAnsiTheme="majorHAnsi" w:eastAsiaTheme="majorEastAsia"/>
      <w:sz w:val="24"/>
      <w:szCs w:val="24"/>
    </w:rPr>
  </w:style>
  <w:style w:type="paragraph" w:styleId="31">
    <w:name w:val="No Spacing"/>
    <w:basedOn w:val="1"/>
    <w:autoRedefine/>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autoRedefine/>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autoRedefine/>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autoRedefine/>
    <w:qFormat/>
    <w:uiPriority w:val="29"/>
    <w:rPr>
      <w:i/>
      <w:sz w:val="24"/>
      <w:szCs w:val="24"/>
    </w:rPr>
  </w:style>
  <w:style w:type="paragraph" w:styleId="35">
    <w:name w:val="Intense Quote"/>
    <w:basedOn w:val="1"/>
    <w:next w:val="1"/>
    <w:link w:val="36"/>
    <w:autoRedefine/>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autoRedefine/>
    <w:qFormat/>
    <w:uiPriority w:val="30"/>
    <w:rPr>
      <w:b/>
      <w:i/>
      <w:sz w:val="24"/>
    </w:rPr>
  </w:style>
  <w:style w:type="character" w:customStyle="1" w:styleId="37">
    <w:name w:val="不明显强调1"/>
    <w:autoRedefine/>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autoRedefine/>
    <w:qFormat/>
    <w:uiPriority w:val="21"/>
    <w:rPr>
      <w:b/>
      <w:i/>
      <w:sz w:val="24"/>
      <w:szCs w:val="24"/>
      <w:u w:val="single"/>
    </w:rPr>
  </w:style>
  <w:style w:type="character" w:customStyle="1" w:styleId="39">
    <w:name w:val="不明显参考1"/>
    <w:basedOn w:val="17"/>
    <w:autoRedefine/>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autoRedefine/>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autoRedefine/>
    <w:qFormat/>
    <w:uiPriority w:val="99"/>
    <w:rPr>
      <w:rFonts w:ascii="Calibri" w:hAnsi="Calibri" w:eastAsia="宋体"/>
      <w:kern w:val="2"/>
      <w:sz w:val="18"/>
      <w:szCs w:val="18"/>
    </w:rPr>
  </w:style>
  <w:style w:type="character" w:customStyle="1" w:styleId="44">
    <w:name w:val="页脚 字符"/>
    <w:basedOn w:val="17"/>
    <w:link w:val="12"/>
    <w:autoRedefine/>
    <w:uiPriority w:val="99"/>
    <w:rPr>
      <w:rFonts w:ascii="Calibri" w:hAnsi="Calibri" w:eastAsia="宋体"/>
      <w:kern w:val="2"/>
      <w:sz w:val="18"/>
      <w:szCs w:val="18"/>
    </w:rPr>
  </w:style>
  <w:style w:type="character" w:customStyle="1" w:styleId="45">
    <w:name w:val="批注框文本 字符"/>
    <w:basedOn w:val="17"/>
    <w:link w:val="11"/>
    <w:autoRedefine/>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95</Words>
  <Characters>546</Characters>
  <Lines>4</Lines>
  <Paragraphs>1</Paragraphs>
  <TotalTime>12</TotalTime>
  <ScaleCrop>false</ScaleCrop>
  <LinksUpToDate>false</LinksUpToDate>
  <CharactersWithSpaces>640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杜里里oppo</cp:lastModifiedBy>
  <cp:lastPrinted>2018-12-31T10:56:00Z</cp:lastPrinted>
  <dcterms:modified xsi:type="dcterms:W3CDTF">2024-10-20T11:52:51Z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C734C92AAAF24344A0E4232D8EB3359B</vt:lpwstr>
  </property>
</Properties>
</file>