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536BFA">
      <w:pPr>
        <w:rPr>
          <w:rFonts w:hint="eastAsia" w:ascii="黑体" w:hAnsi="黑体" w:eastAsia="黑体"/>
          <w:sz w:val="32"/>
          <w:szCs w:val="32"/>
        </w:rPr>
      </w:pPr>
    </w:p>
    <w:p w14:paraId="5D621715">
      <w:pPr>
        <w:jc w:val="center"/>
        <w:rPr>
          <w:rFonts w:hint="eastAsia" w:ascii="方正小标宋_GBK" w:hAnsi="宋体" w:eastAsia="方正小标宋_GBK"/>
          <w:sz w:val="44"/>
          <w:szCs w:val="44"/>
        </w:rPr>
      </w:pPr>
    </w:p>
    <w:p w14:paraId="171C627D">
      <w:pPr>
        <w:jc w:val="center"/>
        <w:rPr>
          <w:rFonts w:hint="eastAsia" w:ascii="方正小标宋_GBK" w:hAnsi="宋体" w:eastAsia="方正小标宋_GBK"/>
          <w:sz w:val="44"/>
          <w:szCs w:val="44"/>
        </w:rPr>
      </w:pPr>
      <w:r>
        <w:rPr>
          <w:rFonts w:hint="eastAsia" w:ascii="方正小标宋_GBK" w:hAnsi="宋体" w:eastAsia="方正小标宋_GBK"/>
          <w:sz w:val="44"/>
          <w:szCs w:val="44"/>
        </w:rPr>
        <w:t>中共乌鲁木齐市米东区委员会老干部局</w:t>
      </w:r>
    </w:p>
    <w:p w14:paraId="36FB116E">
      <w:pPr>
        <w:jc w:val="center"/>
        <w:rPr>
          <w:rFonts w:hint="eastAsia" w:ascii="方正小标宋_GBK" w:hAnsi="宋体" w:eastAsia="方正小标宋_GBK"/>
          <w:sz w:val="44"/>
          <w:szCs w:val="44"/>
        </w:rPr>
      </w:pPr>
      <w:r>
        <w:rPr>
          <w:rFonts w:hint="eastAsia" w:ascii="方正小标宋_GBK" w:hAnsi="宋体" w:eastAsia="方正小标宋_GBK"/>
          <w:sz w:val="44"/>
          <w:szCs w:val="44"/>
        </w:rPr>
        <w:t>2023年度部门决算</w:t>
      </w:r>
    </w:p>
    <w:p w14:paraId="58D86F64">
      <w:pPr>
        <w:jc w:val="center"/>
        <w:rPr>
          <w:rFonts w:hint="eastAsia" w:ascii="方正小标宋_GBK" w:hAnsi="宋体" w:eastAsia="方正小标宋_GBK"/>
          <w:sz w:val="44"/>
          <w:szCs w:val="44"/>
        </w:rPr>
      </w:pPr>
      <w:r>
        <w:rPr>
          <w:rFonts w:hint="eastAsia" w:ascii="方正小标宋_GBK" w:hAnsi="宋体" w:eastAsia="方正小标宋_GBK"/>
          <w:sz w:val="44"/>
          <w:szCs w:val="44"/>
        </w:rPr>
        <w:t>公开说明</w:t>
      </w:r>
    </w:p>
    <w:p w14:paraId="023645A5">
      <w:pPr>
        <w:rPr>
          <w:rFonts w:hint="eastAsia" w:ascii="方正小标宋_GBK" w:hAnsi="宋体" w:eastAsia="方正小标宋_GBK"/>
          <w:sz w:val="44"/>
          <w:szCs w:val="44"/>
        </w:rPr>
      </w:pPr>
      <w:r>
        <w:rPr>
          <w:rFonts w:hint="eastAsia" w:ascii="方正小标宋_GBK" w:hAnsi="宋体" w:eastAsia="方正小标宋_GBK"/>
          <w:sz w:val="44"/>
          <w:szCs w:val="44"/>
        </w:rPr>
        <w:br w:type="page"/>
      </w:r>
    </w:p>
    <w:p w14:paraId="771A7725">
      <w:pPr>
        <w:jc w:val="center"/>
        <w:rPr>
          <w:rFonts w:hint="eastAsia" w:ascii="仿宋_GB2312" w:hAnsi="仿宋_GB2312" w:eastAsia="仿宋_GB2312" w:cs="仿宋_GB2312"/>
          <w:bCs/>
          <w:kern w:val="0"/>
          <w:sz w:val="32"/>
          <w:szCs w:val="32"/>
        </w:rPr>
      </w:pPr>
      <w:r>
        <w:rPr>
          <w:rFonts w:hint="eastAsia" w:ascii="仿宋_GB2312" w:hAnsi="仿宋_GB2312" w:eastAsia="仿宋_GB2312" w:cs="仿宋_GB2312"/>
          <w:b/>
          <w:kern w:val="0"/>
          <w:sz w:val="36"/>
          <w:szCs w:val="36"/>
        </w:rPr>
        <w:t>目  录</w:t>
      </w:r>
    </w:p>
    <w:p w14:paraId="4D59CD17">
      <w:pPr>
        <w:pStyle w:val="6"/>
        <w:tabs>
          <w:tab w:val="right" w:pos="8306"/>
        </w:tabs>
        <w:rPr>
          <w:rFonts w:hint="eastAsia"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14:paraId="091DC57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14:paraId="562E605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14:paraId="4C31F2B2">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14:paraId="3338666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14:paraId="15BCC7FF">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14:paraId="065147E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14:paraId="7740EAB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14:paraId="107A7C34">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14:paraId="45FB901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14:paraId="5ED27FF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14:paraId="4C85065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14:paraId="26522ED9">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14:paraId="39DC077C">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14:paraId="4917F2EB">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14:paraId="36CEF72A">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14:paraId="3CECDF46">
      <w:pPr>
        <w:pStyle w:val="3"/>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14:paraId="663E52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14:paraId="7FE368B4">
      <w:pPr>
        <w:pStyle w:val="7"/>
        <w:tabs>
          <w:tab w:val="right" w:pos="8306"/>
        </w:tabs>
        <w:ind w:left="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十二、其他需说明的事项</w:t>
      </w:r>
    </w:p>
    <w:p w14:paraId="5234B1DB">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14:paraId="4A981120">
      <w:pPr>
        <w:pStyle w:val="6"/>
        <w:tabs>
          <w:tab w:val="right" w:pos="8306"/>
        </w:tabs>
        <w:rPr>
          <w:rFonts w:hint="eastAsia"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14:paraId="46D5C80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14:paraId="126862E2">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14:paraId="49A62881">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14:paraId="066CC3BE">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14:paraId="159E1290">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14:paraId="6C3ADD2D">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14:paraId="2943F066">
      <w:pPr>
        <w:pStyle w:val="7"/>
        <w:tabs>
          <w:tab w:val="right" w:pos="8306"/>
        </w:tabs>
        <w:ind w:left="0" w:leftChars="0"/>
        <w:rPr>
          <w:rFonts w:hint="eastAsia"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14:paraId="2E6A4602">
      <w:pPr>
        <w:pStyle w:val="7"/>
        <w:tabs>
          <w:tab w:val="right" w:pos="8306"/>
        </w:tabs>
        <w:ind w:left="0" w:leftChars="0"/>
        <w:rPr>
          <w:rFonts w:hint="eastAsia"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14:paraId="3E0C831C">
      <w:pPr>
        <w:pStyle w:val="7"/>
        <w:tabs>
          <w:tab w:val="right" w:pos="8306"/>
        </w:tabs>
        <w:ind w:left="0" w:leftChars="0"/>
        <w:rPr>
          <w:rFonts w:hint="eastAsia"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14:paraId="010E8E7C">
      <w:r>
        <w:rPr>
          <w:rFonts w:hint="eastAsia" w:ascii="仿宋_GB2312" w:hAnsi="仿宋_GB2312" w:eastAsia="仿宋_GB2312" w:cs="仿宋_GB2312"/>
          <w:sz w:val="32"/>
          <w:szCs w:val="32"/>
        </w:rPr>
        <w:fldChar w:fldCharType="end"/>
      </w:r>
    </w:p>
    <w:p w14:paraId="267CDF33">
      <w:pPr>
        <w:rPr>
          <w:rFonts w:ascii="仿宋_GB2312" w:eastAsia="仿宋_GB2312"/>
          <w:sz w:val="32"/>
          <w:szCs w:val="32"/>
        </w:rPr>
      </w:pPr>
      <w:r>
        <w:rPr>
          <w:rFonts w:hint="eastAsia" w:ascii="仿宋_GB2312" w:eastAsia="仿宋_GB2312"/>
          <w:sz w:val="32"/>
          <w:szCs w:val="32"/>
        </w:rPr>
        <w:br w:type="page"/>
      </w:r>
    </w:p>
    <w:p w14:paraId="1F8B6B31">
      <w:pPr>
        <w:jc w:val="center"/>
        <w:outlineLvl w:val="0"/>
        <w:rPr>
          <w:rFonts w:hint="eastAsia" w:ascii="黑体" w:hAnsi="黑体" w:eastAsia="黑体"/>
          <w:sz w:val="32"/>
          <w:szCs w:val="32"/>
        </w:rPr>
      </w:pPr>
      <w:bookmarkStart w:id="0" w:name="_Toc24028"/>
      <w:bookmarkStart w:id="1" w:name="_Toc32314"/>
      <w:r>
        <w:rPr>
          <w:rFonts w:hint="eastAsia" w:ascii="黑体" w:hAnsi="黑体" w:eastAsia="黑体"/>
          <w:sz w:val="32"/>
          <w:szCs w:val="32"/>
        </w:rPr>
        <w:t>第一部分 单位概况</w:t>
      </w:r>
      <w:bookmarkEnd w:id="0"/>
      <w:bookmarkEnd w:id="1"/>
    </w:p>
    <w:p w14:paraId="429BF69A">
      <w:pPr>
        <w:ind w:firstLine="640" w:firstLineChars="200"/>
        <w:outlineLvl w:val="1"/>
        <w:rPr>
          <w:rFonts w:hint="eastAsia" w:ascii="黑体" w:hAnsi="黑体" w:eastAsia="黑体" w:cs="宋体"/>
          <w:bCs/>
          <w:kern w:val="0"/>
          <w:sz w:val="32"/>
          <w:szCs w:val="32"/>
        </w:rPr>
      </w:pPr>
      <w:bookmarkStart w:id="2" w:name="_Toc30738"/>
      <w:bookmarkStart w:id="3" w:name="_Toc30567"/>
      <w:r>
        <w:rPr>
          <w:rFonts w:hint="eastAsia" w:ascii="黑体" w:hAnsi="黑体" w:eastAsia="黑体" w:cs="宋体"/>
          <w:bCs/>
          <w:kern w:val="0"/>
          <w:sz w:val="32"/>
          <w:szCs w:val="32"/>
        </w:rPr>
        <w:t>一、主要职能</w:t>
      </w:r>
      <w:bookmarkEnd w:id="2"/>
      <w:bookmarkEnd w:id="3"/>
    </w:p>
    <w:p w14:paraId="74505230">
      <w:pPr>
        <w:ind w:firstLine="640" w:firstLineChars="200"/>
        <w:jc w:val="left"/>
        <w:rPr>
          <w:rFonts w:ascii="仿宋_GB2312" w:eastAsia="仿宋_GB2312"/>
          <w:sz w:val="32"/>
          <w:szCs w:val="32"/>
        </w:rPr>
      </w:pPr>
      <w:r>
        <w:rPr>
          <w:rFonts w:hint="eastAsia" w:ascii="仿宋_GB2312" w:eastAsia="仿宋_GB2312"/>
          <w:sz w:val="32"/>
          <w:szCs w:val="32"/>
        </w:rPr>
        <w:t>（一）贯彻落实中央和省、市委关于离休干部的政治、生活待遇，做好有关综合协调工作。落实离休干部离休费和各项福利待遇的政策调整工作。</w:t>
      </w:r>
    </w:p>
    <w:p w14:paraId="486DF4AC">
      <w:pPr>
        <w:ind w:firstLine="640" w:firstLineChars="200"/>
        <w:jc w:val="left"/>
        <w:rPr>
          <w:rFonts w:ascii="仿宋_GB2312" w:eastAsia="仿宋_GB2312"/>
          <w:sz w:val="32"/>
          <w:szCs w:val="32"/>
        </w:rPr>
      </w:pPr>
      <w:r>
        <w:rPr>
          <w:rFonts w:hint="eastAsia" w:ascii="仿宋_GB2312" w:eastAsia="仿宋_GB2312"/>
          <w:sz w:val="32"/>
          <w:szCs w:val="32"/>
        </w:rPr>
        <w:t>（二）加强老干部党支部建设的指导工作，抓好离退休支部书记培训，落实好“两项政策”。</w:t>
      </w:r>
    </w:p>
    <w:p w14:paraId="3D50406D">
      <w:pPr>
        <w:ind w:firstLine="640" w:firstLineChars="200"/>
        <w:jc w:val="left"/>
        <w:rPr>
          <w:rFonts w:ascii="仿宋_GB2312" w:eastAsia="仿宋_GB2312"/>
          <w:sz w:val="32"/>
          <w:szCs w:val="32"/>
        </w:rPr>
      </w:pPr>
      <w:r>
        <w:rPr>
          <w:rFonts w:hint="eastAsia" w:ascii="仿宋_GB2312" w:eastAsia="仿宋_GB2312"/>
          <w:sz w:val="32"/>
          <w:szCs w:val="32"/>
        </w:rPr>
        <w:t>（三）组织指导老干部开展健康疗养、文化、体育等有益于老同志身心健康的活动；负责重大节日和经常走访慰问离休干部，抓好老干部重大活动的组织安排。</w:t>
      </w:r>
    </w:p>
    <w:p w14:paraId="4AC47C8C">
      <w:pPr>
        <w:ind w:firstLine="640" w:firstLineChars="200"/>
        <w:jc w:val="left"/>
        <w:rPr>
          <w:rFonts w:ascii="仿宋_GB2312" w:eastAsia="仿宋_GB2312"/>
          <w:sz w:val="32"/>
          <w:szCs w:val="32"/>
        </w:rPr>
      </w:pPr>
      <w:r>
        <w:rPr>
          <w:rFonts w:hint="eastAsia" w:ascii="仿宋_GB2312" w:eastAsia="仿宋_GB2312"/>
          <w:sz w:val="32"/>
          <w:szCs w:val="32"/>
        </w:rPr>
        <w:t>（四）做好老干部活动中心、老干部大学业务的开展及指导工作。</w:t>
      </w:r>
    </w:p>
    <w:p w14:paraId="6EEAF6BA">
      <w:pPr>
        <w:ind w:firstLine="640" w:firstLineChars="200"/>
        <w:outlineLvl w:val="1"/>
        <w:rPr>
          <w:rFonts w:hint="eastAsia"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14:paraId="47081EAD">
      <w:pPr>
        <w:ind w:firstLine="640" w:firstLineChars="200"/>
        <w:jc w:val="left"/>
        <w:rPr>
          <w:rFonts w:hint="eastAsia" w:ascii="仿宋_GB2312" w:hAnsi="仿宋_GB2312" w:eastAsia="仿宋_GB2312" w:cs="仿宋_GB2312"/>
          <w:b/>
          <w:sz w:val="32"/>
          <w:szCs w:val="32"/>
        </w:rPr>
      </w:pPr>
      <w:r>
        <w:rPr>
          <w:rFonts w:hint="eastAsia" w:ascii="仿宋_GB2312" w:eastAsia="仿宋_GB2312"/>
          <w:sz w:val="32"/>
          <w:szCs w:val="32"/>
        </w:rPr>
        <w:t>中共乌鲁木齐市米东区委员会老干部局2023年度，实有人数</w:t>
      </w:r>
      <w:r>
        <w:rPr>
          <w:rFonts w:hint="eastAsia" w:ascii="仿宋_GB2312" w:eastAsia="仿宋_GB2312"/>
          <w:sz w:val="32"/>
          <w:szCs w:val="32"/>
          <w:lang w:val="zh-CN"/>
        </w:rPr>
        <w:t>22</w:t>
      </w:r>
      <w:r>
        <w:rPr>
          <w:rFonts w:hint="eastAsia" w:ascii="仿宋_GB2312" w:eastAsia="仿宋_GB2312"/>
          <w:sz w:val="32"/>
          <w:szCs w:val="32"/>
        </w:rPr>
        <w:t>人，其中：在职人员</w:t>
      </w:r>
      <w:r>
        <w:rPr>
          <w:rFonts w:hint="eastAsia" w:ascii="仿宋_GB2312" w:eastAsia="仿宋_GB2312"/>
          <w:sz w:val="32"/>
          <w:szCs w:val="32"/>
          <w:lang w:val="zh-CN"/>
        </w:rPr>
        <w:t>8</w:t>
      </w:r>
      <w:r>
        <w:rPr>
          <w:rFonts w:hint="eastAsia" w:ascii="仿宋_GB2312" w:eastAsia="仿宋_GB2312"/>
          <w:sz w:val="32"/>
          <w:szCs w:val="32"/>
        </w:rPr>
        <w:t>人，离休人员</w:t>
      </w:r>
      <w:r>
        <w:rPr>
          <w:rFonts w:hint="eastAsia" w:ascii="仿宋_GB2312" w:eastAsia="仿宋_GB2312"/>
          <w:sz w:val="32"/>
          <w:szCs w:val="32"/>
          <w:lang w:val="zh-CN"/>
        </w:rPr>
        <w:t>0</w:t>
      </w:r>
      <w:r>
        <w:rPr>
          <w:rFonts w:hint="eastAsia" w:ascii="仿宋_GB2312" w:eastAsia="仿宋_GB2312"/>
          <w:sz w:val="32"/>
          <w:szCs w:val="32"/>
        </w:rPr>
        <w:t>人，退休人员</w:t>
      </w:r>
      <w:r>
        <w:rPr>
          <w:rFonts w:hint="eastAsia" w:ascii="仿宋_GB2312" w:eastAsia="仿宋_GB2312"/>
          <w:sz w:val="32"/>
          <w:szCs w:val="32"/>
          <w:lang w:val="zh-CN"/>
        </w:rPr>
        <w:t>14</w:t>
      </w:r>
      <w:r>
        <w:rPr>
          <w:rFonts w:hint="eastAsia" w:ascii="仿宋_GB2312" w:eastAsia="仿宋_GB2312"/>
          <w:sz w:val="32"/>
          <w:szCs w:val="32"/>
        </w:rPr>
        <w:t>人。</w:t>
      </w:r>
    </w:p>
    <w:p w14:paraId="3CA526EE">
      <w:pPr>
        <w:ind w:firstLine="640" w:firstLineChars="200"/>
        <w:rPr>
          <w:rFonts w:hint="eastAsia" w:ascii="仿宋_GB2312" w:hAnsi="宋体" w:eastAsia="仿宋_GB2312" w:cs="宋体"/>
          <w:kern w:val="0"/>
          <w:sz w:val="32"/>
          <w:szCs w:val="32"/>
        </w:rPr>
        <w:sectPr>
          <w:footerReference r:id="rId3" w:type="default"/>
          <w:pgSz w:w="11906" w:h="16838"/>
          <w:pgMar w:top="1440" w:right="1800" w:bottom="1440" w:left="1800" w:header="851" w:footer="992" w:gutter="0"/>
          <w:cols w:space="720" w:num="1"/>
          <w:docGrid w:type="lines" w:linePitch="312" w:charSpace="0"/>
        </w:sectPr>
      </w:pP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3</w:t>
      </w:r>
      <w:r>
        <w:rPr>
          <w:rFonts w:hint="eastAsia" w:ascii="仿宋_GB2312" w:hAnsi="黑体" w:eastAsia="仿宋_GB2312" w:cs="宋体"/>
          <w:bCs/>
          <w:kern w:val="0"/>
          <w:sz w:val="32"/>
          <w:szCs w:val="32"/>
        </w:rPr>
        <w:t>个处室，分别是：</w:t>
      </w:r>
      <w:r>
        <w:rPr>
          <w:rFonts w:hint="eastAsia" w:ascii="仿宋_GB2312" w:hAnsi="宋体" w:eastAsia="仿宋_GB2312" w:cs="宋体"/>
          <w:kern w:val="0"/>
          <w:sz w:val="32"/>
          <w:szCs w:val="32"/>
        </w:rPr>
        <w:t>财务室、办公室、活动中心。</w:t>
      </w:r>
    </w:p>
    <w:p w14:paraId="617C92B5">
      <w:pPr>
        <w:jc w:val="center"/>
        <w:outlineLvl w:val="0"/>
        <w:rPr>
          <w:rFonts w:hint="eastAsia"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14:paraId="03151C53">
      <w:pPr>
        <w:ind w:firstLine="640" w:firstLineChars="200"/>
        <w:outlineLvl w:val="1"/>
        <w:rPr>
          <w:rFonts w:hint="eastAsia"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14:paraId="5BEC4536">
      <w:pPr>
        <w:ind w:firstLine="640" w:firstLineChars="200"/>
        <w:jc w:val="left"/>
        <w:rPr>
          <w:rFonts w:ascii="仿宋_GB2312" w:eastAsia="仿宋_GB2312"/>
          <w:sz w:val="32"/>
          <w:szCs w:val="32"/>
        </w:rPr>
      </w:pPr>
      <w:r>
        <w:rPr>
          <w:rFonts w:hint="eastAsia" w:ascii="仿宋_GB2312" w:eastAsia="仿宋_GB2312"/>
          <w:sz w:val="32"/>
          <w:szCs w:val="32"/>
        </w:rPr>
        <w:t>2023年度收入总计221.53万元，其中：本年收入合计218.68万元，使用非财政拨款结余0.00万元，年初结转和结余2.86万元。</w:t>
      </w:r>
    </w:p>
    <w:p w14:paraId="12281724">
      <w:pPr>
        <w:ind w:firstLine="640" w:firstLineChars="200"/>
        <w:jc w:val="left"/>
        <w:rPr>
          <w:rFonts w:ascii="仿宋_GB2312" w:eastAsia="仿宋_GB2312"/>
          <w:sz w:val="32"/>
          <w:szCs w:val="32"/>
        </w:rPr>
      </w:pPr>
      <w:r>
        <w:rPr>
          <w:rFonts w:hint="eastAsia" w:ascii="仿宋_GB2312" w:eastAsia="仿宋_GB2312"/>
          <w:sz w:val="32"/>
          <w:szCs w:val="32"/>
        </w:rPr>
        <w:t>2023年度支出总计221.53万元，其中：本年支出合计219.07万元，结余分配0.00万元，年末结转和结余2.47万元。</w:t>
      </w:r>
    </w:p>
    <w:p w14:paraId="270C877D">
      <w:pPr>
        <w:ind w:firstLine="640" w:firstLineChars="200"/>
        <w:jc w:val="left"/>
        <w:rPr>
          <w:rFonts w:ascii="仿宋_GB2312" w:eastAsia="仿宋_GB2312"/>
          <w:sz w:val="32"/>
          <w:szCs w:val="32"/>
        </w:rPr>
      </w:pPr>
      <w:r>
        <w:rPr>
          <w:rFonts w:hint="eastAsia" w:ascii="仿宋_GB2312" w:eastAsia="仿宋_GB2312"/>
          <w:sz w:val="32"/>
          <w:szCs w:val="32"/>
        </w:rPr>
        <w:t>收入支出总体与上年相比，</w:t>
      </w:r>
      <w:r>
        <w:rPr>
          <w:rFonts w:hint="eastAsia" w:ascii="仿宋_GB2312" w:eastAsia="仿宋_GB2312"/>
          <w:sz w:val="32"/>
          <w:szCs w:val="32"/>
          <w:lang w:val="zh-CN"/>
        </w:rPr>
        <w:t>减少31.03万元</w:t>
      </w:r>
      <w:r>
        <w:rPr>
          <w:rFonts w:hint="eastAsia" w:ascii="仿宋_GB2312" w:eastAsia="仿宋_GB2312"/>
          <w:sz w:val="32"/>
          <w:szCs w:val="32"/>
        </w:rPr>
        <w:t>，下降12.29%，主要原因是：</w:t>
      </w:r>
      <w:r>
        <w:rPr>
          <w:rFonts w:hint="eastAsia" w:ascii="仿宋_GB2312" w:hAnsi="仿宋_GB2312" w:eastAsia="仿宋_GB2312" w:cs="仿宋_GB2312"/>
          <w:sz w:val="32"/>
          <w:szCs w:val="32"/>
        </w:rPr>
        <w:t>本年离退休费，抚恤金，生活补助等经费减少</w:t>
      </w:r>
      <w:r>
        <w:rPr>
          <w:rFonts w:hint="eastAsia" w:ascii="仿宋_GB2312" w:eastAsia="仿宋_GB2312"/>
          <w:sz w:val="32"/>
          <w:szCs w:val="32"/>
        </w:rPr>
        <w:t>。</w:t>
      </w:r>
    </w:p>
    <w:p w14:paraId="26B67DDC">
      <w:pPr>
        <w:ind w:firstLine="640" w:firstLineChars="200"/>
        <w:jc w:val="left"/>
        <w:outlineLvl w:val="1"/>
        <w:rPr>
          <w:rFonts w:hint="eastAsia"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14:paraId="42072448">
      <w:pPr>
        <w:ind w:firstLine="640" w:firstLineChars="200"/>
        <w:jc w:val="left"/>
        <w:rPr>
          <w:rFonts w:ascii="仿宋_GB2312" w:eastAsia="仿宋_GB2312"/>
          <w:sz w:val="32"/>
          <w:szCs w:val="32"/>
        </w:rPr>
      </w:pPr>
      <w:r>
        <w:rPr>
          <w:rFonts w:hint="eastAsia" w:ascii="仿宋_GB2312" w:eastAsia="仿宋_GB2312"/>
          <w:sz w:val="32"/>
          <w:szCs w:val="32"/>
        </w:rPr>
        <w:t>本年收入218.68万元，其中：财政拨款收入</w:t>
      </w:r>
      <w:r>
        <w:rPr>
          <w:rFonts w:hint="eastAsia" w:ascii="仿宋_GB2312" w:eastAsia="仿宋_GB2312"/>
          <w:sz w:val="32"/>
          <w:szCs w:val="32"/>
          <w:lang w:val="zh-CN"/>
        </w:rPr>
        <w:t>218.40</w:t>
      </w:r>
      <w:r>
        <w:rPr>
          <w:rFonts w:hint="eastAsia" w:ascii="仿宋_GB2312" w:eastAsia="仿宋_GB2312"/>
          <w:sz w:val="32"/>
          <w:szCs w:val="32"/>
        </w:rPr>
        <w:t>万元，占</w:t>
      </w:r>
      <w:r>
        <w:rPr>
          <w:rFonts w:hint="eastAsia" w:ascii="仿宋_GB2312" w:eastAsia="仿宋_GB2312"/>
          <w:sz w:val="32"/>
          <w:szCs w:val="32"/>
          <w:lang w:val="zh-CN"/>
        </w:rPr>
        <w:t>99.87%</w:t>
      </w:r>
      <w:r>
        <w:rPr>
          <w:rFonts w:hint="eastAsia" w:ascii="仿宋_GB2312" w:eastAsia="仿宋_GB2312"/>
          <w:sz w:val="32"/>
          <w:szCs w:val="32"/>
        </w:rPr>
        <w:t>；上级补助收入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；事业收入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；经营收入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；附属单位上缴收入</w:t>
      </w:r>
      <w:r>
        <w:rPr>
          <w:rFonts w:hint="eastAsia" w:ascii="仿宋_GB2312" w:eastAsia="仿宋_GB2312"/>
          <w:sz w:val="32"/>
          <w:szCs w:val="32"/>
          <w:lang w:val="zh-CN"/>
        </w:rPr>
        <w:t>0.00</w:t>
      </w:r>
      <w:r>
        <w:rPr>
          <w:rFonts w:hint="eastAsia" w:ascii="仿宋_GB2312" w:eastAsia="仿宋_GB2312"/>
          <w:sz w:val="32"/>
          <w:szCs w:val="32"/>
        </w:rPr>
        <w:t>万元，占</w:t>
      </w:r>
      <w:r>
        <w:rPr>
          <w:rFonts w:hint="eastAsia" w:ascii="仿宋_GB2312" w:eastAsia="仿宋_GB2312"/>
          <w:sz w:val="32"/>
          <w:szCs w:val="32"/>
          <w:lang w:val="zh-CN"/>
        </w:rPr>
        <w:t>0.00%</w:t>
      </w:r>
      <w:r>
        <w:rPr>
          <w:rFonts w:hint="eastAsia" w:ascii="仿宋_GB2312" w:eastAsia="仿宋_GB2312"/>
          <w:sz w:val="32"/>
          <w:szCs w:val="32"/>
        </w:rPr>
        <w:t>；其他收入</w:t>
      </w:r>
      <w:r>
        <w:rPr>
          <w:rFonts w:hint="eastAsia" w:ascii="仿宋_GB2312" w:eastAsia="仿宋_GB2312"/>
          <w:sz w:val="32"/>
          <w:szCs w:val="32"/>
          <w:lang w:val="zh-CN"/>
        </w:rPr>
        <w:t>0.28</w:t>
      </w:r>
      <w:r>
        <w:rPr>
          <w:rFonts w:hint="eastAsia" w:ascii="仿宋_GB2312" w:eastAsia="仿宋_GB2312"/>
          <w:sz w:val="32"/>
          <w:szCs w:val="32"/>
        </w:rPr>
        <w:t>万元，占</w:t>
      </w:r>
      <w:r>
        <w:rPr>
          <w:rFonts w:hint="eastAsia" w:ascii="仿宋_GB2312" w:eastAsia="仿宋_GB2312"/>
          <w:sz w:val="32"/>
          <w:szCs w:val="32"/>
          <w:lang w:val="zh-CN"/>
        </w:rPr>
        <w:t>0.13%</w:t>
      </w:r>
      <w:r>
        <w:rPr>
          <w:rFonts w:hint="eastAsia" w:ascii="仿宋_GB2312" w:eastAsia="仿宋_GB2312"/>
          <w:sz w:val="32"/>
          <w:szCs w:val="32"/>
        </w:rPr>
        <w:t>。</w:t>
      </w:r>
    </w:p>
    <w:p w14:paraId="2707C350">
      <w:pPr>
        <w:ind w:firstLine="640" w:firstLineChars="200"/>
        <w:jc w:val="left"/>
        <w:outlineLvl w:val="1"/>
        <w:rPr>
          <w:rFonts w:hint="eastAsia" w:ascii="黑体" w:hAnsi="黑体" w:eastAsia="黑体" w:cs="宋体"/>
          <w:bCs/>
          <w:kern w:val="0"/>
          <w:sz w:val="32"/>
          <w:szCs w:val="32"/>
        </w:rPr>
      </w:pPr>
      <w:bookmarkStart w:id="12" w:name="_Toc13201"/>
      <w:bookmarkStart w:id="13" w:name="_Toc27961"/>
      <w:r>
        <w:rPr>
          <w:rFonts w:hint="eastAsia" w:ascii="黑体" w:hAnsi="黑体" w:eastAsia="黑体" w:cs="宋体"/>
          <w:bCs/>
          <w:kern w:val="0"/>
          <w:sz w:val="32"/>
          <w:szCs w:val="32"/>
        </w:rPr>
        <w:t>三、支出决算情况说明</w:t>
      </w:r>
      <w:bookmarkEnd w:id="12"/>
      <w:bookmarkEnd w:id="13"/>
    </w:p>
    <w:p w14:paraId="6FDC8FC7">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本年支出219.07万元，其中：基本支出219.07万元，占100.00%；项目支出0.00万元，占0.00%；上缴上级支出0.00万元，占0.00%；经营支出0.00万元，占0.00%；对附属单位补助支出0.00万元，占0.00%。</w:t>
      </w:r>
    </w:p>
    <w:p w14:paraId="7B84BC93">
      <w:pPr>
        <w:ind w:firstLine="640" w:firstLineChars="200"/>
        <w:jc w:val="left"/>
        <w:outlineLvl w:val="1"/>
        <w:rPr>
          <w:rFonts w:hint="eastAsia"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14:paraId="2E435A33">
      <w:pPr>
        <w:ind w:firstLine="640" w:firstLineChars="200"/>
        <w:jc w:val="left"/>
        <w:rPr>
          <w:rFonts w:ascii="仿宋_GB2312" w:eastAsia="仿宋_GB2312"/>
          <w:sz w:val="32"/>
          <w:szCs w:val="32"/>
        </w:rPr>
      </w:pPr>
      <w:r>
        <w:rPr>
          <w:rFonts w:hint="eastAsia" w:ascii="仿宋_GB2312" w:eastAsia="仿宋_GB2312"/>
          <w:sz w:val="32"/>
          <w:szCs w:val="32"/>
        </w:rPr>
        <w:t>2023年度财政拨款收入总计</w:t>
      </w:r>
      <w:r>
        <w:rPr>
          <w:rFonts w:hint="eastAsia" w:ascii="仿宋_GB2312" w:eastAsia="仿宋_GB2312"/>
          <w:sz w:val="32"/>
          <w:szCs w:val="32"/>
          <w:lang w:val="zh-CN"/>
        </w:rPr>
        <w:t>218.40</w:t>
      </w:r>
      <w:r>
        <w:rPr>
          <w:rFonts w:hint="eastAsia" w:ascii="仿宋_GB2312" w:eastAsia="仿宋_GB2312"/>
          <w:sz w:val="32"/>
          <w:szCs w:val="32"/>
        </w:rPr>
        <w:t>万元，其中：年初财政拨款结转和结余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万元，本年财政拨款收入</w:t>
      </w:r>
      <w:r>
        <w:rPr>
          <w:rFonts w:hint="eastAsia" w:ascii="仿宋_GB2312" w:eastAsia="仿宋_GB2312"/>
          <w:sz w:val="32"/>
          <w:szCs w:val="32"/>
          <w:lang w:val="zh-CN"/>
        </w:rPr>
        <w:t>218.40</w:t>
      </w:r>
      <w:r>
        <w:rPr>
          <w:rFonts w:hint="eastAsia" w:ascii="仿宋_GB2312" w:eastAsia="仿宋_GB2312"/>
          <w:sz w:val="32"/>
          <w:szCs w:val="32"/>
        </w:rPr>
        <w:t>万元。财政拨款支出总计</w:t>
      </w:r>
      <w:r>
        <w:rPr>
          <w:rFonts w:hint="eastAsia" w:ascii="仿宋_GB2312" w:eastAsia="仿宋_GB2312"/>
          <w:sz w:val="32"/>
          <w:szCs w:val="32"/>
          <w:lang w:val="zh-CN"/>
        </w:rPr>
        <w:t>218.40</w:t>
      </w:r>
      <w:r>
        <w:rPr>
          <w:rFonts w:hint="eastAsia" w:ascii="仿宋_GB2312" w:eastAsia="仿宋_GB2312"/>
          <w:sz w:val="32"/>
          <w:szCs w:val="32"/>
        </w:rPr>
        <w:t>万元，其中：年末财政拨款结转和结余</w:t>
      </w:r>
      <w:r>
        <w:rPr>
          <w:rFonts w:hint="eastAsia" w:ascii="仿宋_GB2312" w:eastAsia="仿宋_GB2312"/>
          <w:sz w:val="32"/>
          <w:szCs w:val="32"/>
          <w:lang w:val="zh-CN"/>
        </w:rPr>
        <w:t>0.00</w:t>
      </w:r>
      <w:r>
        <w:rPr>
          <w:rFonts w:hint="eastAsia" w:ascii="仿宋_GB2312" w:eastAsia="仿宋_GB2312"/>
          <w:sz w:val="32"/>
          <w:szCs w:val="32"/>
        </w:rPr>
        <w:t>万元，本年财政拨款支出</w:t>
      </w:r>
      <w:r>
        <w:rPr>
          <w:rFonts w:hint="eastAsia" w:ascii="仿宋_GB2312" w:eastAsia="仿宋_GB2312"/>
          <w:sz w:val="32"/>
          <w:szCs w:val="32"/>
          <w:lang w:val="zh-CN"/>
        </w:rPr>
        <w:t>218.40</w:t>
      </w:r>
      <w:r>
        <w:rPr>
          <w:rFonts w:hint="eastAsia" w:ascii="仿宋_GB2312" w:eastAsia="仿宋_GB2312"/>
          <w:sz w:val="32"/>
          <w:szCs w:val="32"/>
        </w:rPr>
        <w:t>万元。</w:t>
      </w:r>
    </w:p>
    <w:p w14:paraId="68E827AC">
      <w:pPr>
        <w:ind w:firstLine="640" w:firstLineChars="200"/>
        <w:jc w:val="left"/>
        <w:rPr>
          <w:rFonts w:ascii="仿宋_GB2312" w:eastAsia="仿宋_GB2312"/>
          <w:sz w:val="32"/>
          <w:szCs w:val="32"/>
        </w:rPr>
      </w:pPr>
      <w:r>
        <w:rPr>
          <w:rFonts w:hint="eastAsia" w:ascii="仿宋_GB2312" w:eastAsia="仿宋_GB2312"/>
          <w:sz w:val="32"/>
          <w:szCs w:val="32"/>
        </w:rPr>
        <w:t>财政拨款收入支出总体与上年相比,</w:t>
      </w:r>
      <w:r>
        <w:rPr>
          <w:rFonts w:hint="eastAsia" w:ascii="仿宋_GB2312" w:eastAsia="仿宋_GB2312"/>
          <w:sz w:val="32"/>
          <w:szCs w:val="32"/>
          <w:lang w:val="zh-CN"/>
        </w:rPr>
        <w:t>减少30.55万元</w:t>
      </w:r>
      <w:r>
        <w:rPr>
          <w:rFonts w:hint="eastAsia" w:ascii="仿宋_GB2312" w:eastAsia="仿宋_GB2312"/>
          <w:sz w:val="32"/>
          <w:szCs w:val="32"/>
        </w:rPr>
        <w:t>，下降12.27%,主要原因是：</w:t>
      </w:r>
      <w:r>
        <w:rPr>
          <w:rFonts w:hint="eastAsia" w:ascii="仿宋_GB2312" w:hAnsi="仿宋_GB2312" w:eastAsia="仿宋_GB2312" w:cs="仿宋_GB2312"/>
          <w:sz w:val="32"/>
          <w:szCs w:val="32"/>
        </w:rPr>
        <w:t>本年离退休费，抚恤金，生活补助等经费减少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176.66</w:t>
      </w:r>
      <w:r>
        <w:rPr>
          <w:rFonts w:hint="eastAsia" w:ascii="仿宋_GB2312" w:eastAsia="仿宋_GB2312"/>
          <w:sz w:val="32"/>
          <w:szCs w:val="32"/>
        </w:rPr>
        <w:t>万元，决算数</w:t>
      </w:r>
      <w:r>
        <w:rPr>
          <w:rFonts w:hint="eastAsia" w:ascii="仿宋_GB2312" w:eastAsia="仿宋_GB2312"/>
          <w:sz w:val="32"/>
          <w:szCs w:val="32"/>
          <w:lang w:val="zh-CN"/>
        </w:rPr>
        <w:t>218.40</w:t>
      </w:r>
      <w:r>
        <w:rPr>
          <w:rFonts w:hint="eastAsia" w:ascii="仿宋_GB2312" w:eastAsia="仿宋_GB2312"/>
          <w:sz w:val="32"/>
          <w:szCs w:val="32"/>
        </w:rPr>
        <w:t>万元，预决算差异率23.63%，主要原因是：本年人员基本工资上调，年中追加人员工资，津补贴，奖金等相应经费。</w:t>
      </w:r>
    </w:p>
    <w:p w14:paraId="2D46E6D3">
      <w:pPr>
        <w:ind w:firstLine="640" w:firstLineChars="200"/>
        <w:jc w:val="left"/>
        <w:outlineLvl w:val="1"/>
        <w:rPr>
          <w:rFonts w:hint="eastAsia"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14:paraId="1411F15D">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（一）一般公共预算财政拨款支出决算总体情况</w:t>
      </w:r>
    </w:p>
    <w:p w14:paraId="0F6545EB">
      <w:pPr>
        <w:spacing w:line="600" w:lineRule="exact"/>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2023年度一般公共预算财政拨款支出218.40万元，占本年支出合计的</w:t>
      </w:r>
      <w:r>
        <w:rPr>
          <w:rFonts w:hint="eastAsia" w:ascii="仿宋_GB2312" w:eastAsia="仿宋_GB2312"/>
          <w:sz w:val="32"/>
          <w:szCs w:val="32"/>
          <w:lang w:val="zh-CN"/>
        </w:rPr>
        <w:t>99.69%</w:t>
      </w:r>
      <w:r>
        <w:rPr>
          <w:rFonts w:hint="eastAsia" w:ascii="仿宋_GB2312" w:eastAsia="仿宋_GB2312"/>
          <w:sz w:val="32"/>
          <w:szCs w:val="32"/>
        </w:rPr>
        <w:t>。与上年相比，</w:t>
      </w:r>
      <w:r>
        <w:rPr>
          <w:rFonts w:hint="eastAsia" w:ascii="仿宋_GB2312" w:eastAsia="仿宋_GB2312"/>
          <w:sz w:val="32"/>
          <w:szCs w:val="32"/>
          <w:lang w:val="zh-CN"/>
        </w:rPr>
        <w:t>减少30.55万元</w:t>
      </w:r>
      <w:r>
        <w:rPr>
          <w:rFonts w:hint="eastAsia" w:ascii="仿宋_GB2312" w:eastAsia="仿宋_GB2312"/>
          <w:sz w:val="32"/>
          <w:szCs w:val="32"/>
        </w:rPr>
        <w:t>，下降12.27%,主要原因是：</w:t>
      </w:r>
      <w:r>
        <w:rPr>
          <w:rFonts w:hint="eastAsia" w:ascii="仿宋_GB2312" w:hAnsi="仿宋_GB2312" w:eastAsia="仿宋_GB2312" w:cs="仿宋_GB2312"/>
          <w:sz w:val="32"/>
          <w:szCs w:val="32"/>
        </w:rPr>
        <w:t>本年离退休费，抚恤金，生活补助等经费减少</w:t>
      </w:r>
      <w:r>
        <w:rPr>
          <w:rFonts w:hint="eastAsia" w:ascii="仿宋_GB2312" w:eastAsia="仿宋_GB2312"/>
          <w:sz w:val="32"/>
          <w:szCs w:val="32"/>
        </w:rPr>
        <w:t>。与年初预算相比，年初预算数</w:t>
      </w:r>
      <w:r>
        <w:rPr>
          <w:rFonts w:hint="eastAsia" w:ascii="仿宋_GB2312" w:eastAsia="仿宋_GB2312"/>
          <w:sz w:val="32"/>
          <w:szCs w:val="32"/>
          <w:lang w:val="zh-CN"/>
        </w:rPr>
        <w:t>176.66</w:t>
      </w:r>
      <w:r>
        <w:rPr>
          <w:rFonts w:hint="eastAsia" w:ascii="仿宋_GB2312" w:eastAsia="仿宋_GB2312"/>
          <w:sz w:val="32"/>
          <w:szCs w:val="32"/>
        </w:rPr>
        <w:t>万元，决算数</w:t>
      </w:r>
      <w:r>
        <w:rPr>
          <w:rFonts w:hint="eastAsia" w:ascii="仿宋_GB2312" w:eastAsia="仿宋_GB2312"/>
          <w:sz w:val="32"/>
          <w:szCs w:val="32"/>
          <w:lang w:val="zh-CN"/>
        </w:rPr>
        <w:t>218.40</w:t>
      </w:r>
      <w:r>
        <w:rPr>
          <w:rFonts w:hint="eastAsia" w:ascii="仿宋_GB2312" w:eastAsia="仿宋_GB2312"/>
          <w:sz w:val="32"/>
          <w:szCs w:val="32"/>
        </w:rPr>
        <w:t>万元，预决算差异率</w:t>
      </w:r>
      <w:r>
        <w:rPr>
          <w:rFonts w:hint="eastAsia" w:ascii="仿宋_GB2312" w:eastAsia="仿宋_GB2312"/>
          <w:sz w:val="32"/>
          <w:szCs w:val="32"/>
          <w:lang w:val="zh-CN"/>
        </w:rPr>
        <w:t>23.63%</w:t>
      </w:r>
      <w:r>
        <w:rPr>
          <w:rFonts w:hint="eastAsia" w:ascii="仿宋_GB2312" w:eastAsia="仿宋_GB2312"/>
          <w:sz w:val="32"/>
          <w:szCs w:val="32"/>
        </w:rPr>
        <w:t>，主要原因是：本年人员基本工资上调，年中追加人员工资，津补贴，奖金等相应经费。</w:t>
      </w:r>
    </w:p>
    <w:p w14:paraId="3B3806A3">
      <w:pPr>
        <w:numPr>
          <w:ilvl w:val="0"/>
          <w:numId w:val="1"/>
        </w:num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一般公共预算财政拨款支出决算结构情况</w:t>
      </w:r>
    </w:p>
    <w:p w14:paraId="6F6372E1">
      <w:pPr>
        <w:pStyle w:val="8"/>
        <w:widowControl/>
        <w:spacing w:before="0" w:beforeAutospacing="0" w:after="0" w:afterAutospacing="0"/>
        <w:ind w:firstLine="640" w:firstLineChars="200"/>
        <w:rPr>
          <w:rFonts w:ascii="仿宋_GB2312" w:eastAsia="仿宋_GB2312"/>
          <w:kern w:val="2"/>
          <w:sz w:val="32"/>
          <w:szCs w:val="32"/>
          <w:lang w:val="zh-CN"/>
        </w:rPr>
      </w:pPr>
      <w:r>
        <w:rPr>
          <w:rFonts w:hint="eastAsia" w:ascii="仿宋_GB2312" w:eastAsia="仿宋_GB2312"/>
          <w:kern w:val="2"/>
          <w:sz w:val="32"/>
          <w:szCs w:val="32"/>
          <w:lang w:val="zh-CN"/>
        </w:rPr>
        <w:t>1</w:t>
      </w:r>
      <w:r>
        <w:rPr>
          <w:rFonts w:ascii="仿宋_GB2312" w:eastAsia="仿宋_GB2312"/>
          <w:kern w:val="2"/>
          <w:sz w:val="32"/>
          <w:szCs w:val="32"/>
          <w:lang w:val="zh-CN"/>
        </w:rPr>
        <w:t>.社会保障和就业支出（类）</w:t>
      </w:r>
      <w:r>
        <w:rPr>
          <w:rFonts w:hint="eastAsia" w:ascii="仿宋_GB2312" w:eastAsia="仿宋_GB2312"/>
          <w:kern w:val="2"/>
          <w:sz w:val="32"/>
          <w:szCs w:val="32"/>
          <w:lang w:val="zh-CN"/>
        </w:rPr>
        <w:t>218.40</w:t>
      </w:r>
      <w:r>
        <w:rPr>
          <w:rFonts w:ascii="仿宋_GB2312" w:eastAsia="仿宋_GB2312"/>
          <w:kern w:val="2"/>
          <w:sz w:val="32"/>
          <w:szCs w:val="32"/>
          <w:lang w:val="zh-CN"/>
        </w:rPr>
        <w:t>万元，占</w:t>
      </w:r>
      <w:r>
        <w:rPr>
          <w:rFonts w:hint="eastAsia" w:ascii="仿宋_GB2312" w:eastAsia="仿宋_GB2312"/>
          <w:kern w:val="2"/>
          <w:sz w:val="32"/>
          <w:szCs w:val="32"/>
          <w:lang w:val="zh-CN"/>
        </w:rPr>
        <w:t>100.00%。</w:t>
      </w:r>
    </w:p>
    <w:p w14:paraId="553B0F82">
      <w:pPr>
        <w:ind w:firstLine="640" w:firstLineChars="200"/>
        <w:jc w:val="left"/>
        <w:outlineLvl w:val="2"/>
        <w:rPr>
          <w:rFonts w:hint="eastAsia" w:ascii="黑体" w:hAnsi="黑体" w:eastAsia="黑体"/>
          <w:sz w:val="32"/>
          <w:szCs w:val="32"/>
        </w:rPr>
      </w:pPr>
      <w:r>
        <w:rPr>
          <w:rFonts w:hint="eastAsia" w:ascii="黑体" w:hAnsi="黑体" w:eastAsia="黑体"/>
          <w:sz w:val="32"/>
          <w:szCs w:val="32"/>
        </w:rPr>
        <w:t>（三）一般公共预算财政拨款支出决算具体情况</w:t>
      </w:r>
    </w:p>
    <w:p w14:paraId="55CECC1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1.社会保障和就业支出（类）行政事业单位养老支出（款）离退休人员管理机构（项）:支出决算数为197.96万元，比上年决算减少39.08万元，下降16.49%，主要原因是：本年离退休费，抚恤金，生活补助等经费减少</w:t>
      </w:r>
      <w:r>
        <w:rPr>
          <w:rFonts w:hint="eastAsia" w:ascii="仿宋_GB2312" w:hAnsi="仿宋_GB2312" w:eastAsia="仿宋_GB2312" w:cs="仿宋_GB2312"/>
          <w:sz w:val="32"/>
          <w:szCs w:val="32"/>
          <w:lang w:val="zh-CN"/>
        </w:rPr>
        <w:t>。</w:t>
      </w:r>
    </w:p>
    <w:p w14:paraId="79793EDC">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2.社会保障和就业支出（类）行政事业单位养老支出（款）机关事业单位职业年金缴费支出（项）:支出决算数为6.41万元，比上年决算增加6.41万元，增长100%，主要原因是：本年退休人员增加，单位职业年金缴费增加</w:t>
      </w:r>
      <w:r>
        <w:rPr>
          <w:rFonts w:hint="eastAsia" w:ascii="仿宋_GB2312" w:hAnsi="仿宋_GB2312" w:eastAsia="仿宋_GB2312" w:cs="仿宋_GB2312"/>
          <w:sz w:val="32"/>
          <w:szCs w:val="32"/>
          <w:lang w:val="zh-CN"/>
        </w:rPr>
        <w:t>。</w:t>
      </w:r>
    </w:p>
    <w:p w14:paraId="3B6D8551">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3.社会保障和就业支出（类）民政管理事务（款）基层政权建设和社区治理（项）:支出决算数为0.46万元，比上年决算增加0.46万元，增长100%，主要原因是：本年单位专业材料费较上年增加</w:t>
      </w:r>
      <w:r>
        <w:rPr>
          <w:rFonts w:hint="eastAsia" w:ascii="仿宋_GB2312" w:hAnsi="仿宋_GB2312" w:eastAsia="仿宋_GB2312" w:cs="仿宋_GB2312"/>
          <w:sz w:val="32"/>
          <w:szCs w:val="32"/>
          <w:lang w:val="zh-CN"/>
        </w:rPr>
        <w:t>。</w:t>
      </w:r>
    </w:p>
    <w:p w14:paraId="73A056F4">
      <w:pPr>
        <w:ind w:firstLine="640" w:firstLineChars="200"/>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4.社会保障和就业支出（类）行政事业单位养老支出（款）机关事业单位基本养老保险缴费支出（项）:支出决算数为13.56万元，比上年决算增加1.65万元，增长13.85%，主要原因是：本年社保上调，单位养老保险缴费增加</w:t>
      </w:r>
      <w:r>
        <w:rPr>
          <w:rFonts w:hint="eastAsia" w:ascii="仿宋_GB2312" w:hAnsi="仿宋_GB2312" w:eastAsia="仿宋_GB2312" w:cs="仿宋_GB2312"/>
          <w:sz w:val="32"/>
          <w:szCs w:val="32"/>
          <w:lang w:val="zh-CN"/>
        </w:rPr>
        <w:t>。</w:t>
      </w:r>
    </w:p>
    <w:p w14:paraId="6934C95F">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p>
    <w:p w14:paraId="291E2FBC">
      <w:pPr>
        <w:ind w:firstLine="640" w:firstLineChars="200"/>
        <w:jc w:val="left"/>
        <w:rPr>
          <w:rFonts w:ascii="仿宋_GB2312" w:eastAsia="仿宋_GB2312"/>
          <w:sz w:val="32"/>
          <w:szCs w:val="32"/>
        </w:rPr>
      </w:pPr>
      <w:r>
        <w:rPr>
          <w:rFonts w:hint="eastAsia" w:ascii="仿宋_GB2312" w:eastAsia="仿宋_GB2312"/>
          <w:sz w:val="32"/>
          <w:szCs w:val="32"/>
        </w:rPr>
        <w:t>2023年度一般公共预算财政拨款基本支出218.40万元，其中：人员经费204.38万元，包括：基本工资、津贴补贴、奖金、绩效工资、机关事业单位基本养老保险缴费、职业年金缴费、职工基本医疗保险缴费、公务员医疗补助缴费、其他社会保障缴费、住房公积金、离休费、抚恤金、医疗费补助、奖励金、其他对个人和家庭的补助。</w:t>
      </w:r>
    </w:p>
    <w:p w14:paraId="0619FA32">
      <w:pPr>
        <w:ind w:firstLine="640" w:firstLineChars="200"/>
        <w:jc w:val="left"/>
        <w:rPr>
          <w:rFonts w:ascii="仿宋_GB2312" w:eastAsia="仿宋_GB2312"/>
          <w:sz w:val="32"/>
          <w:szCs w:val="32"/>
        </w:rPr>
      </w:pPr>
      <w:r>
        <w:rPr>
          <w:rFonts w:hint="eastAsia" w:ascii="仿宋_GB2312" w:eastAsia="仿宋_GB2312"/>
          <w:sz w:val="32"/>
          <w:szCs w:val="32"/>
        </w:rPr>
        <w:t>公用经费14.02万元，包括：办公费、印刷费、取暖费、维修（护）费、专用材料费、工会经费、福利费、公务用车运行维护费。</w:t>
      </w:r>
    </w:p>
    <w:p w14:paraId="2D9FFACD">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七、财政拨款“三公”经费支出决算情况说明</w:t>
      </w:r>
    </w:p>
    <w:p w14:paraId="6D654B82">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2023年度</w:t>
      </w:r>
      <w:r>
        <w:rPr>
          <w:rFonts w:hint="eastAsia" w:ascii="仿宋_GB2312" w:eastAsia="仿宋_GB2312"/>
          <w:sz w:val="32"/>
          <w:szCs w:val="32"/>
        </w:rPr>
        <w:t>财政拨款</w:t>
      </w:r>
      <w:r>
        <w:rPr>
          <w:rFonts w:hint="eastAsia" w:ascii="仿宋_GB2312" w:eastAsia="仿宋_GB2312"/>
          <w:sz w:val="32"/>
          <w:szCs w:val="32"/>
          <w:lang w:val="zh-CN"/>
        </w:rPr>
        <w:t>“三公”经费支出3.67万元，</w:t>
      </w:r>
      <w:r>
        <w:rPr>
          <w:rFonts w:hint="eastAsia" w:ascii="仿宋_GB2312" w:eastAsia="仿宋_GB2312"/>
          <w:sz w:val="32"/>
          <w:szCs w:val="32"/>
        </w:rPr>
        <w:t>比上年</w:t>
      </w:r>
      <w:r>
        <w:rPr>
          <w:rFonts w:hint="eastAsia" w:ascii="仿宋_GB2312" w:eastAsia="仿宋_GB2312"/>
          <w:sz w:val="32"/>
          <w:szCs w:val="32"/>
          <w:lang w:val="zh-CN"/>
        </w:rPr>
        <w:t>减少0.67万元，</w:t>
      </w:r>
      <w:r>
        <w:rPr>
          <w:rFonts w:hint="eastAsia" w:ascii="仿宋_GB2312" w:eastAsia="仿宋_GB2312"/>
          <w:sz w:val="32"/>
          <w:szCs w:val="32"/>
        </w:rPr>
        <w:t>下降15.44%,</w:t>
      </w:r>
      <w:r>
        <w:rPr>
          <w:rFonts w:hint="eastAsia" w:ascii="仿宋_GB2312" w:eastAsia="仿宋_GB2312"/>
          <w:sz w:val="32"/>
          <w:szCs w:val="32"/>
          <w:lang w:val="zh-CN"/>
        </w:rPr>
        <w:t>主要原因是：车辆出行次数减少，燃油费，维修费减少。其中：因公出国（境）费支出0.00万元，占0.00%，比上年增加0.00万元，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主要原因是：本年单位无此项经费；公务用车购置及运行维护费支出3.67万元，占100.00%，比上年减少0.67万元，</w:t>
      </w:r>
      <w:r>
        <w:rPr>
          <w:rFonts w:hint="eastAsia" w:ascii="仿宋_GB2312" w:eastAsia="仿宋_GB2312"/>
          <w:sz w:val="32"/>
          <w:szCs w:val="32"/>
        </w:rPr>
        <w:t>下降15.44%,</w:t>
      </w:r>
      <w:r>
        <w:rPr>
          <w:rFonts w:hint="eastAsia" w:ascii="仿宋_GB2312" w:eastAsia="仿宋_GB2312"/>
          <w:sz w:val="32"/>
          <w:szCs w:val="32"/>
          <w:lang w:val="zh-CN"/>
        </w:rPr>
        <w:t>主要原因是：车辆出行次数减少，燃油费，维修费减少；公务接待费支出0.00万元，占0.00%，比上年增加0.00万元，</w:t>
      </w:r>
      <w:r>
        <w:rPr>
          <w:rFonts w:hint="eastAsia" w:ascii="仿宋_GB2312" w:eastAsia="仿宋_GB2312"/>
          <w:sz w:val="32"/>
          <w:szCs w:val="32"/>
        </w:rPr>
        <w:t>增长0.00%,</w:t>
      </w:r>
      <w:r>
        <w:rPr>
          <w:rFonts w:hint="eastAsia" w:ascii="仿宋_GB2312" w:eastAsia="仿宋_GB2312"/>
          <w:sz w:val="32"/>
          <w:szCs w:val="32"/>
          <w:lang w:val="zh-CN"/>
        </w:rPr>
        <w:t>主要原因是：本年单位无此项经费。</w:t>
      </w:r>
    </w:p>
    <w:p w14:paraId="620EAD8A">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具体情况如下：</w:t>
      </w:r>
    </w:p>
    <w:p w14:paraId="682475F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因公出国（境）费支出0.00万元，开支内容包括本年单位无此项经费。单位全年安排的因公出国（境）团组0个，因公出国（境）0人次。</w:t>
      </w:r>
    </w:p>
    <w:p w14:paraId="59CDDDEB">
      <w:pPr>
        <w:ind w:firstLine="640" w:firstLineChars="200"/>
        <w:jc w:val="left"/>
        <w:rPr>
          <w:rFonts w:ascii="仿宋_GB2312" w:eastAsia="仿宋_GB2312"/>
          <w:sz w:val="32"/>
          <w:szCs w:val="32"/>
        </w:rPr>
      </w:pPr>
      <w:r>
        <w:rPr>
          <w:rFonts w:hint="eastAsia" w:ascii="仿宋_GB2312" w:eastAsia="仿宋_GB2312"/>
          <w:sz w:val="32"/>
          <w:szCs w:val="32"/>
          <w:lang w:val="zh-CN"/>
        </w:rPr>
        <w:t>公务用车购置及运行维护费3.67万元，其中：公务用车购置费0.00万元，公务用车运行维护费3.67万元。公务用车运行维护费开支内容包括公务用车燃油费、车辆维修维护费、保险费、过路费等。公务用车购置数0辆，公务用车保有量2辆。国有资产占用情况</w:t>
      </w:r>
      <w:r>
        <w:rPr>
          <w:rFonts w:hint="eastAsia" w:ascii="仿宋_GB2312" w:eastAsia="仿宋_GB2312"/>
          <w:sz w:val="32"/>
          <w:szCs w:val="32"/>
        </w:rPr>
        <w:t>中固定资产车辆</w:t>
      </w:r>
      <w:r>
        <w:rPr>
          <w:rFonts w:hint="eastAsia" w:ascii="仿宋_GB2312" w:eastAsia="仿宋_GB2312"/>
          <w:sz w:val="32"/>
          <w:szCs w:val="32"/>
          <w:lang w:val="zh-CN"/>
        </w:rPr>
        <w:t>2辆，</w:t>
      </w:r>
      <w:r>
        <w:rPr>
          <w:rFonts w:hint="eastAsia" w:ascii="仿宋_GB2312" w:eastAsia="仿宋_GB2312"/>
          <w:sz w:val="32"/>
          <w:szCs w:val="32"/>
        </w:rPr>
        <w:t>与</w:t>
      </w:r>
      <w:r>
        <w:rPr>
          <w:rFonts w:hint="eastAsia" w:ascii="仿宋_GB2312" w:eastAsia="仿宋_GB2312"/>
          <w:sz w:val="32"/>
          <w:szCs w:val="32"/>
          <w:lang w:val="zh-CN"/>
        </w:rPr>
        <w:t>公务用车</w:t>
      </w:r>
      <w:r>
        <w:rPr>
          <w:rFonts w:hint="eastAsia" w:ascii="仿宋_GB2312" w:eastAsia="仿宋_GB2312"/>
          <w:sz w:val="32"/>
          <w:szCs w:val="32"/>
        </w:rPr>
        <w:t>保有量差异</w:t>
      </w:r>
      <w:r>
        <w:rPr>
          <w:rFonts w:hint="eastAsia" w:ascii="仿宋_GB2312" w:eastAsia="仿宋_GB2312"/>
          <w:sz w:val="32"/>
          <w:szCs w:val="32"/>
          <w:lang w:val="zh-CN"/>
        </w:rPr>
        <w:t>原因是：本单位固定资产车辆与公务用车保有量一致无差异。</w:t>
      </w:r>
    </w:p>
    <w:p w14:paraId="49C756C3">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公务接待费0.00万元，开支内容包括本年单位无此项经费。单位全年安排的国内公务接待0批次，0人次。</w:t>
      </w:r>
    </w:p>
    <w:p w14:paraId="7F58613C">
      <w:pPr>
        <w:ind w:firstLine="640" w:firstLineChars="200"/>
        <w:jc w:val="left"/>
        <w:rPr>
          <w:rFonts w:ascii="仿宋_GB2312" w:eastAsia="仿宋_GB2312"/>
          <w:sz w:val="32"/>
          <w:szCs w:val="32"/>
          <w:lang w:val="zh-CN"/>
        </w:rPr>
      </w:pPr>
      <w:r>
        <w:rPr>
          <w:rFonts w:hint="eastAsia" w:ascii="仿宋_GB2312" w:eastAsia="仿宋_GB2312"/>
          <w:sz w:val="32"/>
          <w:szCs w:val="32"/>
          <w:lang w:val="zh-CN"/>
        </w:rPr>
        <w:t>与</w:t>
      </w:r>
      <w:r>
        <w:rPr>
          <w:rFonts w:hint="eastAsia" w:ascii="仿宋_GB2312" w:eastAsia="仿宋_GB2312"/>
          <w:sz w:val="32"/>
          <w:szCs w:val="32"/>
        </w:rPr>
        <w:t>全年</w:t>
      </w:r>
      <w:r>
        <w:rPr>
          <w:rFonts w:hint="eastAsia" w:ascii="仿宋_GB2312" w:eastAsia="仿宋_GB2312"/>
          <w:sz w:val="32"/>
          <w:szCs w:val="32"/>
          <w:lang w:val="zh-CN"/>
        </w:rPr>
        <w:t>预算相比</w:t>
      </w:r>
      <w:r>
        <w:rPr>
          <w:rFonts w:hint="eastAsia" w:ascii="仿宋_GB2312" w:eastAsia="仿宋_GB2312"/>
          <w:sz w:val="32"/>
          <w:szCs w:val="32"/>
        </w:rPr>
        <w:t>,</w:t>
      </w:r>
      <w:r>
        <w:rPr>
          <w:rFonts w:hint="eastAsia" w:ascii="仿宋_GB2312" w:eastAsia="仿宋_GB2312"/>
          <w:sz w:val="32"/>
          <w:szCs w:val="32"/>
          <w:lang w:val="zh-CN"/>
        </w:rPr>
        <w:t>财政拨款“三公”经费支出</w:t>
      </w:r>
      <w:r>
        <w:rPr>
          <w:rFonts w:hint="eastAsia" w:ascii="仿宋_GB2312" w:eastAsia="仿宋_GB2312"/>
          <w:sz w:val="32"/>
          <w:szCs w:val="32"/>
        </w:rPr>
        <w:t>全年</w:t>
      </w:r>
      <w:r>
        <w:rPr>
          <w:rFonts w:hint="eastAsia" w:ascii="仿宋_GB2312" w:eastAsia="仿宋_GB2312"/>
          <w:sz w:val="32"/>
          <w:szCs w:val="32"/>
          <w:lang w:val="zh-CN"/>
        </w:rPr>
        <w:t>预算数3.67万元，决算数3.67万元，预决算差异率0.00%，主要原因是：本年严格按年初预算执行“三公”经费，预决算对比无差异。其中：因公出国（境）费</w:t>
      </w:r>
      <w:r>
        <w:rPr>
          <w:rFonts w:hint="eastAsia" w:ascii="仿宋_GB2312" w:eastAsia="仿宋_GB2312"/>
          <w:sz w:val="32"/>
          <w:szCs w:val="32"/>
        </w:rPr>
        <w:t>全年预算数</w:t>
      </w:r>
      <w:r>
        <w:rPr>
          <w:rFonts w:hint="eastAsia" w:ascii="仿宋_GB2312" w:eastAsia="仿宋_GB2312"/>
          <w:sz w:val="32"/>
          <w:szCs w:val="32"/>
          <w:lang w:val="zh-CN"/>
        </w:rPr>
        <w:t>0.00万元，决算数0.00万元，预决算差异率0.00%，主要原因是：本年单位无此项经费；公务用车购置费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预算数0.00万元，决算数0.00万元，预决算差异率0.00%，主要原因是：本年单位无此项经费；公务用车运行费</w:t>
      </w:r>
      <w:r>
        <w:rPr>
          <w:rFonts w:hint="eastAsia" w:ascii="仿宋_GB2312" w:eastAsia="仿宋_GB2312"/>
          <w:sz w:val="32"/>
          <w:szCs w:val="32"/>
        </w:rPr>
        <w:t>全年</w:t>
      </w:r>
      <w:r>
        <w:rPr>
          <w:rFonts w:hint="eastAsia" w:ascii="仿宋_GB2312" w:eastAsia="仿宋_GB2312"/>
          <w:sz w:val="32"/>
          <w:szCs w:val="32"/>
          <w:lang w:val="zh-CN"/>
        </w:rPr>
        <w:t>预算数3.67万元，决算数3.67万元，预决算差异率0.00%，主要原因是：本年严格按年初预算执行“三公”经费，预决算对比无差异；公务接待费</w:t>
      </w:r>
      <w:r>
        <w:rPr>
          <w:rFonts w:hint="eastAsia" w:ascii="仿宋_GB2312" w:eastAsia="仿宋_GB2312"/>
          <w:sz w:val="32"/>
          <w:szCs w:val="32"/>
        </w:rPr>
        <w:t>全年</w:t>
      </w:r>
      <w:r>
        <w:rPr>
          <w:rFonts w:hint="eastAsia" w:ascii="仿宋_GB2312" w:eastAsia="仿宋_GB2312"/>
          <w:sz w:val="32"/>
          <w:szCs w:val="32"/>
          <w:lang w:val="zh-CN"/>
        </w:rPr>
        <w:t>预算数0.00万元，决算数0.00万元，预决算差异率0.00%，主要原因是：本年单位无此项经费。</w:t>
      </w:r>
    </w:p>
    <w:p w14:paraId="7C97384C">
      <w:pPr>
        <w:ind w:firstLine="640" w:firstLineChars="200"/>
        <w:jc w:val="left"/>
        <w:outlineLvl w:val="1"/>
        <w:rPr>
          <w:rFonts w:hint="eastAsia" w:ascii="黑体" w:hAnsi="黑体" w:eastAsia="黑体" w:cs="宋体"/>
          <w:bCs/>
          <w:kern w:val="0"/>
          <w:sz w:val="32"/>
          <w:szCs w:val="32"/>
        </w:rPr>
      </w:pPr>
      <w:bookmarkStart w:id="18" w:name="_Toc5810"/>
      <w:bookmarkStart w:id="19" w:name="_Toc7927"/>
      <w:r>
        <w:rPr>
          <w:rFonts w:hint="eastAsia" w:ascii="黑体" w:hAnsi="黑体" w:eastAsia="黑体" w:cs="宋体"/>
          <w:bCs/>
          <w:kern w:val="0"/>
          <w:sz w:val="32"/>
          <w:szCs w:val="32"/>
        </w:rPr>
        <w:t>八、政府性基金预算财政拨款收入支出决算情况说明</w:t>
      </w:r>
      <w:bookmarkEnd w:id="18"/>
      <w:bookmarkEnd w:id="19"/>
    </w:p>
    <w:p w14:paraId="5057C567">
      <w:pPr>
        <w:ind w:firstLine="640" w:firstLineChars="200"/>
        <w:jc w:val="left"/>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14:paraId="523CDBC1">
      <w:pPr>
        <w:ind w:firstLine="640" w:firstLineChars="200"/>
        <w:jc w:val="left"/>
        <w:outlineLvl w:val="1"/>
        <w:rPr>
          <w:rFonts w:hint="eastAsia"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九、国有资本经营预算财政拨款收入支出决算情况说明</w:t>
      </w:r>
    </w:p>
    <w:p w14:paraId="03C76511">
      <w:pPr>
        <w:ind w:firstLine="640" w:firstLineChars="200"/>
        <w:jc w:val="left"/>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14:paraId="137CEA83">
      <w:pPr>
        <w:ind w:firstLine="640" w:firstLineChars="200"/>
        <w:jc w:val="left"/>
        <w:outlineLvl w:val="1"/>
        <w:rPr>
          <w:rFonts w:hint="eastAsia" w:ascii="黑体" w:hAnsi="黑体" w:eastAsia="黑体" w:cs="宋体"/>
          <w:bCs/>
          <w:kern w:val="0"/>
          <w:sz w:val="32"/>
          <w:szCs w:val="32"/>
        </w:rPr>
      </w:pPr>
      <w:bookmarkStart w:id="20" w:name="_Toc1235"/>
      <w:bookmarkStart w:id="21" w:name="_Toc7314"/>
      <w:r>
        <w:rPr>
          <w:rFonts w:hint="eastAsia" w:ascii="黑体" w:hAnsi="黑体" w:eastAsia="黑体" w:cs="宋体"/>
          <w:bCs/>
          <w:kern w:val="0"/>
          <w:sz w:val="32"/>
          <w:szCs w:val="32"/>
        </w:rPr>
        <w:t>十、其他重要事项的情况说明</w:t>
      </w:r>
      <w:bookmarkEnd w:id="20"/>
      <w:bookmarkEnd w:id="21"/>
    </w:p>
    <w:p w14:paraId="3A3D52F2">
      <w:pPr>
        <w:ind w:firstLine="640" w:firstLineChars="200"/>
        <w:jc w:val="left"/>
        <w:outlineLvl w:val="2"/>
        <w:rPr>
          <w:rFonts w:hint="eastAsia" w:ascii="黑体" w:hAnsi="黑体" w:eastAsia="黑体"/>
          <w:sz w:val="32"/>
          <w:szCs w:val="32"/>
        </w:rPr>
      </w:pPr>
      <w:bookmarkStart w:id="22" w:name="_Toc13105"/>
      <w:bookmarkStart w:id="23" w:name="_Toc14519"/>
      <w:r>
        <w:rPr>
          <w:rFonts w:hint="eastAsia" w:ascii="黑体" w:hAnsi="黑体" w:eastAsia="黑体"/>
          <w:sz w:val="32"/>
          <w:szCs w:val="32"/>
        </w:rPr>
        <w:t>（一）机关运行经费支出情况</w:t>
      </w:r>
      <w:bookmarkEnd w:id="22"/>
      <w:bookmarkEnd w:id="23"/>
    </w:p>
    <w:p w14:paraId="5DA3DFF6">
      <w:pPr>
        <w:ind w:firstLine="640" w:firstLineChars="200"/>
        <w:rPr>
          <w:rFonts w:hint="eastAsia" w:ascii="仿宋_GB2312" w:hAnsi="仿宋_GB2312" w:eastAsia="仿宋_GB2312" w:cs="仿宋_GB2312"/>
          <w:sz w:val="32"/>
          <w:szCs w:val="32"/>
          <w:lang w:val="zh-CN"/>
        </w:rPr>
      </w:pPr>
      <w:bookmarkStart w:id="24" w:name="_Toc26704"/>
      <w:bookmarkStart w:id="25" w:name="_Toc227"/>
      <w:r>
        <w:rPr>
          <w:rFonts w:hint="eastAsia" w:ascii="仿宋_GB2312" w:hAnsi="仿宋_GB2312" w:eastAsia="仿宋_GB2312" w:cs="仿宋_GB2312"/>
          <w:sz w:val="32"/>
          <w:szCs w:val="32"/>
          <w:lang w:val="zh-CN"/>
        </w:rPr>
        <w:t>2023年度</w:t>
      </w:r>
      <w:r>
        <w:rPr>
          <w:rFonts w:hint="eastAsia" w:ascii="仿宋_GB2312" w:hAnsi="仿宋_GB2312" w:eastAsia="仿宋_GB2312" w:cs="仿宋_GB2312"/>
          <w:sz w:val="32"/>
          <w:szCs w:val="32"/>
        </w:rPr>
        <w:t>中共乌鲁木齐市米东区委员会老干部局（行政单位和参照公务员法管理事业单位）机关运行经费支出14.02万元，</w:t>
      </w:r>
      <w:r>
        <w:rPr>
          <w:rFonts w:hint="eastAsia" w:ascii="仿宋_GB2312" w:hAnsi="仿宋_GB2312" w:eastAsia="仿宋_GB2312" w:cs="仿宋_GB2312"/>
          <w:sz w:val="32"/>
          <w:szCs w:val="32"/>
          <w:lang w:val="zh-CN"/>
        </w:rPr>
        <w:t>比上年增加8.64万元，增长160.59%，主要原因是：本年办公费，专业材料和取暖费等增加。</w:t>
      </w:r>
    </w:p>
    <w:p w14:paraId="72D3B63B">
      <w:pPr>
        <w:ind w:firstLine="640" w:firstLineChars="200"/>
        <w:jc w:val="left"/>
        <w:rPr>
          <w:rFonts w:eastAsia="黑体"/>
          <w:sz w:val="32"/>
          <w:szCs w:val="30"/>
          <w:lang w:val="zh-CN"/>
        </w:rPr>
      </w:pPr>
      <w:r>
        <w:rPr>
          <w:rFonts w:hint="eastAsia" w:eastAsia="黑体"/>
          <w:sz w:val="32"/>
          <w:szCs w:val="30"/>
          <w:lang w:val="zh-CN"/>
        </w:rPr>
        <w:t>（二）政府采购情况</w:t>
      </w:r>
      <w:bookmarkEnd w:id="24"/>
      <w:bookmarkEnd w:id="25"/>
    </w:p>
    <w:p w14:paraId="3F02FBC8">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lang w:val="zh-CN"/>
        </w:rPr>
        <w:t>2023年度政府采购支出总额0.00万元，其中：政府采购货物支出0.00万元、政府采购工程支出0.00万元、政府采购服务支出0.00万元。</w:t>
      </w:r>
    </w:p>
    <w:p w14:paraId="7081F55B">
      <w:pPr>
        <w:ind w:firstLine="640" w:firstLineChars="200"/>
        <w:jc w:val="left"/>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zh-CN"/>
        </w:rPr>
        <w:t>授予中小企业合同金额0.00万元，占政府采购支出总额的0.00%，其中：授予小微企业合同金额0.00万元，占政府采购支出总额的0.00%</w:t>
      </w:r>
      <w:r>
        <w:rPr>
          <w:rFonts w:hint="eastAsia" w:ascii="仿宋_GB2312" w:hAnsi="仿宋_GB2312" w:eastAsia="仿宋_GB2312" w:cs="仿宋_GB2312"/>
          <w:sz w:val="32"/>
          <w:szCs w:val="32"/>
        </w:rPr>
        <w:t>。</w:t>
      </w:r>
    </w:p>
    <w:p w14:paraId="44AE8BC2">
      <w:pPr>
        <w:ind w:firstLine="640" w:firstLineChars="200"/>
        <w:jc w:val="left"/>
        <w:rPr>
          <w:rFonts w:eastAsia="黑体"/>
          <w:sz w:val="32"/>
          <w:szCs w:val="30"/>
          <w:lang w:val="zh-CN"/>
        </w:rPr>
      </w:pPr>
      <w:bookmarkStart w:id="26" w:name="_Toc4591"/>
      <w:bookmarkStart w:id="27" w:name="_Toc8391"/>
      <w:r>
        <w:rPr>
          <w:rFonts w:hint="eastAsia" w:eastAsia="黑体"/>
          <w:sz w:val="32"/>
          <w:szCs w:val="30"/>
          <w:lang w:val="zh-CN"/>
        </w:rPr>
        <w:t>（三）国有资产占用情况说明</w:t>
      </w:r>
      <w:bookmarkEnd w:id="26"/>
      <w:bookmarkEnd w:id="27"/>
    </w:p>
    <w:p w14:paraId="77347A4C">
      <w:pPr>
        <w:ind w:firstLine="640" w:firstLineChars="200"/>
        <w:jc w:val="left"/>
        <w:rPr>
          <w:rFonts w:hint="eastAsia" w:ascii="仿宋_GB2312" w:hAnsi="仿宋_GB2312" w:eastAsia="仿宋_GB2312" w:cs="仿宋_GB2312"/>
          <w:sz w:val="32"/>
          <w:szCs w:val="32"/>
          <w:lang w:val="zh-CN"/>
        </w:rPr>
      </w:pPr>
      <w:r>
        <w:rPr>
          <w:rFonts w:hint="eastAsia" w:ascii="仿宋_GB2312" w:hAnsi="仿宋_GB2312" w:eastAsia="仿宋_GB2312" w:cs="仿宋_GB2312"/>
          <w:sz w:val="32"/>
          <w:szCs w:val="32"/>
        </w:rPr>
        <w:t>截至2023</w:t>
      </w:r>
      <w:r>
        <w:rPr>
          <w:rFonts w:hint="eastAsia" w:ascii="仿宋_GB2312" w:hAnsi="仿宋_GB2312" w:eastAsia="仿宋_GB2312" w:cs="仿宋_GB2312"/>
          <w:sz w:val="32"/>
          <w:szCs w:val="32"/>
          <w:lang w:val="zh-CN"/>
        </w:rPr>
        <w:t>年</w:t>
      </w:r>
      <w:r>
        <w:rPr>
          <w:rFonts w:hint="eastAsia" w:ascii="仿宋_GB2312" w:hAnsi="仿宋_GB2312" w:eastAsia="仿宋_GB2312" w:cs="仿宋_GB2312"/>
          <w:sz w:val="32"/>
          <w:szCs w:val="32"/>
        </w:rPr>
        <w:t>12月31日</w:t>
      </w:r>
      <w:r>
        <w:rPr>
          <w:rFonts w:hint="eastAsia" w:ascii="仿宋_GB2312" w:hAnsi="仿宋_GB2312" w:eastAsia="仿宋_GB2312" w:cs="仿宋_GB2312"/>
          <w:sz w:val="32"/>
          <w:szCs w:val="32"/>
          <w:lang w:val="zh-CN"/>
        </w:rPr>
        <w:t>，</w:t>
      </w:r>
      <w:r>
        <w:rPr>
          <w:rFonts w:hint="eastAsia" w:ascii="仿宋_GB2312" w:hAnsi="仿宋_GB2312" w:eastAsia="仿宋_GB2312" w:cs="仿宋_GB2312"/>
          <w:sz w:val="32"/>
          <w:szCs w:val="32"/>
        </w:rPr>
        <w:t>固定资产原值</w:t>
      </w:r>
      <w:r>
        <w:rPr>
          <w:rFonts w:hint="eastAsia" w:ascii="仿宋_GB2312" w:hAnsi="仿宋_GB2312" w:eastAsia="仿宋_GB2312" w:cs="仿宋_GB2312"/>
          <w:sz w:val="32"/>
          <w:szCs w:val="32"/>
          <w:lang w:val="zh-CN"/>
        </w:rPr>
        <w:t>126.11</w:t>
      </w:r>
      <w:r>
        <w:rPr>
          <w:rFonts w:hint="eastAsia" w:ascii="仿宋_GB2312" w:hAnsi="仿宋_GB2312" w:eastAsia="仿宋_GB2312" w:cs="仿宋_GB2312"/>
          <w:sz w:val="32"/>
          <w:szCs w:val="32"/>
        </w:rPr>
        <w:t>万元，房</w:t>
      </w:r>
      <w:r>
        <w:rPr>
          <w:rFonts w:hint="eastAsia" w:ascii="仿宋_GB2312" w:hAnsi="仿宋_GB2312" w:eastAsia="仿宋_GB2312" w:cs="仿宋_GB2312"/>
          <w:sz w:val="32"/>
          <w:szCs w:val="32"/>
          <w:lang w:val="zh-CN"/>
        </w:rPr>
        <w:t>屋0.00平方米，价值0.00万元。车辆2辆，价值42.30万元，其中：副部（省）级及以上领导用车0辆、主要</w:t>
      </w:r>
      <w:r>
        <w:rPr>
          <w:rFonts w:hint="eastAsia" w:ascii="仿宋_GB2312" w:hAnsi="仿宋_GB2312" w:eastAsia="仿宋_GB2312" w:cs="仿宋_GB2312"/>
          <w:sz w:val="32"/>
          <w:szCs w:val="32"/>
        </w:rPr>
        <w:t>负责人</w:t>
      </w:r>
      <w:r>
        <w:rPr>
          <w:rFonts w:hint="eastAsia" w:ascii="仿宋_GB2312" w:hAnsi="仿宋_GB2312" w:eastAsia="仿宋_GB2312" w:cs="仿宋_GB2312"/>
          <w:sz w:val="32"/>
          <w:szCs w:val="32"/>
          <w:lang w:val="zh-CN"/>
        </w:rPr>
        <w:t>用车0辆、机要通信用车0辆、应急保障用车0辆、执法执勤用车0辆、特种专业技术用车0辆、离退休干部</w:t>
      </w:r>
      <w:r>
        <w:rPr>
          <w:rFonts w:hint="eastAsia" w:ascii="仿宋_GB2312" w:hAnsi="仿宋_GB2312" w:eastAsia="仿宋_GB2312" w:cs="仿宋_GB2312"/>
          <w:sz w:val="32"/>
          <w:szCs w:val="32"/>
        </w:rPr>
        <w:t>服务</w:t>
      </w:r>
      <w:r>
        <w:rPr>
          <w:rFonts w:hint="eastAsia" w:ascii="仿宋_GB2312" w:hAnsi="仿宋_GB2312" w:eastAsia="仿宋_GB2312" w:cs="仿宋_GB2312"/>
          <w:sz w:val="32"/>
          <w:szCs w:val="32"/>
          <w:lang w:val="zh-CN"/>
        </w:rPr>
        <w:t>用车0辆、其他用车2辆，其他用车主要是：单位业务用车；单价100万元（含）以上设备（不含车辆）0</w:t>
      </w:r>
      <w:r>
        <w:rPr>
          <w:rFonts w:hint="eastAsia" w:ascii="仿宋_GB2312" w:hAnsi="仿宋_GB2312" w:eastAsia="仿宋_GB2312" w:cs="仿宋_GB2312"/>
          <w:sz w:val="32"/>
          <w:szCs w:val="32"/>
        </w:rPr>
        <w:t>台（</w:t>
      </w:r>
      <w:r>
        <w:rPr>
          <w:rFonts w:hint="eastAsia" w:ascii="仿宋_GB2312" w:hAnsi="仿宋_GB2312" w:eastAsia="仿宋_GB2312" w:cs="仿宋_GB2312"/>
          <w:sz w:val="32"/>
          <w:szCs w:val="32"/>
          <w:lang w:val="zh-CN"/>
        </w:rPr>
        <w:t>套）。</w:t>
      </w:r>
    </w:p>
    <w:p w14:paraId="3344BA3C">
      <w:pPr>
        <w:ind w:firstLine="640" w:firstLineChars="200"/>
        <w:jc w:val="left"/>
        <w:outlineLvl w:val="1"/>
        <w:rPr>
          <w:rFonts w:hint="eastAsia"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14:paraId="6EA956C0">
      <w:pPr>
        <w:ind w:firstLine="640" w:firstLineChars="200"/>
        <w:jc w:val="left"/>
        <w:rPr>
          <w:rFonts w:ascii="仿宋_GB2312" w:eastAsia="仿宋_GB2312"/>
          <w:sz w:val="32"/>
          <w:szCs w:val="32"/>
        </w:rPr>
      </w:pPr>
      <w:r>
        <w:rPr>
          <w:rFonts w:hint="eastAsia" w:ascii="仿宋_GB2312" w:eastAsia="仿宋_GB2312"/>
          <w:sz w:val="32"/>
          <w:szCs w:val="32"/>
        </w:rPr>
        <w:t>根据预算绩效管理要求，我单位2023年度</w:t>
      </w:r>
      <w:r>
        <w:rPr>
          <w:rFonts w:hint="eastAsia" w:ascii="仿宋_GB2312" w:hAnsi="仿宋_GB2312" w:eastAsia="仿宋_GB2312" w:cs="仿宋_GB2312"/>
          <w:kern w:val="0"/>
          <w:sz w:val="32"/>
          <w:szCs w:val="32"/>
        </w:rPr>
        <w:t>预算绩效管理整体支出绩效自评表</w:t>
      </w:r>
      <w:r>
        <w:rPr>
          <w:rFonts w:hint="eastAsia" w:ascii="仿宋_GB2312" w:eastAsia="仿宋_GB2312"/>
          <w:sz w:val="32"/>
          <w:szCs w:val="32"/>
        </w:rPr>
        <w:t>1</w:t>
      </w:r>
      <w:r>
        <w:rPr>
          <w:rFonts w:hint="eastAsia" w:ascii="仿宋_GB2312" w:hAnsi="仿宋_GB2312" w:eastAsia="仿宋_GB2312" w:cs="仿宋_GB2312"/>
          <w:kern w:val="0"/>
          <w:sz w:val="32"/>
          <w:szCs w:val="32"/>
        </w:rPr>
        <w:t>个，全年</w:t>
      </w:r>
      <w:r>
        <w:rPr>
          <w:rFonts w:hint="eastAsia" w:ascii="仿宋_GB2312" w:eastAsia="仿宋_GB2312"/>
          <w:sz w:val="32"/>
          <w:szCs w:val="32"/>
        </w:rPr>
        <w:t>预算总额</w:t>
      </w:r>
      <w:r>
        <w:rPr>
          <w:rFonts w:ascii="仿宋_GB2312" w:eastAsia="仿宋_GB2312"/>
          <w:sz w:val="32"/>
          <w:szCs w:val="32"/>
        </w:rPr>
        <w:t>221.53</w:t>
      </w:r>
      <w:r>
        <w:rPr>
          <w:rFonts w:hint="eastAsia" w:ascii="仿宋_GB2312" w:eastAsia="仿宋_GB2312"/>
          <w:sz w:val="32"/>
          <w:szCs w:val="32"/>
        </w:rPr>
        <w:t>万元，实际执行总额</w:t>
      </w:r>
      <w:r>
        <w:rPr>
          <w:rFonts w:ascii="仿宋_GB2312" w:eastAsia="仿宋_GB2312"/>
          <w:sz w:val="32"/>
          <w:szCs w:val="32"/>
        </w:rPr>
        <w:t>219.06</w:t>
      </w:r>
      <w:r>
        <w:rPr>
          <w:rFonts w:hint="eastAsia" w:ascii="仿宋_GB2312" w:eastAsia="仿宋_GB2312"/>
          <w:sz w:val="32"/>
          <w:szCs w:val="32"/>
        </w:rPr>
        <w:t>万元</w:t>
      </w:r>
      <w:r>
        <w:rPr>
          <w:rFonts w:hint="eastAsia" w:ascii="仿宋_GB2312" w:hAnsi="仿宋_GB2312" w:eastAsia="仿宋_GB2312" w:cs="仿宋_GB2312"/>
          <w:kern w:val="0"/>
          <w:sz w:val="32"/>
          <w:szCs w:val="32"/>
        </w:rPr>
        <w:t>；</w:t>
      </w:r>
      <w:r>
        <w:rPr>
          <w:rFonts w:hint="eastAsia" w:ascii="仿宋_GB2312" w:eastAsia="仿宋_GB2312"/>
          <w:sz w:val="32"/>
          <w:szCs w:val="32"/>
        </w:rPr>
        <w:t>预算绩效评价项目0个，全年预算数0.00万元，全年执行数0.00万元。预算绩效管理取得的成效：一是全面实施绩效管理，提高资金使用效益；二是绩效管理优化资源配置，提高工作效率和质量。发现的问题及原因：一是预算编制科学性的问题。首先预算编制之合理性相对不足，主要表现在预算调整数较大，年度目标与长期规划衔接的紧密程度需要增强；二是预算绩效完成情况与预算执行进度不匹配，预算执行进度往往落后于预算绩效目标完成情况，项目开支往往是在项目完成到一定阶段后才进行经费支出和进行定量分析。下一步改进措施：一是加强制度解读，提高预算精准度加强对预算编制的培训和指导，提升全局干部预算绩效意识。局机关各单位在申请年度经费预算的同时编制预算绩效目标，根据业务工作需求，编实编准编细年度预算，减少年中调整事项，保证预算编制口径的一致性和可比性。完善政府采购需求报送流程，提高政府采购预算编制准确性，把有限的财政资金花在最需要的地方、最有效的地方。构建专业、客观、独立、多样的绩效评价主体。在可能的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二是加强预算绩效管理，改善预算执行进一步夯实工作基础，强化绩效观念，明确监控职责，规范监控程序，对绩效目标实现程度和预算执行进行实行“双监控”，确保绩效目标保质保量实现。预算执行结束后，通过自评和外部评价相结合的方式，对预算执行的经济性、效率性和效益性进行评价，把有限的财政资金花在最需要的地方、最有效的地方，确保重大统计改革任务、重点统计工作的经费需求。多措并举，提高预算执行进度。具体项目自评情况附绩效自评表及自评报告。</w:t>
      </w:r>
    </w:p>
    <w:p w14:paraId="71720479">
      <w:pPr>
        <w:jc w:val="center"/>
        <w:rPr>
          <w:rFonts w:hint="eastAsia" w:ascii="宋体" w:hAnsi="宋体" w:cs="宋体"/>
          <w:b/>
          <w:bCs/>
          <w:kern w:val="0"/>
          <w:sz w:val="28"/>
          <w:szCs w:val="28"/>
        </w:rPr>
      </w:pPr>
      <w:r>
        <w:rPr>
          <w:rFonts w:hint="eastAsia" w:ascii="宋体" w:hAnsi="宋体" w:cs="宋体"/>
          <w:b/>
          <w:bCs/>
          <w:kern w:val="0"/>
          <w:sz w:val="28"/>
          <w:szCs w:val="28"/>
        </w:rPr>
        <w:t>部门（单位）整体支出绩效目标自评表</w:t>
      </w:r>
    </w:p>
    <w:p w14:paraId="3E22988F">
      <w:pPr>
        <w:jc w:val="center"/>
        <w:rPr>
          <w:rFonts w:hint="eastAsia" w:ascii="宋体" w:hAnsi="宋体" w:cs="宋体"/>
          <w:b/>
          <w:bCs/>
          <w:kern w:val="0"/>
          <w:sz w:val="18"/>
          <w:szCs w:val="18"/>
        </w:rPr>
      </w:pPr>
      <w:r>
        <w:rPr>
          <w:rFonts w:hint="eastAsia" w:ascii="宋体" w:hAnsi="宋体" w:cs="宋体"/>
          <w:b/>
          <w:bCs/>
          <w:kern w:val="0"/>
          <w:sz w:val="18"/>
          <w:szCs w:val="18"/>
        </w:rPr>
        <w:t>（2023年度）</w:t>
      </w:r>
    </w:p>
    <w:tbl>
      <w:tblPr>
        <w:tblStyle w:val="9"/>
        <w:tblW w:w="9935" w:type="dxa"/>
        <w:tblInd w:w="-601" w:type="dxa"/>
        <w:tblLayout w:type="fixed"/>
        <w:tblCellMar>
          <w:top w:w="0" w:type="dxa"/>
          <w:left w:w="108" w:type="dxa"/>
          <w:bottom w:w="0" w:type="dxa"/>
          <w:right w:w="108" w:type="dxa"/>
        </w:tblCellMar>
      </w:tblPr>
      <w:tblGrid>
        <w:gridCol w:w="993"/>
        <w:gridCol w:w="1417"/>
        <w:gridCol w:w="1418"/>
        <w:gridCol w:w="1134"/>
        <w:gridCol w:w="2126"/>
        <w:gridCol w:w="1004"/>
        <w:gridCol w:w="839"/>
        <w:gridCol w:w="720"/>
        <w:gridCol w:w="284"/>
      </w:tblGrid>
      <w:tr w14:paraId="4E02A12E">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shd w:val="clear" w:color="auto" w:fill="auto"/>
            <w:noWrap/>
            <w:vAlign w:val="center"/>
          </w:tcPr>
          <w:p w14:paraId="50437081">
            <w:pPr>
              <w:widowControl/>
              <w:jc w:val="center"/>
              <w:rPr>
                <w:rFonts w:hint="eastAsia" w:ascii="宋体" w:hAnsi="宋体" w:cs="宋体"/>
                <w:b/>
                <w:bCs/>
                <w:kern w:val="0"/>
                <w:sz w:val="18"/>
                <w:szCs w:val="18"/>
              </w:rPr>
            </w:pPr>
            <w:r>
              <w:rPr>
                <w:rFonts w:hint="eastAsia" w:ascii="宋体" w:hAnsi="宋体" w:cs="宋体"/>
                <w:b/>
                <w:bCs/>
                <w:kern w:val="0"/>
                <w:sz w:val="18"/>
                <w:szCs w:val="18"/>
              </w:rPr>
              <w:t>部门（单位）名称</w:t>
            </w:r>
          </w:p>
        </w:tc>
        <w:tc>
          <w:tcPr>
            <w:tcW w:w="8658" w:type="dxa"/>
            <w:gridSpan w:val="7"/>
            <w:tcBorders>
              <w:top w:val="single" w:color="auto" w:sz="4" w:space="0"/>
              <w:left w:val="nil"/>
              <w:bottom w:val="single" w:color="auto" w:sz="4" w:space="0"/>
              <w:right w:val="single" w:color="auto" w:sz="4" w:space="0"/>
            </w:tcBorders>
            <w:shd w:val="clear" w:color="auto" w:fill="auto"/>
            <w:noWrap/>
            <w:vAlign w:val="center"/>
          </w:tcPr>
          <w:p w14:paraId="463FD470">
            <w:pPr>
              <w:jc w:val="center"/>
            </w:pPr>
            <w:r>
              <w:rPr>
                <w:rFonts w:ascii="宋体" w:hAnsi="宋体"/>
                <w:sz w:val="18"/>
              </w:rPr>
              <w:t>米东</w:t>
            </w:r>
            <w:bookmarkStart w:id="48" w:name="_GoBack"/>
            <w:bookmarkEnd w:id="48"/>
            <w:r>
              <w:rPr>
                <w:rFonts w:hint="eastAsia" w:ascii="宋体" w:hAnsi="宋体"/>
                <w:sz w:val="18"/>
                <w:lang w:eastAsia="zh-CN"/>
              </w:rPr>
              <w:t>区委老干部局</w:t>
            </w:r>
            <w:r>
              <w:rPr>
                <w:rFonts w:ascii="宋体" w:hAnsi="宋体"/>
                <w:sz w:val="18"/>
              </w:rPr>
              <w:t>机关</w:t>
            </w:r>
          </w:p>
        </w:tc>
        <w:tc>
          <w:tcPr>
            <w:tcW w:w="284" w:type="dxa"/>
            <w:tcBorders>
              <w:top w:val="nil"/>
              <w:left w:val="nil"/>
              <w:bottom w:val="nil"/>
              <w:right w:val="nil"/>
            </w:tcBorders>
            <w:shd w:val="clear" w:color="auto" w:fill="auto"/>
            <w:noWrap/>
            <w:vAlign w:val="center"/>
          </w:tcPr>
          <w:p w14:paraId="19C5A2C8">
            <w:pPr>
              <w:widowControl/>
              <w:jc w:val="left"/>
              <w:rPr>
                <w:rFonts w:hint="eastAsia" w:ascii="宋体" w:hAnsi="宋体" w:cs="宋体"/>
                <w:b/>
                <w:bCs/>
                <w:kern w:val="0"/>
                <w:sz w:val="18"/>
                <w:szCs w:val="18"/>
              </w:rPr>
            </w:pPr>
          </w:p>
        </w:tc>
      </w:tr>
      <w:tr w14:paraId="7A9717FF">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55EE4956">
            <w:pPr>
              <w:widowControl/>
              <w:jc w:val="center"/>
              <w:rPr>
                <w:rFonts w:hint="eastAsia" w:ascii="宋体" w:hAnsi="宋体" w:cs="宋体"/>
                <w:b/>
                <w:bCs/>
                <w:kern w:val="0"/>
                <w:sz w:val="18"/>
                <w:szCs w:val="18"/>
              </w:rPr>
            </w:pPr>
            <w:r>
              <w:rPr>
                <w:rFonts w:hint="eastAsia" w:ascii="宋体" w:hAnsi="宋体" w:cs="宋体"/>
                <w:b/>
                <w:bCs/>
                <w:kern w:val="0"/>
                <w:sz w:val="18"/>
                <w:szCs w:val="18"/>
              </w:rPr>
              <w:t>部门资金（万元）</w:t>
            </w:r>
          </w:p>
        </w:tc>
        <w:tc>
          <w:tcPr>
            <w:tcW w:w="1417" w:type="dxa"/>
            <w:tcBorders>
              <w:top w:val="nil"/>
              <w:left w:val="nil"/>
              <w:bottom w:val="single" w:color="auto" w:sz="4" w:space="0"/>
              <w:right w:val="single" w:color="auto" w:sz="4" w:space="0"/>
            </w:tcBorders>
            <w:shd w:val="clear" w:color="auto" w:fill="auto"/>
            <w:vAlign w:val="center"/>
          </w:tcPr>
          <w:p w14:paraId="31804A1A">
            <w:pPr>
              <w:widowControl/>
              <w:jc w:val="center"/>
              <w:rPr>
                <w:rFonts w:hint="eastAsia" w:ascii="宋体" w:hAnsi="宋体" w:cs="宋体"/>
                <w:b/>
                <w:bCs/>
                <w:kern w:val="0"/>
                <w:sz w:val="18"/>
                <w:szCs w:val="18"/>
              </w:rPr>
            </w:pPr>
            <w:r>
              <w:rPr>
                <w:rFonts w:hint="eastAsia" w:ascii="宋体" w:hAnsi="宋体" w:cs="宋体"/>
                <w:b/>
                <w:bCs/>
                <w:kern w:val="0"/>
                <w:sz w:val="18"/>
                <w:szCs w:val="18"/>
              </w:rPr>
              <w:t>资金来源</w:t>
            </w:r>
          </w:p>
        </w:tc>
        <w:tc>
          <w:tcPr>
            <w:tcW w:w="1418" w:type="dxa"/>
            <w:tcBorders>
              <w:top w:val="nil"/>
              <w:left w:val="nil"/>
              <w:bottom w:val="single" w:color="auto" w:sz="4" w:space="0"/>
              <w:right w:val="single" w:color="auto" w:sz="4" w:space="0"/>
            </w:tcBorders>
            <w:shd w:val="clear" w:color="auto" w:fill="auto"/>
            <w:vAlign w:val="center"/>
          </w:tcPr>
          <w:p w14:paraId="21A78377">
            <w:pPr>
              <w:widowControl/>
              <w:jc w:val="center"/>
              <w:rPr>
                <w:rFonts w:hint="eastAsia" w:ascii="宋体" w:hAnsi="宋体" w:cs="宋体"/>
                <w:b/>
                <w:bCs/>
                <w:kern w:val="0"/>
                <w:sz w:val="18"/>
                <w:szCs w:val="18"/>
              </w:rPr>
            </w:pPr>
            <w:r>
              <w:rPr>
                <w:rFonts w:hint="eastAsia" w:ascii="宋体" w:hAnsi="宋体" w:cs="宋体"/>
                <w:b/>
                <w:bCs/>
                <w:kern w:val="0"/>
                <w:sz w:val="18"/>
                <w:szCs w:val="18"/>
              </w:rPr>
              <w:t>年初预算数</w:t>
            </w:r>
          </w:p>
        </w:tc>
        <w:tc>
          <w:tcPr>
            <w:tcW w:w="1134" w:type="dxa"/>
            <w:tcBorders>
              <w:top w:val="nil"/>
              <w:left w:val="nil"/>
              <w:bottom w:val="single" w:color="auto" w:sz="4" w:space="0"/>
              <w:right w:val="single" w:color="auto" w:sz="4" w:space="0"/>
            </w:tcBorders>
            <w:shd w:val="clear" w:color="auto" w:fill="auto"/>
            <w:vAlign w:val="center"/>
          </w:tcPr>
          <w:p w14:paraId="326B32AA">
            <w:pPr>
              <w:widowControl/>
              <w:jc w:val="center"/>
              <w:rPr>
                <w:rFonts w:hint="eastAsia" w:ascii="宋体" w:hAnsi="宋体" w:cs="宋体"/>
                <w:b/>
                <w:bCs/>
                <w:kern w:val="0"/>
                <w:sz w:val="18"/>
                <w:szCs w:val="18"/>
              </w:rPr>
            </w:pPr>
            <w:r>
              <w:rPr>
                <w:rFonts w:hint="eastAsia" w:ascii="宋体" w:hAnsi="宋体" w:cs="宋体"/>
                <w:b/>
                <w:bCs/>
                <w:kern w:val="0"/>
                <w:sz w:val="18"/>
                <w:szCs w:val="18"/>
              </w:rPr>
              <w:t>全年预算数</w:t>
            </w:r>
          </w:p>
        </w:tc>
        <w:tc>
          <w:tcPr>
            <w:tcW w:w="2126" w:type="dxa"/>
            <w:tcBorders>
              <w:top w:val="nil"/>
              <w:left w:val="nil"/>
              <w:bottom w:val="single" w:color="auto" w:sz="4" w:space="0"/>
              <w:right w:val="single" w:color="auto" w:sz="4" w:space="0"/>
            </w:tcBorders>
            <w:shd w:val="clear" w:color="auto" w:fill="auto"/>
            <w:vAlign w:val="center"/>
          </w:tcPr>
          <w:p w14:paraId="558373B5">
            <w:pPr>
              <w:widowControl/>
              <w:jc w:val="center"/>
              <w:rPr>
                <w:rFonts w:hint="eastAsia" w:ascii="宋体" w:hAnsi="宋体" w:cs="宋体"/>
                <w:b/>
                <w:bCs/>
                <w:kern w:val="0"/>
                <w:sz w:val="18"/>
                <w:szCs w:val="18"/>
              </w:rPr>
            </w:pPr>
            <w:r>
              <w:rPr>
                <w:rFonts w:hint="eastAsia" w:ascii="宋体" w:hAnsi="宋体" w:cs="宋体"/>
                <w:b/>
                <w:bCs/>
                <w:kern w:val="0"/>
                <w:sz w:val="18"/>
                <w:szCs w:val="18"/>
              </w:rPr>
              <w:t>全年执行数</w:t>
            </w:r>
          </w:p>
        </w:tc>
        <w:tc>
          <w:tcPr>
            <w:tcW w:w="1004" w:type="dxa"/>
            <w:tcBorders>
              <w:top w:val="nil"/>
              <w:left w:val="nil"/>
              <w:bottom w:val="single" w:color="auto" w:sz="4" w:space="0"/>
              <w:right w:val="single" w:color="auto" w:sz="4" w:space="0"/>
            </w:tcBorders>
            <w:shd w:val="clear" w:color="auto" w:fill="auto"/>
            <w:vAlign w:val="center"/>
          </w:tcPr>
          <w:p w14:paraId="2EFAB954">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839" w:type="dxa"/>
            <w:tcBorders>
              <w:top w:val="nil"/>
              <w:left w:val="nil"/>
              <w:bottom w:val="single" w:color="auto" w:sz="4" w:space="0"/>
              <w:right w:val="single" w:color="auto" w:sz="4" w:space="0"/>
            </w:tcBorders>
            <w:shd w:val="clear" w:color="auto" w:fill="auto"/>
            <w:vAlign w:val="center"/>
          </w:tcPr>
          <w:p w14:paraId="63A4856F">
            <w:pPr>
              <w:widowControl/>
              <w:jc w:val="center"/>
              <w:rPr>
                <w:rFonts w:hint="eastAsia" w:ascii="宋体" w:hAnsi="宋体" w:cs="宋体"/>
                <w:b/>
                <w:bCs/>
                <w:kern w:val="0"/>
                <w:sz w:val="18"/>
                <w:szCs w:val="18"/>
              </w:rPr>
            </w:pPr>
            <w:r>
              <w:rPr>
                <w:rFonts w:hint="eastAsia" w:ascii="宋体" w:hAnsi="宋体" w:cs="宋体"/>
                <w:b/>
                <w:bCs/>
                <w:kern w:val="0"/>
                <w:sz w:val="18"/>
                <w:szCs w:val="18"/>
              </w:rPr>
              <w:t>执行率</w:t>
            </w:r>
          </w:p>
        </w:tc>
        <w:tc>
          <w:tcPr>
            <w:tcW w:w="720" w:type="dxa"/>
            <w:tcBorders>
              <w:top w:val="nil"/>
              <w:left w:val="nil"/>
              <w:bottom w:val="single" w:color="auto" w:sz="4" w:space="0"/>
              <w:right w:val="single" w:color="auto" w:sz="4" w:space="0"/>
            </w:tcBorders>
            <w:shd w:val="clear" w:color="auto" w:fill="auto"/>
            <w:vAlign w:val="center"/>
          </w:tcPr>
          <w:p w14:paraId="399FDCD3">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44E75AE7">
            <w:pPr>
              <w:widowControl/>
              <w:jc w:val="center"/>
              <w:rPr>
                <w:rFonts w:hint="eastAsia" w:ascii="宋体" w:hAnsi="宋体" w:cs="宋体"/>
                <w:b/>
                <w:bCs/>
                <w:kern w:val="0"/>
                <w:sz w:val="18"/>
                <w:szCs w:val="18"/>
              </w:rPr>
            </w:pPr>
          </w:p>
        </w:tc>
      </w:tr>
      <w:tr w14:paraId="6B9660F4">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118087CD">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noWrap/>
            <w:vAlign w:val="center"/>
          </w:tcPr>
          <w:p w14:paraId="0AE6882F">
            <w:pPr>
              <w:widowControl/>
              <w:jc w:val="center"/>
              <w:rPr>
                <w:rFonts w:hint="eastAsia" w:ascii="宋体" w:hAnsi="宋体" w:cs="宋体"/>
                <w:b/>
                <w:bCs/>
                <w:kern w:val="0"/>
                <w:sz w:val="18"/>
                <w:szCs w:val="18"/>
              </w:rPr>
            </w:pPr>
            <w:r>
              <w:rPr>
                <w:rFonts w:hint="eastAsia" w:ascii="宋体" w:hAnsi="宋体" w:cs="宋体"/>
                <w:b/>
                <w:bCs/>
                <w:kern w:val="0"/>
                <w:sz w:val="18"/>
                <w:szCs w:val="18"/>
              </w:rPr>
              <w:t>年度总资金</w:t>
            </w:r>
          </w:p>
        </w:tc>
        <w:tc>
          <w:tcPr>
            <w:tcW w:w="1418" w:type="dxa"/>
            <w:tcBorders>
              <w:top w:val="nil"/>
              <w:left w:val="nil"/>
              <w:bottom w:val="single" w:color="auto" w:sz="4" w:space="0"/>
              <w:right w:val="single" w:color="auto" w:sz="4" w:space="0"/>
            </w:tcBorders>
            <w:shd w:val="clear" w:color="auto" w:fill="auto"/>
            <w:vAlign w:val="center"/>
          </w:tcPr>
          <w:p w14:paraId="49033C34">
            <w:pPr>
              <w:jc w:val="center"/>
            </w:pPr>
            <w:r>
              <w:rPr>
                <w:rFonts w:ascii="宋体" w:hAnsi="宋体"/>
                <w:sz w:val="18"/>
              </w:rPr>
              <w:t>176.66</w:t>
            </w:r>
          </w:p>
        </w:tc>
        <w:tc>
          <w:tcPr>
            <w:tcW w:w="1134" w:type="dxa"/>
            <w:tcBorders>
              <w:top w:val="nil"/>
              <w:left w:val="nil"/>
              <w:bottom w:val="single" w:color="auto" w:sz="4" w:space="0"/>
              <w:right w:val="single" w:color="auto" w:sz="4" w:space="0"/>
            </w:tcBorders>
            <w:shd w:val="clear" w:color="auto" w:fill="auto"/>
            <w:vAlign w:val="center"/>
          </w:tcPr>
          <w:p w14:paraId="1C297B86">
            <w:pPr>
              <w:jc w:val="center"/>
            </w:pPr>
            <w:r>
              <w:rPr>
                <w:rFonts w:ascii="宋体" w:hAnsi="宋体"/>
                <w:sz w:val="18"/>
              </w:rPr>
              <w:t>221.53</w:t>
            </w:r>
          </w:p>
        </w:tc>
        <w:tc>
          <w:tcPr>
            <w:tcW w:w="2126" w:type="dxa"/>
            <w:tcBorders>
              <w:top w:val="nil"/>
              <w:left w:val="nil"/>
              <w:bottom w:val="single" w:color="auto" w:sz="4" w:space="0"/>
              <w:right w:val="single" w:color="auto" w:sz="4" w:space="0"/>
            </w:tcBorders>
            <w:shd w:val="clear" w:color="auto" w:fill="auto"/>
            <w:vAlign w:val="center"/>
          </w:tcPr>
          <w:p w14:paraId="7E7474FB">
            <w:pPr>
              <w:jc w:val="center"/>
            </w:pPr>
            <w:r>
              <w:rPr>
                <w:rFonts w:ascii="宋体" w:hAnsi="宋体"/>
                <w:sz w:val="18"/>
              </w:rPr>
              <w:t>219.06</w:t>
            </w:r>
          </w:p>
        </w:tc>
        <w:tc>
          <w:tcPr>
            <w:tcW w:w="1004" w:type="dxa"/>
            <w:tcBorders>
              <w:top w:val="nil"/>
              <w:left w:val="nil"/>
              <w:bottom w:val="single" w:color="auto" w:sz="4" w:space="0"/>
              <w:right w:val="single" w:color="auto" w:sz="4" w:space="0"/>
            </w:tcBorders>
            <w:shd w:val="clear" w:color="auto" w:fill="auto"/>
            <w:vAlign w:val="center"/>
          </w:tcPr>
          <w:p w14:paraId="54B8AEF4">
            <w:pPr>
              <w:jc w:val="center"/>
            </w:pPr>
            <w:r>
              <w:rPr>
                <w:rFonts w:ascii="宋体" w:hAnsi="宋体"/>
                <w:sz w:val="18"/>
              </w:rPr>
              <w:t>10</w:t>
            </w:r>
          </w:p>
        </w:tc>
        <w:tc>
          <w:tcPr>
            <w:tcW w:w="839" w:type="dxa"/>
            <w:tcBorders>
              <w:top w:val="nil"/>
              <w:left w:val="nil"/>
              <w:bottom w:val="single" w:color="auto" w:sz="4" w:space="0"/>
              <w:right w:val="single" w:color="auto" w:sz="4" w:space="0"/>
            </w:tcBorders>
            <w:shd w:val="clear" w:color="auto" w:fill="auto"/>
            <w:vAlign w:val="center"/>
          </w:tcPr>
          <w:p w14:paraId="4C1CA486">
            <w:pPr>
              <w:jc w:val="center"/>
            </w:pPr>
            <w:r>
              <w:rPr>
                <w:rFonts w:ascii="宋体" w:hAnsi="宋体"/>
                <w:sz w:val="18"/>
              </w:rPr>
              <w:t>98.89%</w:t>
            </w:r>
          </w:p>
        </w:tc>
        <w:tc>
          <w:tcPr>
            <w:tcW w:w="720" w:type="dxa"/>
            <w:tcBorders>
              <w:top w:val="nil"/>
              <w:left w:val="nil"/>
              <w:bottom w:val="single" w:color="auto" w:sz="4" w:space="0"/>
              <w:right w:val="single" w:color="auto" w:sz="4" w:space="0"/>
            </w:tcBorders>
            <w:shd w:val="clear" w:color="auto" w:fill="auto"/>
            <w:vAlign w:val="center"/>
          </w:tcPr>
          <w:p w14:paraId="01E09960">
            <w:pPr>
              <w:jc w:val="center"/>
            </w:pPr>
            <w:r>
              <w:rPr>
                <w:rFonts w:ascii="宋体" w:hAnsi="宋体"/>
                <w:sz w:val="18"/>
              </w:rPr>
              <w:t>9.89</w:t>
            </w:r>
          </w:p>
        </w:tc>
        <w:tc>
          <w:tcPr>
            <w:tcW w:w="284" w:type="dxa"/>
            <w:tcBorders>
              <w:top w:val="nil"/>
              <w:left w:val="nil"/>
              <w:bottom w:val="nil"/>
              <w:right w:val="nil"/>
            </w:tcBorders>
            <w:shd w:val="clear" w:color="auto" w:fill="auto"/>
            <w:noWrap/>
            <w:vAlign w:val="center"/>
          </w:tcPr>
          <w:p w14:paraId="2068B28C">
            <w:pPr>
              <w:widowControl/>
              <w:jc w:val="center"/>
              <w:rPr>
                <w:rFonts w:hint="eastAsia" w:ascii="宋体" w:hAnsi="宋体" w:cs="宋体"/>
                <w:b/>
                <w:bCs/>
                <w:kern w:val="0"/>
                <w:sz w:val="18"/>
                <w:szCs w:val="18"/>
              </w:rPr>
            </w:pPr>
          </w:p>
        </w:tc>
      </w:tr>
      <w:tr w14:paraId="1A3BCC40">
        <w:tblPrEx>
          <w:tblCellMar>
            <w:top w:w="0" w:type="dxa"/>
            <w:left w:w="108" w:type="dxa"/>
            <w:bottom w:w="0" w:type="dxa"/>
            <w:right w:w="108" w:type="dxa"/>
          </w:tblCellMar>
        </w:tblPrEx>
        <w:trPr>
          <w:cantSplit/>
          <w:trHeight w:val="287"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12550C">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7155701E">
            <w:pPr>
              <w:widowControl/>
              <w:jc w:val="center"/>
              <w:rPr>
                <w:rFonts w:hint="eastAsia" w:ascii="宋体" w:hAnsi="宋体" w:cs="宋体"/>
                <w:b/>
                <w:bCs/>
                <w:kern w:val="0"/>
                <w:sz w:val="18"/>
                <w:szCs w:val="18"/>
              </w:rPr>
            </w:pPr>
            <w:r>
              <w:rPr>
                <w:rFonts w:hint="eastAsia" w:ascii="宋体" w:hAnsi="宋体" w:cs="宋体"/>
                <w:b/>
                <w:bCs/>
                <w:kern w:val="0"/>
                <w:sz w:val="18"/>
                <w:szCs w:val="18"/>
              </w:rPr>
              <w:t>其中:中央安排（万元）</w:t>
            </w:r>
          </w:p>
        </w:tc>
        <w:tc>
          <w:tcPr>
            <w:tcW w:w="1418" w:type="dxa"/>
            <w:tcBorders>
              <w:top w:val="nil"/>
              <w:left w:val="nil"/>
              <w:bottom w:val="single" w:color="auto" w:sz="4" w:space="0"/>
              <w:right w:val="single" w:color="auto" w:sz="4" w:space="0"/>
            </w:tcBorders>
            <w:shd w:val="clear" w:color="auto" w:fill="auto"/>
            <w:vAlign w:val="center"/>
          </w:tcPr>
          <w:p w14:paraId="75BB2908">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8220BAC">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D269163">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0BA45CE2">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3B8BFC61">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045DEA83">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1FA4BD4">
            <w:pPr>
              <w:widowControl/>
              <w:jc w:val="center"/>
              <w:rPr>
                <w:rFonts w:hint="eastAsia" w:ascii="宋体" w:hAnsi="宋体" w:cs="宋体"/>
                <w:kern w:val="0"/>
                <w:sz w:val="18"/>
                <w:szCs w:val="18"/>
              </w:rPr>
            </w:pPr>
          </w:p>
        </w:tc>
      </w:tr>
      <w:tr w14:paraId="578FE5A2">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3176AA0">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4623885">
            <w:pPr>
              <w:widowControl/>
              <w:jc w:val="center"/>
              <w:rPr>
                <w:rFonts w:hint="eastAsia" w:ascii="宋体" w:hAnsi="宋体" w:cs="宋体"/>
                <w:b/>
                <w:bCs/>
                <w:kern w:val="0"/>
                <w:sz w:val="18"/>
                <w:szCs w:val="18"/>
              </w:rPr>
            </w:pPr>
            <w:r>
              <w:rPr>
                <w:rFonts w:hint="eastAsia" w:ascii="宋体" w:hAnsi="宋体" w:cs="宋体"/>
                <w:b/>
                <w:bCs/>
                <w:kern w:val="0"/>
                <w:sz w:val="18"/>
                <w:szCs w:val="18"/>
              </w:rPr>
              <w:t>自治区安排（万元）</w:t>
            </w:r>
          </w:p>
        </w:tc>
        <w:tc>
          <w:tcPr>
            <w:tcW w:w="1418" w:type="dxa"/>
            <w:tcBorders>
              <w:top w:val="nil"/>
              <w:left w:val="nil"/>
              <w:bottom w:val="single" w:color="auto" w:sz="4" w:space="0"/>
              <w:right w:val="single" w:color="auto" w:sz="4" w:space="0"/>
            </w:tcBorders>
            <w:shd w:val="clear" w:color="auto" w:fill="auto"/>
            <w:vAlign w:val="center"/>
          </w:tcPr>
          <w:p w14:paraId="371F093B">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3CB1EEC8">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11223A0A">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69193AC4">
            <w:pPr>
              <w:widowControl/>
              <w:jc w:val="center"/>
              <w:rPr>
                <w:rFonts w:hint="eastAsia" w:ascii="宋体" w:hAnsi="宋体" w:cs="宋体"/>
                <w:kern w:val="0"/>
                <w:sz w:val="18"/>
                <w:szCs w:val="18"/>
              </w:rPr>
            </w:pPr>
            <w:r>
              <w:rPr>
                <w:rFonts w:hint="eastAsia" w:ascii="宋体" w:hAnsi="宋体"/>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07F066B2">
            <w:pPr>
              <w:widowControl/>
              <w:jc w:val="center"/>
              <w:rPr>
                <w:rFonts w:hint="eastAsia" w:ascii="宋体" w:hAnsi="宋体" w:cs="宋体"/>
                <w:kern w:val="0"/>
                <w:sz w:val="18"/>
                <w:szCs w:val="18"/>
              </w:rPr>
            </w:pPr>
            <w:r>
              <w:rPr>
                <w:rFonts w:hint="eastAsia" w:ascii="宋体" w:hAnsi="宋体"/>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2CA066F3">
            <w:pPr>
              <w:widowControl/>
              <w:jc w:val="center"/>
              <w:rPr>
                <w:rFonts w:hint="eastAsia" w:ascii="宋体" w:hAnsi="宋体" w:cs="宋体"/>
                <w:kern w:val="0"/>
                <w:sz w:val="18"/>
                <w:szCs w:val="18"/>
              </w:rPr>
            </w:pPr>
            <w:r>
              <w:rPr>
                <w:rFonts w:hint="eastAsia" w:ascii="宋体" w:hAnsi="宋体"/>
                <w:sz w:val="18"/>
                <w:szCs w:val="18"/>
              </w:rPr>
              <w:t>-</w:t>
            </w:r>
          </w:p>
        </w:tc>
        <w:tc>
          <w:tcPr>
            <w:tcW w:w="284" w:type="dxa"/>
            <w:tcBorders>
              <w:top w:val="nil"/>
              <w:left w:val="nil"/>
              <w:bottom w:val="nil"/>
              <w:right w:val="nil"/>
            </w:tcBorders>
            <w:shd w:val="clear" w:color="auto" w:fill="auto"/>
            <w:noWrap/>
            <w:vAlign w:val="center"/>
          </w:tcPr>
          <w:p w14:paraId="209A392B">
            <w:pPr>
              <w:widowControl/>
              <w:jc w:val="center"/>
              <w:rPr>
                <w:rFonts w:hint="eastAsia" w:ascii="宋体" w:hAnsi="宋体" w:cs="宋体"/>
                <w:kern w:val="0"/>
                <w:sz w:val="18"/>
                <w:szCs w:val="18"/>
              </w:rPr>
            </w:pPr>
          </w:p>
        </w:tc>
      </w:tr>
      <w:tr w14:paraId="45650509">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6696ED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5CDF2AA">
            <w:pPr>
              <w:widowControl/>
              <w:jc w:val="center"/>
              <w:rPr>
                <w:rFonts w:hint="eastAsia" w:ascii="宋体" w:hAnsi="宋体" w:cs="宋体"/>
                <w:b/>
                <w:bCs/>
                <w:kern w:val="0"/>
                <w:sz w:val="18"/>
                <w:szCs w:val="18"/>
              </w:rPr>
            </w:pPr>
            <w:r>
              <w:rPr>
                <w:rFonts w:hint="eastAsia" w:ascii="宋体" w:hAnsi="宋体" w:cs="宋体"/>
                <w:b/>
                <w:bCs/>
                <w:kern w:val="0"/>
                <w:sz w:val="18"/>
                <w:szCs w:val="18"/>
              </w:rPr>
              <w:t>地（州、市）安排（万元）</w:t>
            </w:r>
          </w:p>
        </w:tc>
        <w:tc>
          <w:tcPr>
            <w:tcW w:w="1418" w:type="dxa"/>
            <w:tcBorders>
              <w:top w:val="nil"/>
              <w:left w:val="nil"/>
              <w:bottom w:val="single" w:color="auto" w:sz="4" w:space="0"/>
              <w:right w:val="single" w:color="auto" w:sz="4" w:space="0"/>
            </w:tcBorders>
            <w:shd w:val="clear" w:color="auto" w:fill="auto"/>
            <w:vAlign w:val="center"/>
          </w:tcPr>
          <w:p w14:paraId="58E3455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21E6FAEF">
            <w:pPr>
              <w:jc w:val="center"/>
            </w:pPr>
            <w:r>
              <w:rPr>
                <w:rFonts w:ascii="宋体" w:hAnsi="宋体"/>
                <w:sz w:val="18"/>
              </w:rPr>
              <w:t>0.00</w:t>
            </w:r>
          </w:p>
        </w:tc>
        <w:tc>
          <w:tcPr>
            <w:tcW w:w="2126" w:type="dxa"/>
            <w:tcBorders>
              <w:top w:val="nil"/>
              <w:left w:val="nil"/>
              <w:bottom w:val="single" w:color="auto" w:sz="4" w:space="0"/>
              <w:right w:val="single" w:color="auto" w:sz="4" w:space="0"/>
            </w:tcBorders>
            <w:shd w:val="clear" w:color="auto" w:fill="auto"/>
            <w:vAlign w:val="center"/>
          </w:tcPr>
          <w:p w14:paraId="353579BE">
            <w:pPr>
              <w:jc w:val="center"/>
            </w:pPr>
            <w:r>
              <w:rPr>
                <w:rFonts w:ascii="宋体" w:hAnsi="宋体"/>
                <w:sz w:val="18"/>
              </w:rPr>
              <w:t>0.00</w:t>
            </w:r>
          </w:p>
        </w:tc>
        <w:tc>
          <w:tcPr>
            <w:tcW w:w="1004" w:type="dxa"/>
            <w:tcBorders>
              <w:top w:val="nil"/>
              <w:left w:val="nil"/>
              <w:bottom w:val="single" w:color="auto" w:sz="4" w:space="0"/>
              <w:right w:val="single" w:color="auto" w:sz="4" w:space="0"/>
            </w:tcBorders>
            <w:shd w:val="clear" w:color="auto" w:fill="auto"/>
            <w:vAlign w:val="center"/>
          </w:tcPr>
          <w:p w14:paraId="5F8C3C7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21F8CE9E">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611B4303">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DE6AC18">
            <w:pPr>
              <w:widowControl/>
              <w:jc w:val="center"/>
              <w:rPr>
                <w:rFonts w:hint="eastAsia" w:ascii="宋体" w:hAnsi="宋体" w:cs="宋体"/>
                <w:kern w:val="0"/>
                <w:sz w:val="18"/>
                <w:szCs w:val="18"/>
              </w:rPr>
            </w:pPr>
          </w:p>
        </w:tc>
      </w:tr>
      <w:tr w14:paraId="136AFACF">
        <w:tblPrEx>
          <w:tblCellMar>
            <w:top w:w="0" w:type="dxa"/>
            <w:left w:w="108" w:type="dxa"/>
            <w:bottom w:w="0" w:type="dxa"/>
            <w:right w:w="108" w:type="dxa"/>
          </w:tblCellMar>
        </w:tblPrEx>
        <w:trPr>
          <w:cantSplit/>
          <w:trHeight w:val="32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7F0EE6">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586B6538">
            <w:pPr>
              <w:widowControl/>
              <w:jc w:val="center"/>
              <w:rPr>
                <w:rFonts w:hint="eastAsia" w:ascii="宋体" w:hAnsi="宋体" w:cs="宋体"/>
                <w:b/>
                <w:bCs/>
                <w:kern w:val="0"/>
                <w:sz w:val="18"/>
                <w:szCs w:val="18"/>
              </w:rPr>
            </w:pPr>
            <w:r>
              <w:rPr>
                <w:rFonts w:hint="eastAsia" w:ascii="宋体" w:hAnsi="宋体" w:cs="宋体"/>
                <w:b/>
                <w:bCs/>
                <w:kern w:val="0"/>
                <w:sz w:val="18"/>
                <w:szCs w:val="18"/>
              </w:rPr>
              <w:t>县（市、区）安排（万元）</w:t>
            </w:r>
          </w:p>
        </w:tc>
        <w:tc>
          <w:tcPr>
            <w:tcW w:w="1418" w:type="dxa"/>
            <w:tcBorders>
              <w:top w:val="nil"/>
              <w:left w:val="nil"/>
              <w:bottom w:val="single" w:color="auto" w:sz="4" w:space="0"/>
              <w:right w:val="single" w:color="auto" w:sz="4" w:space="0"/>
            </w:tcBorders>
            <w:shd w:val="clear" w:color="auto" w:fill="auto"/>
            <w:vAlign w:val="center"/>
          </w:tcPr>
          <w:p w14:paraId="2B17031E">
            <w:pPr>
              <w:jc w:val="center"/>
            </w:pPr>
            <w:r>
              <w:rPr>
                <w:rFonts w:ascii="宋体" w:hAnsi="宋体"/>
                <w:sz w:val="18"/>
              </w:rPr>
              <w:t>176.66</w:t>
            </w:r>
          </w:p>
        </w:tc>
        <w:tc>
          <w:tcPr>
            <w:tcW w:w="1134" w:type="dxa"/>
            <w:tcBorders>
              <w:top w:val="nil"/>
              <w:left w:val="nil"/>
              <w:bottom w:val="single" w:color="auto" w:sz="4" w:space="0"/>
              <w:right w:val="single" w:color="auto" w:sz="4" w:space="0"/>
            </w:tcBorders>
            <w:shd w:val="clear" w:color="auto" w:fill="auto"/>
            <w:vAlign w:val="center"/>
          </w:tcPr>
          <w:p w14:paraId="2CDF4D59">
            <w:pPr>
              <w:jc w:val="center"/>
            </w:pPr>
            <w:r>
              <w:rPr>
                <w:rFonts w:ascii="宋体" w:hAnsi="宋体"/>
                <w:sz w:val="18"/>
              </w:rPr>
              <w:t>218.39</w:t>
            </w:r>
          </w:p>
        </w:tc>
        <w:tc>
          <w:tcPr>
            <w:tcW w:w="2126" w:type="dxa"/>
            <w:tcBorders>
              <w:top w:val="nil"/>
              <w:left w:val="nil"/>
              <w:bottom w:val="single" w:color="auto" w:sz="4" w:space="0"/>
              <w:right w:val="single" w:color="auto" w:sz="4" w:space="0"/>
            </w:tcBorders>
            <w:shd w:val="clear" w:color="auto" w:fill="auto"/>
            <w:vAlign w:val="center"/>
          </w:tcPr>
          <w:p w14:paraId="0DA712B2">
            <w:pPr>
              <w:jc w:val="center"/>
            </w:pPr>
            <w:r>
              <w:rPr>
                <w:rFonts w:ascii="宋体" w:hAnsi="宋体"/>
                <w:sz w:val="18"/>
              </w:rPr>
              <w:t>218.39</w:t>
            </w:r>
          </w:p>
        </w:tc>
        <w:tc>
          <w:tcPr>
            <w:tcW w:w="1004" w:type="dxa"/>
            <w:tcBorders>
              <w:top w:val="nil"/>
              <w:left w:val="nil"/>
              <w:bottom w:val="single" w:color="auto" w:sz="4" w:space="0"/>
              <w:right w:val="single" w:color="auto" w:sz="4" w:space="0"/>
            </w:tcBorders>
            <w:shd w:val="clear" w:color="auto" w:fill="auto"/>
            <w:vAlign w:val="center"/>
          </w:tcPr>
          <w:p w14:paraId="5D84F574">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50C94539">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4716CA1">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1E613CEC">
            <w:pPr>
              <w:widowControl/>
              <w:jc w:val="center"/>
              <w:rPr>
                <w:rFonts w:hint="eastAsia" w:ascii="宋体" w:hAnsi="宋体" w:cs="宋体"/>
                <w:kern w:val="0"/>
                <w:sz w:val="18"/>
                <w:szCs w:val="18"/>
              </w:rPr>
            </w:pPr>
          </w:p>
        </w:tc>
      </w:tr>
      <w:tr w14:paraId="31C25D27">
        <w:tblPrEx>
          <w:tblCellMar>
            <w:top w:w="0" w:type="dxa"/>
            <w:left w:w="108" w:type="dxa"/>
            <w:bottom w:w="0" w:type="dxa"/>
            <w:right w:w="108" w:type="dxa"/>
          </w:tblCellMar>
        </w:tblPrEx>
        <w:trPr>
          <w:cantSplit/>
          <w:trHeight w:val="41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A249F35">
            <w:pPr>
              <w:widowControl/>
              <w:jc w:val="center"/>
              <w:rPr>
                <w:rFonts w:hint="eastAsia" w:ascii="宋体" w:hAnsi="宋体" w:cs="宋体"/>
                <w:b/>
                <w:bCs/>
                <w:kern w:val="0"/>
                <w:sz w:val="18"/>
                <w:szCs w:val="18"/>
              </w:rPr>
            </w:pPr>
          </w:p>
        </w:tc>
        <w:tc>
          <w:tcPr>
            <w:tcW w:w="1417" w:type="dxa"/>
            <w:tcBorders>
              <w:top w:val="nil"/>
              <w:left w:val="nil"/>
              <w:bottom w:val="single" w:color="auto" w:sz="4" w:space="0"/>
              <w:right w:val="single" w:color="auto" w:sz="4" w:space="0"/>
            </w:tcBorders>
            <w:shd w:val="clear" w:color="auto" w:fill="auto"/>
            <w:vAlign w:val="center"/>
          </w:tcPr>
          <w:p w14:paraId="39FC7D16">
            <w:pPr>
              <w:widowControl/>
              <w:jc w:val="center"/>
              <w:rPr>
                <w:rFonts w:hint="eastAsia" w:ascii="宋体" w:hAnsi="宋体" w:cs="宋体"/>
                <w:b/>
                <w:bCs/>
                <w:kern w:val="0"/>
                <w:sz w:val="18"/>
                <w:szCs w:val="18"/>
              </w:rPr>
            </w:pPr>
            <w:r>
              <w:rPr>
                <w:rFonts w:hint="eastAsia" w:ascii="宋体" w:hAnsi="宋体" w:cs="宋体"/>
                <w:b/>
                <w:bCs/>
                <w:kern w:val="0"/>
                <w:sz w:val="18"/>
                <w:szCs w:val="18"/>
              </w:rPr>
              <w:t>其他资金（万元）</w:t>
            </w:r>
          </w:p>
        </w:tc>
        <w:tc>
          <w:tcPr>
            <w:tcW w:w="1418" w:type="dxa"/>
            <w:tcBorders>
              <w:top w:val="nil"/>
              <w:left w:val="nil"/>
              <w:bottom w:val="single" w:color="auto" w:sz="4" w:space="0"/>
              <w:right w:val="single" w:color="auto" w:sz="4" w:space="0"/>
            </w:tcBorders>
            <w:shd w:val="clear" w:color="auto" w:fill="auto"/>
            <w:vAlign w:val="center"/>
          </w:tcPr>
          <w:p w14:paraId="26577DC0">
            <w:pPr>
              <w:jc w:val="center"/>
            </w:pPr>
            <w:r>
              <w:rPr>
                <w:rFonts w:ascii="宋体" w:hAnsi="宋体"/>
                <w:sz w:val="18"/>
              </w:rPr>
              <w:t>0.00</w:t>
            </w:r>
          </w:p>
        </w:tc>
        <w:tc>
          <w:tcPr>
            <w:tcW w:w="1134" w:type="dxa"/>
            <w:tcBorders>
              <w:top w:val="nil"/>
              <w:left w:val="nil"/>
              <w:bottom w:val="single" w:color="auto" w:sz="4" w:space="0"/>
              <w:right w:val="single" w:color="auto" w:sz="4" w:space="0"/>
            </w:tcBorders>
            <w:shd w:val="clear" w:color="auto" w:fill="auto"/>
            <w:vAlign w:val="center"/>
          </w:tcPr>
          <w:p w14:paraId="057FF08A">
            <w:pPr>
              <w:jc w:val="center"/>
            </w:pPr>
            <w:r>
              <w:rPr>
                <w:rFonts w:ascii="宋体" w:hAnsi="宋体"/>
                <w:sz w:val="18"/>
              </w:rPr>
              <w:t>3.14</w:t>
            </w:r>
          </w:p>
        </w:tc>
        <w:tc>
          <w:tcPr>
            <w:tcW w:w="2126" w:type="dxa"/>
            <w:tcBorders>
              <w:top w:val="nil"/>
              <w:left w:val="nil"/>
              <w:bottom w:val="single" w:color="auto" w:sz="4" w:space="0"/>
              <w:right w:val="single" w:color="auto" w:sz="4" w:space="0"/>
            </w:tcBorders>
            <w:shd w:val="clear" w:color="auto" w:fill="auto"/>
            <w:vAlign w:val="center"/>
          </w:tcPr>
          <w:p w14:paraId="183BA40B">
            <w:pPr>
              <w:jc w:val="center"/>
            </w:pPr>
            <w:r>
              <w:rPr>
                <w:rFonts w:ascii="宋体" w:hAnsi="宋体"/>
                <w:sz w:val="18"/>
              </w:rPr>
              <w:t>0.67</w:t>
            </w:r>
          </w:p>
        </w:tc>
        <w:tc>
          <w:tcPr>
            <w:tcW w:w="1004" w:type="dxa"/>
            <w:tcBorders>
              <w:top w:val="nil"/>
              <w:left w:val="nil"/>
              <w:bottom w:val="single" w:color="auto" w:sz="4" w:space="0"/>
              <w:right w:val="single" w:color="auto" w:sz="4" w:space="0"/>
            </w:tcBorders>
            <w:shd w:val="clear" w:color="auto" w:fill="auto"/>
            <w:vAlign w:val="center"/>
          </w:tcPr>
          <w:p w14:paraId="4310FF88">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839" w:type="dxa"/>
            <w:tcBorders>
              <w:top w:val="nil"/>
              <w:left w:val="nil"/>
              <w:bottom w:val="single" w:color="auto" w:sz="4" w:space="0"/>
              <w:right w:val="single" w:color="auto" w:sz="4" w:space="0"/>
            </w:tcBorders>
            <w:shd w:val="clear" w:color="auto" w:fill="auto"/>
            <w:vAlign w:val="center"/>
          </w:tcPr>
          <w:p w14:paraId="7E27CD75">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720" w:type="dxa"/>
            <w:tcBorders>
              <w:top w:val="nil"/>
              <w:left w:val="nil"/>
              <w:bottom w:val="single" w:color="auto" w:sz="4" w:space="0"/>
              <w:right w:val="single" w:color="auto" w:sz="4" w:space="0"/>
            </w:tcBorders>
            <w:shd w:val="clear" w:color="auto" w:fill="auto"/>
            <w:vAlign w:val="center"/>
          </w:tcPr>
          <w:p w14:paraId="58020587">
            <w:pPr>
              <w:widowControl/>
              <w:jc w:val="center"/>
              <w:rPr>
                <w:rFonts w:hint="eastAsia" w:ascii="宋体" w:hAnsi="宋体" w:cs="宋体"/>
                <w:kern w:val="0"/>
                <w:sz w:val="18"/>
                <w:szCs w:val="18"/>
              </w:rPr>
            </w:pPr>
            <w:r>
              <w:rPr>
                <w:rFonts w:hint="eastAsia" w:ascii="宋体" w:hAnsi="宋体" w:cs="宋体"/>
                <w:kern w:val="0"/>
                <w:sz w:val="18"/>
                <w:szCs w:val="18"/>
              </w:rPr>
              <w:t>-</w:t>
            </w:r>
          </w:p>
        </w:tc>
        <w:tc>
          <w:tcPr>
            <w:tcW w:w="284" w:type="dxa"/>
            <w:tcBorders>
              <w:top w:val="nil"/>
              <w:left w:val="nil"/>
              <w:bottom w:val="nil"/>
              <w:right w:val="nil"/>
            </w:tcBorders>
            <w:shd w:val="clear" w:color="auto" w:fill="auto"/>
            <w:noWrap/>
            <w:vAlign w:val="center"/>
          </w:tcPr>
          <w:p w14:paraId="609AE7FA">
            <w:pPr>
              <w:widowControl/>
              <w:jc w:val="center"/>
              <w:rPr>
                <w:rFonts w:hint="eastAsia" w:ascii="宋体" w:hAnsi="宋体" w:cs="宋体"/>
                <w:kern w:val="0"/>
                <w:sz w:val="18"/>
                <w:szCs w:val="18"/>
              </w:rPr>
            </w:pPr>
          </w:p>
        </w:tc>
      </w:tr>
      <w:tr w14:paraId="726A1FA3">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14:paraId="087C7A43">
            <w:pPr>
              <w:widowControl/>
              <w:jc w:val="center"/>
              <w:rPr>
                <w:rFonts w:hint="eastAsia" w:ascii="宋体" w:hAnsi="宋体" w:cs="宋体"/>
                <w:b/>
                <w:bCs/>
                <w:kern w:val="0"/>
                <w:sz w:val="18"/>
                <w:szCs w:val="18"/>
              </w:rPr>
            </w:pPr>
            <w:r>
              <w:rPr>
                <w:rFonts w:hint="eastAsia" w:ascii="宋体" w:hAnsi="宋体" w:cs="宋体"/>
                <w:b/>
                <w:bCs/>
                <w:kern w:val="0"/>
                <w:sz w:val="18"/>
                <w:szCs w:val="18"/>
              </w:rPr>
              <w:t>年度总体目标</w:t>
            </w:r>
          </w:p>
        </w:tc>
        <w:tc>
          <w:tcPr>
            <w:tcW w:w="3969" w:type="dxa"/>
            <w:gridSpan w:val="3"/>
            <w:tcBorders>
              <w:top w:val="single" w:color="auto" w:sz="4" w:space="0"/>
              <w:left w:val="nil"/>
              <w:bottom w:val="single" w:color="auto" w:sz="4" w:space="0"/>
              <w:right w:val="single" w:color="auto" w:sz="4" w:space="0"/>
            </w:tcBorders>
            <w:shd w:val="clear" w:color="auto" w:fill="auto"/>
            <w:noWrap/>
            <w:vAlign w:val="center"/>
          </w:tcPr>
          <w:p w14:paraId="2A6B0EB1">
            <w:pPr>
              <w:widowControl/>
              <w:jc w:val="center"/>
              <w:rPr>
                <w:rFonts w:hint="eastAsia" w:ascii="宋体" w:hAnsi="宋体" w:cs="宋体"/>
                <w:b/>
                <w:bCs/>
                <w:kern w:val="0"/>
                <w:sz w:val="18"/>
                <w:szCs w:val="18"/>
              </w:rPr>
            </w:pPr>
            <w:r>
              <w:rPr>
                <w:rFonts w:hint="eastAsia" w:ascii="宋体" w:hAnsi="宋体" w:cs="宋体"/>
                <w:b/>
                <w:bCs/>
                <w:kern w:val="0"/>
                <w:sz w:val="18"/>
                <w:szCs w:val="18"/>
              </w:rPr>
              <w:t>预期目标</w:t>
            </w:r>
          </w:p>
        </w:tc>
        <w:tc>
          <w:tcPr>
            <w:tcW w:w="4689" w:type="dxa"/>
            <w:gridSpan w:val="4"/>
            <w:tcBorders>
              <w:top w:val="single" w:color="auto" w:sz="4" w:space="0"/>
              <w:left w:val="nil"/>
              <w:bottom w:val="single" w:color="auto" w:sz="4" w:space="0"/>
              <w:right w:val="single" w:color="auto" w:sz="4" w:space="0"/>
            </w:tcBorders>
            <w:shd w:val="clear" w:color="auto" w:fill="auto"/>
            <w:noWrap/>
            <w:vAlign w:val="center"/>
          </w:tcPr>
          <w:p w14:paraId="681F7889">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实际完成情况</w:t>
            </w:r>
          </w:p>
        </w:tc>
        <w:tc>
          <w:tcPr>
            <w:tcW w:w="284" w:type="dxa"/>
            <w:tcBorders>
              <w:top w:val="nil"/>
              <w:left w:val="nil"/>
              <w:bottom w:val="nil"/>
              <w:right w:val="nil"/>
            </w:tcBorders>
            <w:shd w:val="clear" w:color="auto" w:fill="auto"/>
            <w:noWrap/>
            <w:vAlign w:val="center"/>
          </w:tcPr>
          <w:p w14:paraId="1A60109D">
            <w:pPr>
              <w:widowControl/>
              <w:jc w:val="left"/>
              <w:rPr>
                <w:rFonts w:hint="eastAsia" w:ascii="宋体" w:hAnsi="宋体" w:cs="宋体"/>
                <w:b/>
                <w:bCs/>
                <w:kern w:val="0"/>
                <w:sz w:val="18"/>
                <w:szCs w:val="18"/>
              </w:rPr>
            </w:pPr>
          </w:p>
        </w:tc>
      </w:tr>
      <w:tr w14:paraId="403601CA">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C4CB0CA">
            <w:pPr>
              <w:widowControl/>
              <w:jc w:val="left"/>
              <w:rPr>
                <w:rFonts w:hint="eastAsia" w:ascii="宋体" w:hAnsi="宋体" w:cs="宋体"/>
                <w:b/>
                <w:bCs/>
                <w:kern w:val="0"/>
                <w:sz w:val="18"/>
                <w:szCs w:val="18"/>
              </w:rPr>
            </w:pPr>
          </w:p>
        </w:tc>
        <w:tc>
          <w:tcPr>
            <w:tcW w:w="3969" w:type="dxa"/>
            <w:gridSpan w:val="3"/>
            <w:tcBorders>
              <w:top w:val="single" w:color="auto" w:sz="4" w:space="0"/>
              <w:left w:val="nil"/>
              <w:bottom w:val="single" w:color="auto" w:sz="4" w:space="0"/>
              <w:right w:val="single" w:color="auto" w:sz="4" w:space="0"/>
            </w:tcBorders>
            <w:shd w:val="clear" w:color="auto" w:fill="auto"/>
          </w:tcPr>
          <w:p w14:paraId="552729E5">
            <w:pPr>
              <w:jc w:val="left"/>
            </w:pPr>
            <w:r>
              <w:rPr>
                <w:rFonts w:ascii="宋体" w:hAnsi="宋体"/>
                <w:sz w:val="18"/>
              </w:rPr>
              <w:t>贯彻落实中央和省、市委关于离休干部的政治、生活待遇，做好有关综合协调工作；落实离休干部离休费和各项福利待遇的政策调整工作；加强老干部党支部建设的指导工作，抓好离退休支部书记培训，落实好“两项待遇”；组织指导老干部开展健康疗养、文化、体育等有益于老同志身心健康的活动；负责重大节日和经常走访慰问离休干部，抓好老干部重大活动的组织安排，指导有关单位办理离休老干部丧事；做好老干部活动中心、老干部大学业务的开展及指导工作。</w:t>
            </w:r>
          </w:p>
        </w:tc>
        <w:tc>
          <w:tcPr>
            <w:tcW w:w="4689" w:type="dxa"/>
            <w:gridSpan w:val="4"/>
            <w:tcBorders>
              <w:top w:val="single" w:color="auto" w:sz="4" w:space="0"/>
              <w:left w:val="nil"/>
              <w:bottom w:val="single" w:color="auto" w:sz="4" w:space="0"/>
              <w:right w:val="single" w:color="auto" w:sz="4" w:space="0"/>
            </w:tcBorders>
            <w:shd w:val="clear" w:color="auto" w:fill="auto"/>
          </w:tcPr>
          <w:p w14:paraId="5A7F216A">
            <w:pPr>
              <w:jc w:val="left"/>
            </w:pPr>
            <w:r>
              <w:rPr>
                <w:rFonts w:ascii="宋体" w:hAnsi="宋体"/>
                <w:sz w:val="18"/>
              </w:rPr>
              <w:t>落实离退休干部的政治待遇，为离休干部征订《老年康乐报》《金秋》杂志，为全区1024名退休干部征订《老年康乐报》，落实生活待遇，全年为离休干部缴纳医疗保障金26.4万元，重大节日和经常走访慰问离休干部，并投入1639500元慰问离退休干部4385人次，为72名离退休干部落实了提高生活待遇政策，投入67900元为92名退休干部进行体检，，家访老干部59人次，解决老干部诉求7件。加强老干部党支部建设的指导工作，组织离退休支部开展党旗映天山主题党日活动9场次，抓好离退休支部书记培训，落实好“两项待遇”；组织指导老干部开展健康疗养98人次，指导有关单位办理离休老干部丧事；为130名去世老干部办理了善后事宜，保障老干部活动中心正常运转。</w:t>
            </w:r>
          </w:p>
        </w:tc>
        <w:tc>
          <w:tcPr>
            <w:tcW w:w="284" w:type="dxa"/>
            <w:tcBorders>
              <w:top w:val="nil"/>
              <w:left w:val="nil"/>
              <w:bottom w:val="nil"/>
              <w:right w:val="nil"/>
            </w:tcBorders>
            <w:shd w:val="clear" w:color="auto" w:fill="auto"/>
            <w:noWrap/>
            <w:vAlign w:val="center"/>
          </w:tcPr>
          <w:p w14:paraId="5A31B693">
            <w:pPr>
              <w:widowControl/>
              <w:jc w:val="left"/>
              <w:rPr>
                <w:rFonts w:hint="eastAsia" w:ascii="宋体" w:hAnsi="宋体" w:cs="宋体"/>
                <w:kern w:val="0"/>
                <w:sz w:val="18"/>
                <w:szCs w:val="18"/>
              </w:rPr>
            </w:pPr>
          </w:p>
        </w:tc>
      </w:tr>
      <w:tr w14:paraId="6A2FB194">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shd w:val="clear" w:color="auto" w:fill="auto"/>
            <w:vAlign w:val="center"/>
          </w:tcPr>
          <w:p w14:paraId="72EF7ACC">
            <w:pPr>
              <w:widowControl/>
              <w:jc w:val="center"/>
              <w:rPr>
                <w:rFonts w:hint="eastAsia" w:ascii="宋体" w:hAnsi="宋体" w:cs="宋体"/>
                <w:b/>
                <w:bCs/>
                <w:kern w:val="0"/>
                <w:sz w:val="18"/>
                <w:szCs w:val="18"/>
              </w:rPr>
            </w:pPr>
            <w:r>
              <w:rPr>
                <w:rFonts w:hint="eastAsia" w:ascii="宋体" w:hAnsi="宋体" w:cs="宋体"/>
                <w:b/>
                <w:bCs/>
                <w:kern w:val="0"/>
                <w:sz w:val="18"/>
                <w:szCs w:val="18"/>
              </w:rPr>
              <w:t>一级指标</w:t>
            </w:r>
          </w:p>
        </w:tc>
        <w:tc>
          <w:tcPr>
            <w:tcW w:w="1417" w:type="dxa"/>
            <w:tcBorders>
              <w:top w:val="nil"/>
              <w:left w:val="nil"/>
              <w:bottom w:val="single" w:color="auto" w:sz="4" w:space="0"/>
              <w:right w:val="single" w:color="auto" w:sz="4" w:space="0"/>
            </w:tcBorders>
            <w:shd w:val="clear" w:color="auto" w:fill="auto"/>
            <w:vAlign w:val="center"/>
          </w:tcPr>
          <w:p w14:paraId="6846CAD5">
            <w:pPr>
              <w:widowControl/>
              <w:jc w:val="center"/>
              <w:rPr>
                <w:rFonts w:hint="eastAsia" w:ascii="宋体" w:hAnsi="宋体" w:cs="宋体"/>
                <w:b/>
                <w:bCs/>
                <w:kern w:val="0"/>
                <w:sz w:val="18"/>
                <w:szCs w:val="18"/>
              </w:rPr>
            </w:pPr>
            <w:r>
              <w:rPr>
                <w:rFonts w:hint="eastAsia" w:ascii="宋体" w:hAnsi="宋体" w:cs="宋体"/>
                <w:b/>
                <w:bCs/>
                <w:kern w:val="0"/>
                <w:sz w:val="18"/>
                <w:szCs w:val="18"/>
              </w:rPr>
              <w:t>二级指标</w:t>
            </w:r>
          </w:p>
        </w:tc>
        <w:tc>
          <w:tcPr>
            <w:tcW w:w="1418" w:type="dxa"/>
            <w:tcBorders>
              <w:top w:val="nil"/>
              <w:left w:val="nil"/>
              <w:bottom w:val="single" w:color="auto" w:sz="4" w:space="0"/>
              <w:right w:val="single" w:color="auto" w:sz="4" w:space="0"/>
            </w:tcBorders>
            <w:shd w:val="clear" w:color="auto" w:fill="auto"/>
            <w:vAlign w:val="center"/>
          </w:tcPr>
          <w:p w14:paraId="7EE04EC7">
            <w:pPr>
              <w:widowControl/>
              <w:jc w:val="center"/>
              <w:rPr>
                <w:rFonts w:hint="eastAsia" w:ascii="宋体" w:hAnsi="宋体" w:cs="宋体"/>
                <w:b/>
                <w:bCs/>
                <w:kern w:val="0"/>
                <w:sz w:val="18"/>
                <w:szCs w:val="18"/>
              </w:rPr>
            </w:pPr>
            <w:r>
              <w:rPr>
                <w:rFonts w:hint="eastAsia" w:ascii="宋体" w:hAnsi="宋体" w:cs="宋体"/>
                <w:b/>
                <w:bCs/>
                <w:kern w:val="0"/>
                <w:sz w:val="18"/>
                <w:szCs w:val="18"/>
              </w:rPr>
              <w:t>三级指标</w:t>
            </w:r>
          </w:p>
        </w:tc>
        <w:tc>
          <w:tcPr>
            <w:tcW w:w="1134" w:type="dxa"/>
            <w:tcBorders>
              <w:top w:val="nil"/>
              <w:left w:val="nil"/>
              <w:bottom w:val="single" w:color="auto" w:sz="4" w:space="0"/>
              <w:right w:val="single" w:color="auto" w:sz="4" w:space="0"/>
            </w:tcBorders>
            <w:shd w:val="clear" w:color="auto" w:fill="auto"/>
            <w:vAlign w:val="center"/>
          </w:tcPr>
          <w:p w14:paraId="7E3B1CBA">
            <w:pPr>
              <w:widowControl/>
              <w:jc w:val="center"/>
              <w:rPr>
                <w:rFonts w:hint="eastAsia" w:ascii="宋体" w:hAnsi="宋体" w:cs="宋体"/>
                <w:b/>
                <w:bCs/>
                <w:kern w:val="0"/>
                <w:sz w:val="18"/>
                <w:szCs w:val="18"/>
              </w:rPr>
            </w:pPr>
            <w:r>
              <w:rPr>
                <w:rFonts w:hint="eastAsia" w:ascii="宋体" w:hAnsi="宋体" w:cs="宋体"/>
                <w:b/>
                <w:bCs/>
                <w:kern w:val="0"/>
                <w:sz w:val="18"/>
                <w:szCs w:val="18"/>
              </w:rPr>
              <w:t>预期指标值</w:t>
            </w:r>
          </w:p>
        </w:tc>
        <w:tc>
          <w:tcPr>
            <w:tcW w:w="2126" w:type="dxa"/>
            <w:tcBorders>
              <w:top w:val="nil"/>
              <w:left w:val="nil"/>
              <w:bottom w:val="single" w:color="auto" w:sz="4" w:space="0"/>
              <w:right w:val="single" w:color="auto" w:sz="4" w:space="0"/>
            </w:tcBorders>
            <w:shd w:val="clear" w:color="auto" w:fill="auto"/>
            <w:vAlign w:val="center"/>
          </w:tcPr>
          <w:p w14:paraId="3CCA1643">
            <w:pPr>
              <w:widowControl/>
              <w:jc w:val="center"/>
              <w:rPr>
                <w:rFonts w:hint="eastAsia" w:ascii="宋体" w:hAnsi="宋体" w:cs="宋体"/>
                <w:b/>
                <w:bCs/>
                <w:kern w:val="0"/>
                <w:sz w:val="18"/>
                <w:szCs w:val="18"/>
              </w:rPr>
            </w:pPr>
            <w:r>
              <w:rPr>
                <w:rFonts w:hint="eastAsia" w:ascii="宋体" w:hAnsi="宋体" w:cs="宋体"/>
                <w:b/>
                <w:bCs/>
                <w:kern w:val="0"/>
                <w:sz w:val="18"/>
                <w:szCs w:val="18"/>
              </w:rPr>
              <w:t>指标值设定依据</w:t>
            </w:r>
          </w:p>
        </w:tc>
        <w:tc>
          <w:tcPr>
            <w:tcW w:w="1004" w:type="dxa"/>
            <w:tcBorders>
              <w:top w:val="nil"/>
              <w:left w:val="nil"/>
              <w:bottom w:val="single" w:color="auto" w:sz="4" w:space="0"/>
              <w:right w:val="single" w:color="auto" w:sz="4" w:space="0"/>
            </w:tcBorders>
            <w:shd w:val="clear" w:color="auto" w:fill="auto"/>
            <w:vAlign w:val="center"/>
          </w:tcPr>
          <w:p w14:paraId="2FC4EA92">
            <w:pPr>
              <w:widowControl/>
              <w:jc w:val="center"/>
              <w:rPr>
                <w:rFonts w:hint="eastAsia" w:ascii="宋体" w:hAnsi="宋体" w:cs="宋体"/>
                <w:b/>
                <w:bCs/>
                <w:kern w:val="0"/>
                <w:sz w:val="18"/>
                <w:szCs w:val="18"/>
              </w:rPr>
            </w:pPr>
            <w:r>
              <w:rPr>
                <w:rFonts w:hint="eastAsia" w:ascii="宋体" w:hAnsi="宋体" w:cs="宋体"/>
                <w:b/>
                <w:bCs/>
                <w:kern w:val="0"/>
                <w:sz w:val="18"/>
                <w:szCs w:val="18"/>
              </w:rPr>
              <w:t>实际完成指标值</w:t>
            </w:r>
          </w:p>
        </w:tc>
        <w:tc>
          <w:tcPr>
            <w:tcW w:w="839" w:type="dxa"/>
            <w:tcBorders>
              <w:top w:val="nil"/>
              <w:left w:val="nil"/>
              <w:bottom w:val="single" w:color="auto" w:sz="4" w:space="0"/>
              <w:right w:val="single" w:color="auto" w:sz="4" w:space="0"/>
            </w:tcBorders>
            <w:shd w:val="clear" w:color="auto" w:fill="auto"/>
            <w:vAlign w:val="center"/>
          </w:tcPr>
          <w:p w14:paraId="3067C1E6">
            <w:pPr>
              <w:widowControl/>
              <w:jc w:val="center"/>
              <w:rPr>
                <w:rFonts w:hint="eastAsia" w:ascii="宋体" w:hAnsi="宋体" w:cs="宋体"/>
                <w:b/>
                <w:bCs/>
                <w:kern w:val="0"/>
                <w:sz w:val="18"/>
                <w:szCs w:val="18"/>
              </w:rPr>
            </w:pPr>
            <w:r>
              <w:rPr>
                <w:rFonts w:hint="eastAsia" w:ascii="宋体" w:hAnsi="宋体" w:cs="宋体"/>
                <w:b/>
                <w:bCs/>
                <w:kern w:val="0"/>
                <w:sz w:val="18"/>
                <w:szCs w:val="18"/>
              </w:rPr>
              <w:t>分值权重</w:t>
            </w:r>
          </w:p>
        </w:tc>
        <w:tc>
          <w:tcPr>
            <w:tcW w:w="720" w:type="dxa"/>
            <w:tcBorders>
              <w:top w:val="nil"/>
              <w:left w:val="nil"/>
              <w:bottom w:val="single" w:color="auto" w:sz="4" w:space="0"/>
              <w:right w:val="single" w:color="auto" w:sz="4" w:space="0"/>
            </w:tcBorders>
            <w:shd w:val="clear" w:color="auto" w:fill="auto"/>
            <w:vAlign w:val="center"/>
          </w:tcPr>
          <w:p w14:paraId="17866CC0">
            <w:pPr>
              <w:widowControl/>
              <w:jc w:val="center"/>
              <w:rPr>
                <w:rFonts w:hint="eastAsia" w:ascii="宋体" w:hAnsi="宋体" w:cs="宋体"/>
                <w:b/>
                <w:bCs/>
                <w:kern w:val="0"/>
                <w:sz w:val="18"/>
                <w:szCs w:val="18"/>
              </w:rPr>
            </w:pPr>
            <w:r>
              <w:rPr>
                <w:rFonts w:hint="eastAsia" w:ascii="宋体" w:hAnsi="宋体" w:cs="宋体"/>
                <w:b/>
                <w:bCs/>
                <w:kern w:val="0"/>
                <w:sz w:val="18"/>
                <w:szCs w:val="18"/>
              </w:rPr>
              <w:t>得分</w:t>
            </w:r>
          </w:p>
        </w:tc>
        <w:tc>
          <w:tcPr>
            <w:tcW w:w="284" w:type="dxa"/>
            <w:tcBorders>
              <w:top w:val="nil"/>
              <w:left w:val="nil"/>
              <w:bottom w:val="nil"/>
              <w:right w:val="nil"/>
            </w:tcBorders>
            <w:shd w:val="clear" w:color="auto" w:fill="auto"/>
            <w:noWrap/>
            <w:vAlign w:val="center"/>
          </w:tcPr>
          <w:p w14:paraId="1B06AD36">
            <w:pPr>
              <w:widowControl/>
              <w:jc w:val="left"/>
              <w:rPr>
                <w:rFonts w:hint="eastAsia" w:ascii="宋体" w:hAnsi="宋体" w:cs="宋体"/>
                <w:b/>
                <w:bCs/>
                <w:kern w:val="0"/>
                <w:sz w:val="18"/>
                <w:szCs w:val="18"/>
              </w:rPr>
            </w:pPr>
          </w:p>
        </w:tc>
      </w:tr>
      <w:tr w14:paraId="568F8465">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14:paraId="42BC671D">
            <w:pPr>
              <w:jc w:val="center"/>
            </w:pPr>
            <w:r>
              <w:rPr>
                <w:rFonts w:ascii="宋体" w:hAnsi="宋体"/>
                <w:sz w:val="18"/>
              </w:rPr>
              <w:t>履职效能</w:t>
            </w:r>
          </w:p>
        </w:tc>
        <w:tc>
          <w:tcPr>
            <w:tcW w:w="1417" w:type="dxa"/>
            <w:vMerge w:val="restart"/>
            <w:tcBorders>
              <w:top w:val="nil"/>
              <w:left w:val="nil"/>
              <w:bottom w:val="single" w:color="auto" w:sz="4" w:space="0"/>
              <w:right w:val="single" w:color="auto" w:sz="4" w:space="0"/>
            </w:tcBorders>
            <w:shd w:val="clear" w:color="auto" w:fill="auto"/>
            <w:noWrap/>
            <w:vAlign w:val="center"/>
          </w:tcPr>
          <w:p w14:paraId="50CC9009">
            <w:pPr>
              <w:jc w:val="center"/>
            </w:pPr>
            <w:r>
              <w:rPr>
                <w:rFonts w:ascii="宋体" w:hAnsi="宋体"/>
                <w:sz w:val="18"/>
              </w:rPr>
              <w:t>数量指标</w:t>
            </w:r>
          </w:p>
        </w:tc>
        <w:tc>
          <w:tcPr>
            <w:tcW w:w="1418" w:type="dxa"/>
            <w:tcBorders>
              <w:top w:val="nil"/>
              <w:left w:val="nil"/>
              <w:bottom w:val="single" w:color="auto" w:sz="4" w:space="0"/>
              <w:right w:val="single" w:color="auto" w:sz="4" w:space="0"/>
            </w:tcBorders>
            <w:shd w:val="clear" w:color="auto" w:fill="auto"/>
            <w:noWrap/>
            <w:vAlign w:val="center"/>
          </w:tcPr>
          <w:p w14:paraId="52BE9491">
            <w:pPr>
              <w:jc w:val="center"/>
            </w:pPr>
            <w:r>
              <w:rPr>
                <w:rFonts w:ascii="宋体" w:hAnsi="宋体"/>
                <w:sz w:val="18"/>
              </w:rPr>
              <w:t>走访慰问离退休干部</w:t>
            </w:r>
          </w:p>
        </w:tc>
        <w:tc>
          <w:tcPr>
            <w:tcW w:w="1134" w:type="dxa"/>
            <w:tcBorders>
              <w:top w:val="nil"/>
              <w:left w:val="nil"/>
              <w:bottom w:val="single" w:color="auto" w:sz="4" w:space="0"/>
              <w:right w:val="single" w:color="auto" w:sz="4" w:space="0"/>
            </w:tcBorders>
            <w:shd w:val="clear" w:color="auto" w:fill="auto"/>
            <w:noWrap/>
            <w:vAlign w:val="center"/>
          </w:tcPr>
          <w:p w14:paraId="74565CB5">
            <w:pPr>
              <w:jc w:val="center"/>
            </w:pPr>
            <w:r>
              <w:rPr>
                <w:rFonts w:ascii="宋体" w:hAnsi="宋体"/>
                <w:sz w:val="18"/>
              </w:rPr>
              <w:t>=100</w:t>
            </w:r>
          </w:p>
        </w:tc>
        <w:tc>
          <w:tcPr>
            <w:tcW w:w="2126" w:type="dxa"/>
            <w:tcBorders>
              <w:top w:val="nil"/>
              <w:left w:val="nil"/>
              <w:bottom w:val="single" w:color="auto" w:sz="4" w:space="0"/>
              <w:right w:val="single" w:color="auto" w:sz="4" w:space="0"/>
            </w:tcBorders>
            <w:shd w:val="clear" w:color="auto" w:fill="auto"/>
            <w:noWrap/>
            <w:vAlign w:val="center"/>
          </w:tcPr>
          <w:p w14:paraId="302F8A62">
            <w:pPr>
              <w:jc w:val="center"/>
            </w:pPr>
            <w:r>
              <w:rPr>
                <w:rFonts w:ascii="宋体" w:hAnsi="宋体"/>
                <w:sz w:val="18"/>
              </w:rPr>
              <w:t>新党老明电【2019】7号《关于进一步完善全区离退休干部走访看望常态化制度化通知》</w:t>
            </w:r>
          </w:p>
        </w:tc>
        <w:tc>
          <w:tcPr>
            <w:tcW w:w="1004" w:type="dxa"/>
            <w:tcBorders>
              <w:top w:val="nil"/>
              <w:left w:val="nil"/>
              <w:bottom w:val="single" w:color="auto" w:sz="4" w:space="0"/>
              <w:right w:val="single" w:color="auto" w:sz="4" w:space="0"/>
            </w:tcBorders>
            <w:shd w:val="clear" w:color="auto" w:fill="auto"/>
            <w:noWrap/>
            <w:vAlign w:val="center"/>
          </w:tcPr>
          <w:p w14:paraId="2ADCAA8B">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6E876146">
            <w:pPr>
              <w:jc w:val="center"/>
            </w:pPr>
            <w:r>
              <w:rPr>
                <w:rFonts w:ascii="宋体" w:hAnsi="宋体"/>
                <w:sz w:val="18"/>
              </w:rPr>
              <w:t>40</w:t>
            </w:r>
          </w:p>
        </w:tc>
        <w:tc>
          <w:tcPr>
            <w:tcW w:w="720" w:type="dxa"/>
            <w:tcBorders>
              <w:top w:val="nil"/>
              <w:left w:val="nil"/>
              <w:bottom w:val="single" w:color="auto" w:sz="4" w:space="0"/>
              <w:right w:val="single" w:color="auto" w:sz="4" w:space="0"/>
            </w:tcBorders>
            <w:shd w:val="clear" w:color="auto" w:fill="auto"/>
            <w:noWrap/>
            <w:vAlign w:val="center"/>
          </w:tcPr>
          <w:p w14:paraId="5AAB9EE8">
            <w:pPr>
              <w:jc w:val="center"/>
            </w:pPr>
            <w:r>
              <w:rPr>
                <w:rFonts w:ascii="宋体" w:hAnsi="宋体"/>
                <w:sz w:val="18"/>
              </w:rPr>
              <w:t>40</w:t>
            </w:r>
          </w:p>
        </w:tc>
        <w:tc>
          <w:tcPr>
            <w:tcW w:w="284" w:type="dxa"/>
            <w:tcBorders>
              <w:top w:val="nil"/>
              <w:left w:val="nil"/>
              <w:bottom w:val="nil"/>
              <w:right w:val="nil"/>
            </w:tcBorders>
            <w:shd w:val="clear" w:color="auto" w:fill="auto"/>
            <w:noWrap/>
            <w:vAlign w:val="center"/>
          </w:tcPr>
          <w:p w14:paraId="04FC1A74">
            <w:pPr>
              <w:widowControl/>
              <w:jc w:val="center"/>
              <w:rPr>
                <w:rFonts w:hint="eastAsia" w:ascii="宋体" w:hAnsi="宋体" w:cs="宋体"/>
                <w:kern w:val="0"/>
                <w:sz w:val="18"/>
                <w:szCs w:val="18"/>
              </w:rPr>
            </w:pPr>
          </w:p>
        </w:tc>
      </w:tr>
      <w:tr w14:paraId="41775998">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5AD6EFA1">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02B3E4A2">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4A56D8F8">
            <w:pPr>
              <w:jc w:val="center"/>
            </w:pPr>
            <w:r>
              <w:rPr>
                <w:rFonts w:ascii="宋体" w:hAnsi="宋体"/>
                <w:sz w:val="18"/>
              </w:rPr>
              <w:t>离退休干部党支部创建</w:t>
            </w:r>
          </w:p>
        </w:tc>
        <w:tc>
          <w:tcPr>
            <w:tcW w:w="1134" w:type="dxa"/>
            <w:tcBorders>
              <w:top w:val="nil"/>
              <w:left w:val="nil"/>
              <w:bottom w:val="single" w:color="auto" w:sz="4" w:space="0"/>
              <w:right w:val="single" w:color="auto" w:sz="4" w:space="0"/>
            </w:tcBorders>
            <w:shd w:val="clear" w:color="auto" w:fill="auto"/>
            <w:noWrap/>
            <w:vAlign w:val="center"/>
          </w:tcPr>
          <w:p w14:paraId="00CE6BD4">
            <w:pPr>
              <w:jc w:val="center"/>
            </w:pPr>
            <w:r>
              <w:rPr>
                <w:rFonts w:ascii="宋体" w:hAnsi="宋体"/>
                <w:sz w:val="18"/>
              </w:rPr>
              <w:t>&gt;=60</w:t>
            </w:r>
          </w:p>
        </w:tc>
        <w:tc>
          <w:tcPr>
            <w:tcW w:w="2126" w:type="dxa"/>
            <w:tcBorders>
              <w:top w:val="nil"/>
              <w:left w:val="nil"/>
              <w:bottom w:val="single" w:color="auto" w:sz="4" w:space="0"/>
              <w:right w:val="single" w:color="auto" w:sz="4" w:space="0"/>
            </w:tcBorders>
            <w:shd w:val="clear" w:color="auto" w:fill="auto"/>
            <w:noWrap/>
            <w:vAlign w:val="center"/>
          </w:tcPr>
          <w:p w14:paraId="0A0B644F">
            <w:pPr>
              <w:jc w:val="center"/>
            </w:pPr>
            <w:r>
              <w:rPr>
                <w:rFonts w:ascii="宋体" w:hAnsi="宋体"/>
                <w:sz w:val="18"/>
              </w:rPr>
              <w:t>乌党组字【2022】9号《自治区离退休党支部标准化、规范化建设指导意见》的通知</w:t>
            </w:r>
          </w:p>
        </w:tc>
        <w:tc>
          <w:tcPr>
            <w:tcW w:w="1004" w:type="dxa"/>
            <w:tcBorders>
              <w:top w:val="nil"/>
              <w:left w:val="nil"/>
              <w:bottom w:val="single" w:color="auto" w:sz="4" w:space="0"/>
              <w:right w:val="single" w:color="auto" w:sz="4" w:space="0"/>
            </w:tcBorders>
            <w:shd w:val="clear" w:color="auto" w:fill="auto"/>
            <w:noWrap/>
            <w:vAlign w:val="center"/>
          </w:tcPr>
          <w:p w14:paraId="7213D854">
            <w:pPr>
              <w:jc w:val="center"/>
            </w:pPr>
            <w:r>
              <w:rPr>
                <w:rFonts w:ascii="宋体" w:hAnsi="宋体"/>
                <w:sz w:val="18"/>
              </w:rPr>
              <w:t>100</w:t>
            </w:r>
          </w:p>
        </w:tc>
        <w:tc>
          <w:tcPr>
            <w:tcW w:w="839" w:type="dxa"/>
            <w:tcBorders>
              <w:top w:val="nil"/>
              <w:left w:val="nil"/>
              <w:bottom w:val="single" w:color="auto" w:sz="4" w:space="0"/>
              <w:right w:val="single" w:color="auto" w:sz="4" w:space="0"/>
            </w:tcBorders>
            <w:shd w:val="clear" w:color="auto" w:fill="auto"/>
            <w:noWrap/>
            <w:vAlign w:val="center"/>
          </w:tcPr>
          <w:p w14:paraId="7E5F0B9B">
            <w:pPr>
              <w:jc w:val="center"/>
            </w:pPr>
            <w:r>
              <w:rPr>
                <w:rFonts w:ascii="宋体" w:hAnsi="宋体"/>
                <w:sz w:val="18"/>
              </w:rPr>
              <w:t>15</w:t>
            </w:r>
          </w:p>
        </w:tc>
        <w:tc>
          <w:tcPr>
            <w:tcW w:w="720" w:type="dxa"/>
            <w:tcBorders>
              <w:top w:val="nil"/>
              <w:left w:val="nil"/>
              <w:bottom w:val="single" w:color="auto" w:sz="4" w:space="0"/>
              <w:right w:val="single" w:color="auto" w:sz="4" w:space="0"/>
            </w:tcBorders>
            <w:shd w:val="clear" w:color="auto" w:fill="auto"/>
            <w:noWrap/>
            <w:vAlign w:val="center"/>
          </w:tcPr>
          <w:p w14:paraId="1F4D2FEC">
            <w:pPr>
              <w:jc w:val="center"/>
            </w:pPr>
            <w:r>
              <w:rPr>
                <w:rFonts w:ascii="宋体" w:hAnsi="宋体"/>
                <w:sz w:val="18"/>
              </w:rPr>
              <w:t>15</w:t>
            </w:r>
          </w:p>
        </w:tc>
        <w:tc>
          <w:tcPr>
            <w:tcW w:w="284" w:type="dxa"/>
            <w:tcBorders>
              <w:top w:val="nil"/>
              <w:left w:val="nil"/>
              <w:bottom w:val="nil"/>
              <w:right w:val="nil"/>
            </w:tcBorders>
            <w:shd w:val="clear" w:color="auto" w:fill="auto"/>
            <w:noWrap/>
            <w:vAlign w:val="center"/>
          </w:tcPr>
          <w:p w14:paraId="6F3438E3">
            <w:pPr>
              <w:widowControl/>
              <w:jc w:val="center"/>
              <w:rPr>
                <w:rFonts w:hint="eastAsia" w:ascii="宋体" w:hAnsi="宋体" w:cs="宋体"/>
                <w:kern w:val="0"/>
                <w:sz w:val="18"/>
                <w:szCs w:val="18"/>
              </w:rPr>
            </w:pPr>
          </w:p>
        </w:tc>
      </w:tr>
      <w:tr w14:paraId="3E657433">
        <w:tblPrEx>
          <w:tblCellMar>
            <w:top w:w="0" w:type="dxa"/>
            <w:left w:w="108" w:type="dxa"/>
            <w:bottom w:w="0" w:type="dxa"/>
            <w:right w:w="108" w:type="dxa"/>
          </w:tblCellMar>
        </w:tblPrEx>
        <w:trPr>
          <w:cantSplit/>
          <w:trHeight w:val="740" w:hRule="atLeast"/>
        </w:trPr>
        <w:tc>
          <w:tcPr>
            <w:tcW w:w="993" w:type="dxa"/>
            <w:vMerge w:val="continue"/>
            <w:tcBorders>
              <w:top w:val="single" w:color="auto" w:sz="4" w:space="0"/>
              <w:left w:val="single" w:color="auto" w:sz="4" w:space="0"/>
              <w:bottom w:val="single" w:color="auto" w:sz="4" w:space="0"/>
              <w:right w:val="single" w:color="auto" w:sz="4" w:space="0"/>
            </w:tcBorders>
            <w:shd w:val="clear" w:color="auto" w:fill="auto"/>
            <w:noWrap/>
            <w:vAlign w:val="center"/>
          </w:tcPr>
          <w:p w14:paraId="1AB5033F">
            <w:pPr>
              <w:widowControl/>
              <w:jc w:val="center"/>
              <w:rPr>
                <w:rFonts w:hint="eastAsia" w:ascii="宋体" w:hAnsi="宋体" w:cs="宋体"/>
                <w:kern w:val="0"/>
                <w:sz w:val="18"/>
                <w:szCs w:val="18"/>
              </w:rPr>
            </w:pPr>
          </w:p>
        </w:tc>
        <w:tc>
          <w:tcPr>
            <w:tcW w:w="1417" w:type="dxa"/>
            <w:vMerge w:val="continue"/>
            <w:tcBorders>
              <w:top w:val="nil"/>
              <w:left w:val="nil"/>
              <w:bottom w:val="single" w:color="auto" w:sz="4" w:space="0"/>
              <w:right w:val="single" w:color="auto" w:sz="4" w:space="0"/>
            </w:tcBorders>
            <w:shd w:val="clear" w:color="auto" w:fill="auto"/>
            <w:noWrap/>
            <w:vAlign w:val="center"/>
          </w:tcPr>
          <w:p w14:paraId="2D4A585C">
            <w:pPr>
              <w:widowControl/>
              <w:jc w:val="center"/>
              <w:rPr>
                <w:rFonts w:hint="eastAsia" w:ascii="宋体" w:hAnsi="宋体" w:cs="宋体"/>
                <w:kern w:val="0"/>
                <w:sz w:val="18"/>
                <w:szCs w:val="18"/>
              </w:rPr>
            </w:pPr>
          </w:p>
        </w:tc>
        <w:tc>
          <w:tcPr>
            <w:tcW w:w="1418" w:type="dxa"/>
            <w:tcBorders>
              <w:top w:val="nil"/>
              <w:left w:val="nil"/>
              <w:bottom w:val="single" w:color="auto" w:sz="4" w:space="0"/>
              <w:right w:val="single" w:color="auto" w:sz="4" w:space="0"/>
            </w:tcBorders>
            <w:shd w:val="clear" w:color="auto" w:fill="auto"/>
            <w:noWrap/>
            <w:vAlign w:val="center"/>
          </w:tcPr>
          <w:p w14:paraId="182C9E69">
            <w:pPr>
              <w:jc w:val="center"/>
            </w:pPr>
            <w:r>
              <w:rPr>
                <w:rFonts w:ascii="宋体" w:hAnsi="宋体"/>
                <w:sz w:val="18"/>
              </w:rPr>
              <w:t>完善离退休干部工作领导制度机制，召开专题研究会</w:t>
            </w:r>
          </w:p>
        </w:tc>
        <w:tc>
          <w:tcPr>
            <w:tcW w:w="1134" w:type="dxa"/>
            <w:tcBorders>
              <w:top w:val="nil"/>
              <w:left w:val="nil"/>
              <w:bottom w:val="single" w:color="auto" w:sz="4" w:space="0"/>
              <w:right w:val="single" w:color="auto" w:sz="4" w:space="0"/>
            </w:tcBorders>
            <w:shd w:val="clear" w:color="auto" w:fill="auto"/>
            <w:noWrap/>
            <w:vAlign w:val="center"/>
          </w:tcPr>
          <w:p w14:paraId="02C5E596">
            <w:pPr>
              <w:jc w:val="center"/>
            </w:pPr>
            <w:r>
              <w:rPr>
                <w:rFonts w:ascii="宋体" w:hAnsi="宋体"/>
                <w:sz w:val="18"/>
              </w:rPr>
              <w:t>&gt;=1次</w:t>
            </w:r>
          </w:p>
        </w:tc>
        <w:tc>
          <w:tcPr>
            <w:tcW w:w="2126" w:type="dxa"/>
            <w:tcBorders>
              <w:top w:val="nil"/>
              <w:left w:val="nil"/>
              <w:bottom w:val="single" w:color="auto" w:sz="4" w:space="0"/>
              <w:right w:val="single" w:color="auto" w:sz="4" w:space="0"/>
            </w:tcBorders>
            <w:shd w:val="clear" w:color="auto" w:fill="auto"/>
            <w:noWrap/>
            <w:vAlign w:val="center"/>
          </w:tcPr>
          <w:p w14:paraId="7D054AE2">
            <w:pPr>
              <w:jc w:val="center"/>
            </w:pPr>
            <w:r>
              <w:rPr>
                <w:rFonts w:ascii="宋体" w:hAnsi="宋体"/>
                <w:sz w:val="18"/>
              </w:rPr>
              <w:t>关于进一步加强和改进离退休干部工作的实施意见</w:t>
            </w:r>
          </w:p>
        </w:tc>
        <w:tc>
          <w:tcPr>
            <w:tcW w:w="1004" w:type="dxa"/>
            <w:tcBorders>
              <w:top w:val="nil"/>
              <w:left w:val="nil"/>
              <w:bottom w:val="single" w:color="auto" w:sz="4" w:space="0"/>
              <w:right w:val="single" w:color="auto" w:sz="4" w:space="0"/>
            </w:tcBorders>
            <w:shd w:val="clear" w:color="auto" w:fill="auto"/>
            <w:noWrap/>
            <w:vAlign w:val="center"/>
          </w:tcPr>
          <w:p w14:paraId="4F16C46D">
            <w:pPr>
              <w:jc w:val="center"/>
            </w:pPr>
            <w:r>
              <w:rPr>
                <w:rFonts w:ascii="宋体" w:hAnsi="宋体"/>
                <w:sz w:val="18"/>
              </w:rPr>
              <w:t>3次</w:t>
            </w:r>
          </w:p>
        </w:tc>
        <w:tc>
          <w:tcPr>
            <w:tcW w:w="839" w:type="dxa"/>
            <w:tcBorders>
              <w:top w:val="nil"/>
              <w:left w:val="nil"/>
              <w:bottom w:val="single" w:color="auto" w:sz="4" w:space="0"/>
              <w:right w:val="single" w:color="auto" w:sz="4" w:space="0"/>
            </w:tcBorders>
            <w:shd w:val="clear" w:color="auto" w:fill="auto"/>
            <w:noWrap/>
            <w:vAlign w:val="center"/>
          </w:tcPr>
          <w:p w14:paraId="377A71F9">
            <w:pPr>
              <w:jc w:val="center"/>
            </w:pPr>
            <w:r>
              <w:rPr>
                <w:rFonts w:ascii="宋体" w:hAnsi="宋体"/>
                <w:sz w:val="18"/>
              </w:rPr>
              <w:t>35</w:t>
            </w:r>
          </w:p>
        </w:tc>
        <w:tc>
          <w:tcPr>
            <w:tcW w:w="720" w:type="dxa"/>
            <w:tcBorders>
              <w:top w:val="nil"/>
              <w:left w:val="nil"/>
              <w:bottom w:val="single" w:color="auto" w:sz="4" w:space="0"/>
              <w:right w:val="single" w:color="auto" w:sz="4" w:space="0"/>
            </w:tcBorders>
            <w:shd w:val="clear" w:color="auto" w:fill="auto"/>
            <w:noWrap/>
            <w:vAlign w:val="center"/>
          </w:tcPr>
          <w:p w14:paraId="6F733844">
            <w:pPr>
              <w:jc w:val="center"/>
            </w:pPr>
            <w:r>
              <w:rPr>
                <w:rFonts w:ascii="宋体" w:hAnsi="宋体"/>
                <w:sz w:val="18"/>
              </w:rPr>
              <w:t>35</w:t>
            </w:r>
          </w:p>
        </w:tc>
        <w:tc>
          <w:tcPr>
            <w:tcW w:w="284" w:type="dxa"/>
            <w:tcBorders>
              <w:top w:val="nil"/>
              <w:left w:val="nil"/>
              <w:bottom w:val="nil"/>
              <w:right w:val="nil"/>
            </w:tcBorders>
            <w:shd w:val="clear" w:color="auto" w:fill="auto"/>
            <w:noWrap/>
            <w:vAlign w:val="center"/>
          </w:tcPr>
          <w:p w14:paraId="32428E9A">
            <w:pPr>
              <w:widowControl/>
              <w:jc w:val="center"/>
              <w:rPr>
                <w:rFonts w:hint="eastAsia" w:ascii="宋体" w:hAnsi="宋体" w:cs="宋体"/>
                <w:kern w:val="0"/>
                <w:sz w:val="18"/>
                <w:szCs w:val="18"/>
              </w:rPr>
            </w:pPr>
          </w:p>
        </w:tc>
      </w:tr>
      <w:tr w14:paraId="76A6358B">
        <w:tblPrEx>
          <w:tblCellMar>
            <w:top w:w="0" w:type="dxa"/>
            <w:left w:w="108" w:type="dxa"/>
            <w:bottom w:w="0" w:type="dxa"/>
            <w:right w:w="108" w:type="dxa"/>
          </w:tblCellMar>
        </w:tblPrEx>
        <w:trPr>
          <w:cantSplit/>
          <w:trHeight w:val="740" w:hRule="atLeast"/>
        </w:trPr>
        <w:tc>
          <w:tcPr>
            <w:tcW w:w="8092" w:type="dxa"/>
            <w:gridSpan w:val="6"/>
            <w:tcBorders>
              <w:top w:val="single" w:color="auto" w:sz="4" w:space="0"/>
              <w:left w:val="single" w:color="auto" w:sz="4" w:space="0"/>
              <w:bottom w:val="single" w:color="auto" w:sz="4" w:space="0"/>
              <w:right w:val="single" w:color="auto" w:sz="4" w:space="0"/>
            </w:tcBorders>
            <w:shd w:val="clear" w:color="auto" w:fill="auto"/>
            <w:noWrap/>
            <w:vAlign w:val="center"/>
          </w:tcPr>
          <w:p w14:paraId="5527A297">
            <w:pPr>
              <w:jc w:val="center"/>
            </w:pPr>
            <w:r>
              <w:rPr>
                <w:rFonts w:ascii="宋体" w:hAnsi="宋体"/>
                <w:sz w:val="18"/>
              </w:rPr>
              <w:t>总分</w:t>
            </w:r>
          </w:p>
        </w:tc>
        <w:tc>
          <w:tcPr>
            <w:tcW w:w="839" w:type="dxa"/>
            <w:tcBorders>
              <w:top w:val="nil"/>
              <w:left w:val="nil"/>
              <w:bottom w:val="single" w:color="auto" w:sz="4" w:space="0"/>
              <w:right w:val="single" w:color="auto" w:sz="4" w:space="0"/>
            </w:tcBorders>
            <w:shd w:val="clear" w:color="auto" w:fill="auto"/>
            <w:noWrap/>
            <w:vAlign w:val="center"/>
          </w:tcPr>
          <w:p w14:paraId="6C95616E">
            <w:pPr>
              <w:jc w:val="center"/>
            </w:pPr>
            <w:r>
              <w:rPr>
                <w:rFonts w:ascii="宋体" w:hAnsi="宋体"/>
                <w:sz w:val="18"/>
              </w:rPr>
              <w:t>100</w:t>
            </w:r>
          </w:p>
        </w:tc>
        <w:tc>
          <w:tcPr>
            <w:tcW w:w="720" w:type="dxa"/>
            <w:tcBorders>
              <w:top w:val="nil"/>
              <w:left w:val="nil"/>
              <w:bottom w:val="single" w:color="auto" w:sz="4" w:space="0"/>
              <w:right w:val="single" w:color="auto" w:sz="4" w:space="0"/>
            </w:tcBorders>
            <w:shd w:val="clear" w:color="auto" w:fill="auto"/>
            <w:noWrap/>
            <w:vAlign w:val="center"/>
          </w:tcPr>
          <w:p w14:paraId="39C7AC5A">
            <w:pPr>
              <w:jc w:val="center"/>
            </w:pPr>
            <w:r>
              <w:rPr>
                <w:rFonts w:ascii="宋体" w:hAnsi="宋体"/>
                <w:sz w:val="18"/>
              </w:rPr>
              <w:t>99.89分</w:t>
            </w:r>
          </w:p>
        </w:tc>
        <w:tc>
          <w:tcPr>
            <w:tcW w:w="284" w:type="dxa"/>
            <w:tcBorders>
              <w:top w:val="nil"/>
              <w:left w:val="nil"/>
              <w:bottom w:val="nil"/>
              <w:right w:val="nil"/>
            </w:tcBorders>
            <w:shd w:val="clear" w:color="auto" w:fill="auto"/>
            <w:noWrap/>
            <w:vAlign w:val="center"/>
          </w:tcPr>
          <w:p w14:paraId="3C2BC80C">
            <w:pPr>
              <w:widowControl/>
              <w:jc w:val="left"/>
              <w:rPr>
                <w:rFonts w:hint="eastAsia" w:ascii="宋体" w:hAnsi="宋体" w:cs="宋体"/>
                <w:kern w:val="0"/>
                <w:sz w:val="18"/>
                <w:szCs w:val="18"/>
              </w:rPr>
            </w:pPr>
          </w:p>
        </w:tc>
      </w:tr>
    </w:tbl>
    <w:p w14:paraId="616116BF">
      <w:pPr>
        <w:jc w:val="left"/>
        <w:rPr>
          <w:rFonts w:ascii="仿宋_GB2312" w:eastAsia="仿宋_GB2312"/>
          <w:sz w:val="32"/>
          <w:szCs w:val="32"/>
        </w:rPr>
      </w:pPr>
    </w:p>
    <w:p w14:paraId="64B283F6">
      <w:pPr>
        <w:ind w:firstLine="640" w:firstLineChars="200"/>
        <w:jc w:val="left"/>
        <w:rPr>
          <w:rFonts w:hint="eastAsia" w:ascii="黑体" w:hAnsi="黑体" w:eastAsia="黑体" w:cs="宋体"/>
          <w:bCs/>
          <w:kern w:val="0"/>
          <w:sz w:val="32"/>
          <w:szCs w:val="32"/>
        </w:rPr>
      </w:pPr>
      <w:r>
        <w:rPr>
          <w:rFonts w:hint="eastAsia" w:ascii="黑体" w:hAnsi="黑体" w:eastAsia="黑体" w:cs="宋体"/>
          <w:bCs/>
          <w:kern w:val="0"/>
          <w:sz w:val="32"/>
          <w:szCs w:val="32"/>
        </w:rPr>
        <w:t>十二、其他需说明的事项</w:t>
      </w:r>
    </w:p>
    <w:p w14:paraId="2F7D67C2">
      <w:pPr>
        <w:ind w:firstLine="640" w:firstLineChars="200"/>
        <w:jc w:val="left"/>
        <w:rPr>
          <w:rFonts w:hint="eastAsia"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我单位本年资金紧张未购买办公用品及设备。因此政府采购金额支出为0.00万元。其中授予中小企业合同金额、授予小微企业合同金额为0.00万元。</w:t>
      </w:r>
    </w:p>
    <w:p w14:paraId="79024CD3">
      <w:pPr>
        <w:jc w:val="center"/>
        <w:outlineLvl w:val="0"/>
        <w:rPr>
          <w:rFonts w:hint="eastAsia" w:ascii="黑体" w:hAnsi="黑体" w:eastAsia="黑体"/>
          <w:sz w:val="32"/>
          <w:szCs w:val="32"/>
        </w:rPr>
      </w:pPr>
      <w:bookmarkStart w:id="30" w:name="_Toc24143"/>
      <w:bookmarkStart w:id="31" w:name="_Toc3250"/>
      <w:r>
        <w:rPr>
          <w:rFonts w:hint="eastAsia" w:ascii="黑体" w:hAnsi="黑体" w:eastAsia="黑体"/>
          <w:sz w:val="32"/>
          <w:szCs w:val="32"/>
        </w:rPr>
        <w:br w:type="page"/>
      </w:r>
      <w:r>
        <w:rPr>
          <w:rFonts w:hint="eastAsia" w:ascii="黑体" w:hAnsi="黑体" w:eastAsia="黑体"/>
          <w:sz w:val="32"/>
          <w:szCs w:val="32"/>
        </w:rPr>
        <w:t>第三部分 专业名词解释</w:t>
      </w:r>
      <w:bookmarkEnd w:id="30"/>
      <w:bookmarkEnd w:id="31"/>
    </w:p>
    <w:p w14:paraId="684A2233">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一、财政拨款收入：</w:t>
      </w:r>
      <w:r>
        <w:rPr>
          <w:rFonts w:hint="eastAsia" w:ascii="仿宋_GB2312" w:eastAsia="仿宋_GB2312"/>
          <w:sz w:val="32"/>
          <w:szCs w:val="32"/>
        </w:rPr>
        <w:t>指同级财政当年拨付的资金。</w:t>
      </w:r>
    </w:p>
    <w:p w14:paraId="7F0EFFED">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二、上级补助收入：</w:t>
      </w:r>
      <w:r>
        <w:rPr>
          <w:rFonts w:hint="eastAsia" w:ascii="仿宋_GB2312" w:eastAsia="仿宋_GB2312"/>
          <w:sz w:val="32"/>
          <w:szCs w:val="32"/>
        </w:rPr>
        <w:t>指事业单位从主管部门和上级单位取得的非财政补助收入。</w:t>
      </w:r>
    </w:p>
    <w:p w14:paraId="7D7D1B88">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三、事业收入：</w:t>
      </w:r>
      <w:r>
        <w:rPr>
          <w:rFonts w:hint="eastAsia" w:ascii="仿宋_GB2312" w:eastAsia="仿宋_GB2312"/>
          <w:sz w:val="32"/>
          <w:szCs w:val="32"/>
        </w:rPr>
        <w:t>指事业单位开展专业业务活动及其辅助活动所取得的收入。</w:t>
      </w:r>
    </w:p>
    <w:p w14:paraId="43963B1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四、经营收入：</w:t>
      </w:r>
      <w:r>
        <w:rPr>
          <w:rFonts w:hint="eastAsia" w:ascii="仿宋_GB2312" w:eastAsia="仿宋_GB2312"/>
          <w:sz w:val="32"/>
          <w:szCs w:val="32"/>
        </w:rPr>
        <w:t>指事业单位在专业业务活动及其辅助活动之外开展非独立核算经营活动取得的收入。</w:t>
      </w:r>
    </w:p>
    <w:p w14:paraId="7566104F">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五、附属单位上缴收入：</w:t>
      </w:r>
      <w:r>
        <w:rPr>
          <w:rFonts w:hint="eastAsia" w:ascii="仿宋_GB2312" w:eastAsia="仿宋_GB2312"/>
          <w:sz w:val="32"/>
          <w:szCs w:val="32"/>
        </w:rPr>
        <w:t>指事业单位附属的独立核算单位按有关规定上缴的收入。</w:t>
      </w:r>
    </w:p>
    <w:p w14:paraId="678CABEB">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六、其他收入：</w:t>
      </w:r>
      <w:r>
        <w:rPr>
          <w:rFonts w:hint="eastAsia" w:ascii="仿宋_GB2312" w:eastAsia="仿宋_GB2312"/>
          <w:sz w:val="32"/>
          <w:szCs w:val="32"/>
        </w:rPr>
        <w:t>指除上述“财政拨款收入”、“事业收入”、“经营收入”、“附属单位上缴收入”等之外取得的收入。</w:t>
      </w:r>
    </w:p>
    <w:p w14:paraId="1AAC5514">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七、年初结转和结余：</w:t>
      </w:r>
      <w:r>
        <w:rPr>
          <w:rFonts w:hint="eastAsia" w:ascii="仿宋_GB2312" w:eastAsia="仿宋_GB2312"/>
          <w:sz w:val="32"/>
          <w:szCs w:val="32"/>
        </w:rPr>
        <w:t>指以前年度支出预算因客观条件变化未执行完毕、结转到本年度按有关规定继续使用的资金，既包括财政拨款结转和结余，也包括事业收入、经营收入、其他收入的结转和结余。</w:t>
      </w:r>
    </w:p>
    <w:p w14:paraId="604899A9">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八、年末结转和结余：</w:t>
      </w:r>
      <w:r>
        <w:rPr>
          <w:rFonts w:hint="eastAsia" w:ascii="仿宋_GB2312" w:eastAsia="仿宋_GB2312"/>
          <w:sz w:val="32"/>
          <w:szCs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C3BC77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九、基本支出：</w:t>
      </w:r>
      <w:r>
        <w:rPr>
          <w:rFonts w:hint="eastAsia" w:ascii="仿宋_GB2312" w:eastAsia="仿宋_GB2312"/>
          <w:sz w:val="32"/>
          <w:szCs w:val="32"/>
        </w:rPr>
        <w:t>指为保障机构正常运转、完成日常工作任务而发生的人员支出和公用支出。</w:t>
      </w:r>
    </w:p>
    <w:p w14:paraId="7C60806A">
      <w:pPr>
        <w:autoSpaceDE w:val="0"/>
        <w:autoSpaceDN w:val="0"/>
        <w:ind w:firstLine="643" w:firstLineChars="200"/>
        <w:jc w:val="left"/>
        <w:rPr>
          <w:rFonts w:ascii="仿宋_GB2312" w:eastAsia="仿宋_GB2312"/>
          <w:sz w:val="32"/>
          <w:szCs w:val="32"/>
        </w:rPr>
      </w:pPr>
      <w:r>
        <w:rPr>
          <w:rFonts w:hint="eastAsia" w:ascii="仿宋_GB2312" w:eastAsia="仿宋_GB2312"/>
          <w:b/>
          <w:bCs/>
          <w:sz w:val="32"/>
          <w:szCs w:val="32"/>
        </w:rPr>
        <w:t>十、项目支出：</w:t>
      </w:r>
      <w:r>
        <w:rPr>
          <w:rFonts w:hint="eastAsia" w:ascii="仿宋_GB2312" w:eastAsia="仿宋_GB2312"/>
          <w:sz w:val="32"/>
          <w:szCs w:val="32"/>
        </w:rPr>
        <w:t>指在基本支出之外为完成特定行政任务和事业发展目标所发生的支出。</w:t>
      </w:r>
    </w:p>
    <w:p w14:paraId="1D2B4E55">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十一、经营支出：</w:t>
      </w:r>
      <w:r>
        <w:rPr>
          <w:rFonts w:hint="eastAsia" w:ascii="仿宋_GB2312" w:eastAsia="仿宋_GB2312"/>
          <w:sz w:val="32"/>
          <w:szCs w:val="32"/>
        </w:rPr>
        <w:t>指事业单位在专业业务活动及其辅助活动之外开展非独立核算经营活动发生的支出。</w:t>
      </w:r>
    </w:p>
    <w:p w14:paraId="2168D50B">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十二、对附属单位补助支出：</w:t>
      </w:r>
      <w:r>
        <w:rPr>
          <w:rFonts w:hint="eastAsia" w:ascii="仿宋_GB2312" w:eastAsia="仿宋_GB2312"/>
          <w:sz w:val="32"/>
          <w:szCs w:val="32"/>
        </w:rPr>
        <w:t>指事业单位发生的用非财政预算资金对附属单位的补助支出。</w:t>
      </w:r>
    </w:p>
    <w:p w14:paraId="4DC1C962">
      <w:pPr>
        <w:autoSpaceDE w:val="0"/>
        <w:autoSpaceDN w:val="0"/>
        <w:ind w:firstLine="643" w:firstLineChars="200"/>
        <w:rPr>
          <w:rFonts w:ascii="仿宋_GB2312" w:eastAsia="仿宋_GB2312"/>
          <w:sz w:val="32"/>
          <w:szCs w:val="32"/>
        </w:rPr>
      </w:pPr>
      <w:r>
        <w:rPr>
          <w:rFonts w:hint="eastAsia" w:ascii="仿宋_GB2312" w:eastAsia="仿宋_GB2312"/>
          <w:b/>
          <w:bCs/>
          <w:sz w:val="32"/>
          <w:szCs w:val="32"/>
        </w:rPr>
        <w:t>十三、“三公”经费：</w:t>
      </w:r>
      <w:r>
        <w:rPr>
          <w:rFonts w:hint="eastAsia" w:ascii="仿宋_GB2312" w:eastAsia="仿宋_GB2312"/>
          <w:sz w:val="32"/>
          <w:szCs w:val="32"/>
        </w:rPr>
        <w:t>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E578BE5">
      <w:pPr>
        <w:ind w:firstLine="643" w:firstLineChars="200"/>
        <w:rPr>
          <w:rFonts w:ascii="仿宋_GB2312" w:eastAsia="仿宋_GB2312"/>
          <w:sz w:val="32"/>
          <w:szCs w:val="32"/>
        </w:rPr>
      </w:pPr>
      <w:r>
        <w:rPr>
          <w:rFonts w:hint="eastAsia" w:ascii="仿宋_GB2312" w:eastAsia="仿宋_GB2312"/>
          <w:b/>
          <w:bCs/>
          <w:sz w:val="32"/>
          <w:szCs w:val="32"/>
        </w:rPr>
        <w:t>十四、机关运行经费：</w:t>
      </w:r>
      <w:r>
        <w:rPr>
          <w:rFonts w:hint="eastAsia" w:ascii="仿宋_GB2312" w:eastAsia="仿宋_GB2312"/>
          <w:sz w:val="32"/>
          <w:szCs w:val="32"/>
        </w:rPr>
        <w:t>行政单位和参照公务员法管理的事业单位财政拨款基本支出中的公用经费支出。</w:t>
      </w:r>
    </w:p>
    <w:p w14:paraId="1F9E9B1F">
      <w:pPr>
        <w:ind w:firstLine="640" w:firstLineChars="200"/>
        <w:jc w:val="center"/>
        <w:outlineLvl w:val="0"/>
        <w:rPr>
          <w:rFonts w:hint="eastAsia" w:ascii="黑体" w:hAnsi="黑体" w:eastAsia="黑体"/>
          <w:sz w:val="32"/>
          <w:szCs w:val="32"/>
        </w:rPr>
      </w:pPr>
      <w:r>
        <w:rPr>
          <w:rFonts w:hint="eastAsia" w:ascii="仿宋_GB2312" w:eastAsia="仿宋_GB2312"/>
          <w:sz w:val="32"/>
          <w:szCs w:val="32"/>
        </w:rPr>
        <w:br w:type="page"/>
      </w:r>
      <w:r>
        <w:rPr>
          <w:rFonts w:hint="eastAsia" w:ascii="黑体" w:hAnsi="黑体" w:eastAsia="黑体"/>
          <w:sz w:val="32"/>
          <w:szCs w:val="32"/>
        </w:rPr>
        <w:t>第四部分 部门决算报表（见附表）</w:t>
      </w:r>
    </w:p>
    <w:p w14:paraId="22B1C051">
      <w:pPr>
        <w:ind w:firstLine="640" w:firstLineChars="200"/>
        <w:outlineLvl w:val="1"/>
        <w:rPr>
          <w:rFonts w:hint="eastAsia" w:ascii="黑体" w:hAnsi="黑体" w:eastAsia="仿宋_GB2312" w:cs="宋体"/>
          <w:bCs/>
          <w:kern w:val="0"/>
          <w:sz w:val="32"/>
          <w:szCs w:val="32"/>
        </w:rPr>
      </w:pPr>
      <w:bookmarkStart w:id="32" w:name="_Toc2183"/>
      <w:bookmarkStart w:id="33" w:name="_Toc6062"/>
      <w:r>
        <w:rPr>
          <w:rFonts w:hint="eastAsia" w:ascii="黑体" w:hAnsi="黑体" w:eastAsia="仿宋_GB2312" w:cs="宋体"/>
          <w:bCs/>
          <w:kern w:val="0"/>
          <w:sz w:val="32"/>
          <w:szCs w:val="32"/>
        </w:rPr>
        <w:t>一、《收入支出决算总表》</w:t>
      </w:r>
      <w:bookmarkEnd w:id="32"/>
      <w:bookmarkEnd w:id="33"/>
    </w:p>
    <w:p w14:paraId="182BA4EA">
      <w:pPr>
        <w:ind w:firstLine="640" w:firstLineChars="200"/>
        <w:outlineLvl w:val="1"/>
        <w:rPr>
          <w:rFonts w:hint="eastAsia" w:ascii="黑体" w:hAnsi="黑体" w:eastAsia="仿宋_GB2312" w:cs="宋体"/>
          <w:bCs/>
          <w:kern w:val="0"/>
          <w:sz w:val="32"/>
          <w:szCs w:val="32"/>
        </w:rPr>
      </w:pPr>
      <w:bookmarkStart w:id="34" w:name="_Toc24532"/>
      <w:bookmarkStart w:id="35" w:name="_Toc30364"/>
      <w:r>
        <w:rPr>
          <w:rFonts w:hint="eastAsia" w:ascii="黑体" w:hAnsi="黑体" w:eastAsia="仿宋_GB2312" w:cs="宋体"/>
          <w:bCs/>
          <w:kern w:val="0"/>
          <w:sz w:val="32"/>
          <w:szCs w:val="32"/>
        </w:rPr>
        <w:t>二、《收入决算表》</w:t>
      </w:r>
      <w:bookmarkEnd w:id="34"/>
      <w:bookmarkEnd w:id="35"/>
    </w:p>
    <w:p w14:paraId="5D627568">
      <w:pPr>
        <w:ind w:firstLine="640" w:firstLineChars="200"/>
        <w:outlineLvl w:val="1"/>
        <w:rPr>
          <w:rFonts w:hint="eastAsia" w:ascii="黑体" w:hAnsi="黑体" w:eastAsia="仿宋_GB2312" w:cs="宋体"/>
          <w:bCs/>
          <w:kern w:val="0"/>
          <w:sz w:val="32"/>
          <w:szCs w:val="32"/>
        </w:rPr>
      </w:pPr>
      <w:bookmarkStart w:id="36" w:name="_Toc21304"/>
      <w:bookmarkStart w:id="37" w:name="_Toc32434"/>
      <w:r>
        <w:rPr>
          <w:rFonts w:hint="eastAsia" w:ascii="黑体" w:hAnsi="黑体" w:eastAsia="仿宋_GB2312" w:cs="宋体"/>
          <w:bCs/>
          <w:kern w:val="0"/>
          <w:sz w:val="32"/>
          <w:szCs w:val="32"/>
        </w:rPr>
        <w:t>三、《支出决算表》</w:t>
      </w:r>
      <w:bookmarkEnd w:id="36"/>
      <w:bookmarkEnd w:id="37"/>
    </w:p>
    <w:p w14:paraId="253EECCD">
      <w:pPr>
        <w:ind w:firstLine="640" w:firstLineChars="200"/>
        <w:outlineLvl w:val="1"/>
        <w:rPr>
          <w:rFonts w:hint="eastAsia" w:ascii="黑体" w:hAnsi="黑体" w:eastAsia="仿宋_GB2312" w:cs="宋体"/>
          <w:bCs/>
          <w:kern w:val="0"/>
          <w:sz w:val="32"/>
          <w:szCs w:val="32"/>
        </w:rPr>
      </w:pPr>
      <w:bookmarkStart w:id="38" w:name="_Toc14238"/>
      <w:bookmarkStart w:id="39" w:name="_Toc28786"/>
      <w:r>
        <w:rPr>
          <w:rFonts w:hint="eastAsia" w:ascii="黑体" w:hAnsi="黑体" w:eastAsia="仿宋_GB2312" w:cs="宋体"/>
          <w:bCs/>
          <w:kern w:val="0"/>
          <w:sz w:val="32"/>
          <w:szCs w:val="32"/>
        </w:rPr>
        <w:t>四、《财政拨款收入支出决算总表》</w:t>
      </w:r>
      <w:bookmarkEnd w:id="38"/>
      <w:bookmarkEnd w:id="39"/>
    </w:p>
    <w:p w14:paraId="7A0F3C07">
      <w:pPr>
        <w:ind w:firstLine="640" w:firstLineChars="200"/>
        <w:outlineLvl w:val="1"/>
        <w:rPr>
          <w:rFonts w:hint="eastAsia" w:ascii="黑体" w:hAnsi="黑体" w:eastAsia="仿宋_GB2312" w:cs="宋体"/>
          <w:bCs/>
          <w:kern w:val="0"/>
          <w:sz w:val="32"/>
          <w:szCs w:val="32"/>
        </w:rPr>
      </w:pPr>
      <w:bookmarkStart w:id="40" w:name="_Toc10347"/>
      <w:bookmarkStart w:id="41" w:name="_Toc14869"/>
      <w:r>
        <w:rPr>
          <w:rFonts w:hint="eastAsia" w:ascii="黑体" w:hAnsi="黑体" w:eastAsia="仿宋_GB2312" w:cs="宋体"/>
          <w:bCs/>
          <w:kern w:val="0"/>
          <w:sz w:val="32"/>
          <w:szCs w:val="32"/>
        </w:rPr>
        <w:t>五、《一般公共预算财政拨款支出决算表》</w:t>
      </w:r>
      <w:bookmarkEnd w:id="40"/>
      <w:bookmarkEnd w:id="41"/>
    </w:p>
    <w:p w14:paraId="357EC44A">
      <w:pPr>
        <w:ind w:firstLine="640" w:firstLineChars="200"/>
        <w:outlineLvl w:val="1"/>
        <w:rPr>
          <w:rFonts w:hint="eastAsia" w:ascii="黑体" w:hAnsi="黑体" w:eastAsia="仿宋_GB2312" w:cs="宋体"/>
          <w:bCs/>
          <w:kern w:val="0"/>
          <w:sz w:val="32"/>
          <w:szCs w:val="32"/>
        </w:rPr>
      </w:pPr>
      <w:bookmarkStart w:id="42" w:name="_Toc5626"/>
      <w:bookmarkStart w:id="43" w:name="_Toc8884"/>
      <w:r>
        <w:rPr>
          <w:rFonts w:hint="eastAsia" w:ascii="黑体" w:hAnsi="黑体" w:eastAsia="仿宋_GB2312" w:cs="宋体"/>
          <w:bCs/>
          <w:kern w:val="0"/>
          <w:sz w:val="32"/>
          <w:szCs w:val="32"/>
        </w:rPr>
        <w:t>六、《一般公共预算财政拨款基本支出决算表》</w:t>
      </w:r>
      <w:bookmarkEnd w:id="42"/>
      <w:bookmarkEnd w:id="43"/>
    </w:p>
    <w:p w14:paraId="5B3D2C83">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七、</w:t>
      </w:r>
      <w:bookmarkStart w:id="44" w:name="_Toc32663"/>
      <w:bookmarkStart w:id="45" w:name="_Toc29106"/>
      <w:r>
        <w:rPr>
          <w:rFonts w:hint="eastAsia" w:ascii="黑体" w:hAnsi="黑体" w:eastAsia="仿宋_GB2312" w:cs="宋体"/>
          <w:bCs/>
          <w:kern w:val="0"/>
          <w:sz w:val="32"/>
          <w:szCs w:val="32"/>
        </w:rPr>
        <w:t>《财政拨款“三公”经费支出决算表》</w:t>
      </w:r>
      <w:bookmarkEnd w:id="44"/>
      <w:bookmarkEnd w:id="45"/>
    </w:p>
    <w:p w14:paraId="54E1916E">
      <w:pPr>
        <w:ind w:firstLine="640" w:firstLineChars="200"/>
        <w:outlineLvl w:val="1"/>
        <w:rPr>
          <w:rFonts w:hint="eastAsia" w:ascii="黑体" w:hAnsi="黑体" w:eastAsia="仿宋_GB2312" w:cs="宋体"/>
          <w:bCs/>
          <w:kern w:val="0"/>
          <w:sz w:val="32"/>
          <w:szCs w:val="32"/>
        </w:rPr>
      </w:pPr>
      <w:bookmarkStart w:id="46" w:name="_Toc7643"/>
      <w:bookmarkStart w:id="47" w:name="_Toc5453"/>
      <w:r>
        <w:rPr>
          <w:rFonts w:hint="eastAsia" w:ascii="黑体" w:hAnsi="黑体" w:eastAsia="仿宋_GB2312" w:cs="宋体"/>
          <w:bCs/>
          <w:kern w:val="0"/>
          <w:sz w:val="32"/>
          <w:szCs w:val="32"/>
        </w:rPr>
        <w:t>八、《政府性基金预算财政拨款收入支出决算表》</w:t>
      </w:r>
      <w:bookmarkEnd w:id="46"/>
      <w:bookmarkEnd w:id="47"/>
    </w:p>
    <w:p w14:paraId="6C94FBC1">
      <w:pPr>
        <w:ind w:firstLine="640" w:firstLineChars="200"/>
        <w:outlineLvl w:val="1"/>
        <w:rPr>
          <w:rFonts w:hint="eastAsia" w:ascii="黑体" w:hAnsi="黑体" w:eastAsia="仿宋_GB2312" w:cs="宋体"/>
          <w:bCs/>
          <w:kern w:val="0"/>
          <w:sz w:val="32"/>
          <w:szCs w:val="32"/>
        </w:rPr>
      </w:pPr>
      <w:r>
        <w:rPr>
          <w:rFonts w:hint="eastAsia" w:ascii="黑体" w:hAnsi="黑体" w:eastAsia="仿宋_GB2312" w:cs="宋体"/>
          <w:bCs/>
          <w:kern w:val="0"/>
          <w:sz w:val="32"/>
          <w:szCs w:val="32"/>
        </w:rPr>
        <w:t>九、《国有资本经营预算财政拨款收入支出决算表》</w:t>
      </w:r>
    </w:p>
    <w:p w14:paraId="2A8B104E">
      <w:pPr>
        <w:ind w:firstLine="640" w:firstLineChars="200"/>
        <w:rPr>
          <w:rFonts w:ascii="仿宋_GB2312" w:eastAsia="仿宋_GB2312"/>
          <w:sz w:val="32"/>
          <w:szCs w:val="32"/>
        </w:rPr>
      </w:pPr>
    </w:p>
    <w:p w14:paraId="33FD371C">
      <w:pPr>
        <w:ind w:firstLine="640" w:firstLineChars="200"/>
        <w:outlineLvl w:val="1"/>
        <w:rPr>
          <w:rFonts w:hint="eastAsia" w:ascii="黑体" w:hAnsi="黑体" w:eastAsia="黑体" w:cs="宋体"/>
          <w:bCs/>
          <w:kern w:val="0"/>
          <w:sz w:val="32"/>
          <w:szCs w:val="32"/>
        </w:rPr>
      </w:pP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40F628">
    <w:pPr>
      <w:pStyle w:val="4"/>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3DFF7F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14:paraId="63DFF7F6">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hZGRhY2RiODFjZjAzZDFlMmZkYzIxMjU0YWNlNWYifQ=="/>
    <w:docVar w:name="KSO_WPS_MARK_KEY" w:val="41ee2a61-2d54-4f93-83be-afdb9a40d732"/>
  </w:docVars>
  <w:rsids>
    <w:rsidRoot w:val="00EE297D"/>
    <w:rsid w:val="001E6E2A"/>
    <w:rsid w:val="00213C59"/>
    <w:rsid w:val="003210CE"/>
    <w:rsid w:val="0039793F"/>
    <w:rsid w:val="0054056E"/>
    <w:rsid w:val="00541DA5"/>
    <w:rsid w:val="006B0136"/>
    <w:rsid w:val="00B15F71"/>
    <w:rsid w:val="00B70D59"/>
    <w:rsid w:val="00CD722D"/>
    <w:rsid w:val="00D55605"/>
    <w:rsid w:val="00EE297D"/>
    <w:rsid w:val="00F52A8D"/>
    <w:rsid w:val="00F75534"/>
    <w:rsid w:val="00FE5FE0"/>
    <w:rsid w:val="00FF69F3"/>
    <w:rsid w:val="019404F8"/>
    <w:rsid w:val="01C30B6B"/>
    <w:rsid w:val="01ED22F2"/>
    <w:rsid w:val="02BD3108"/>
    <w:rsid w:val="02F73D26"/>
    <w:rsid w:val="034D4FEF"/>
    <w:rsid w:val="035D1785"/>
    <w:rsid w:val="039F47CE"/>
    <w:rsid w:val="03BD5310"/>
    <w:rsid w:val="03E05CE8"/>
    <w:rsid w:val="03F973EE"/>
    <w:rsid w:val="043E5B56"/>
    <w:rsid w:val="04C04386"/>
    <w:rsid w:val="04D1736D"/>
    <w:rsid w:val="04D96608"/>
    <w:rsid w:val="04F210E4"/>
    <w:rsid w:val="04FA68C4"/>
    <w:rsid w:val="053F5AE6"/>
    <w:rsid w:val="057C0B0F"/>
    <w:rsid w:val="05EF4B48"/>
    <w:rsid w:val="05F76ECA"/>
    <w:rsid w:val="06183A24"/>
    <w:rsid w:val="06792773"/>
    <w:rsid w:val="06FD75CA"/>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172DAA"/>
    <w:rsid w:val="0D4903E8"/>
    <w:rsid w:val="0D7A4A46"/>
    <w:rsid w:val="0E640559"/>
    <w:rsid w:val="0F1113DA"/>
    <w:rsid w:val="0F78534A"/>
    <w:rsid w:val="0F89358A"/>
    <w:rsid w:val="0F8C6D51"/>
    <w:rsid w:val="105B0B5E"/>
    <w:rsid w:val="112E58D0"/>
    <w:rsid w:val="11731CAC"/>
    <w:rsid w:val="119500A0"/>
    <w:rsid w:val="11C0733B"/>
    <w:rsid w:val="11D50D17"/>
    <w:rsid w:val="120E0809"/>
    <w:rsid w:val="127F665A"/>
    <w:rsid w:val="12F7068C"/>
    <w:rsid w:val="14207DC0"/>
    <w:rsid w:val="14B932DA"/>
    <w:rsid w:val="150A66AF"/>
    <w:rsid w:val="154C1139"/>
    <w:rsid w:val="158C5B77"/>
    <w:rsid w:val="160D1149"/>
    <w:rsid w:val="163563C0"/>
    <w:rsid w:val="164315EF"/>
    <w:rsid w:val="16557DFE"/>
    <w:rsid w:val="167268FB"/>
    <w:rsid w:val="16770D0A"/>
    <w:rsid w:val="169A0039"/>
    <w:rsid w:val="16D50C50"/>
    <w:rsid w:val="16E120E1"/>
    <w:rsid w:val="17385A05"/>
    <w:rsid w:val="173B3901"/>
    <w:rsid w:val="176747F9"/>
    <w:rsid w:val="17954A6E"/>
    <w:rsid w:val="17BE2C86"/>
    <w:rsid w:val="180059E9"/>
    <w:rsid w:val="184510FD"/>
    <w:rsid w:val="190648B0"/>
    <w:rsid w:val="19071D6C"/>
    <w:rsid w:val="19D26CD4"/>
    <w:rsid w:val="19E60D19"/>
    <w:rsid w:val="1A3E3450"/>
    <w:rsid w:val="1AD807E5"/>
    <w:rsid w:val="1ADF508F"/>
    <w:rsid w:val="1B39345B"/>
    <w:rsid w:val="1BFB2A1F"/>
    <w:rsid w:val="1C015D4A"/>
    <w:rsid w:val="1C290ED5"/>
    <w:rsid w:val="1C317E4F"/>
    <w:rsid w:val="1C472464"/>
    <w:rsid w:val="1D22799A"/>
    <w:rsid w:val="1D5C1A72"/>
    <w:rsid w:val="1DAF458D"/>
    <w:rsid w:val="1E086ACE"/>
    <w:rsid w:val="1E62130A"/>
    <w:rsid w:val="1E97358B"/>
    <w:rsid w:val="1EAA4A5F"/>
    <w:rsid w:val="1EE869A7"/>
    <w:rsid w:val="1F3F37CF"/>
    <w:rsid w:val="1FA15E62"/>
    <w:rsid w:val="1FED69B6"/>
    <w:rsid w:val="2064678E"/>
    <w:rsid w:val="20DC1AB9"/>
    <w:rsid w:val="20DD6197"/>
    <w:rsid w:val="212631E0"/>
    <w:rsid w:val="2138666F"/>
    <w:rsid w:val="21742080"/>
    <w:rsid w:val="21A53757"/>
    <w:rsid w:val="21F879E1"/>
    <w:rsid w:val="221236C6"/>
    <w:rsid w:val="22D7662C"/>
    <w:rsid w:val="23326B7F"/>
    <w:rsid w:val="2380045B"/>
    <w:rsid w:val="23BC04D2"/>
    <w:rsid w:val="23EF1892"/>
    <w:rsid w:val="2483647E"/>
    <w:rsid w:val="24A32D55"/>
    <w:rsid w:val="24CE6D9A"/>
    <w:rsid w:val="25292727"/>
    <w:rsid w:val="252E5CA9"/>
    <w:rsid w:val="256F7692"/>
    <w:rsid w:val="25BA2154"/>
    <w:rsid w:val="25C8773F"/>
    <w:rsid w:val="26235823"/>
    <w:rsid w:val="264A7253"/>
    <w:rsid w:val="26F0170C"/>
    <w:rsid w:val="26FE3B9A"/>
    <w:rsid w:val="27201D62"/>
    <w:rsid w:val="27286E73"/>
    <w:rsid w:val="27CF2642"/>
    <w:rsid w:val="27E777F5"/>
    <w:rsid w:val="27EA1D4C"/>
    <w:rsid w:val="27EA2E41"/>
    <w:rsid w:val="282459E2"/>
    <w:rsid w:val="283A7FE5"/>
    <w:rsid w:val="285F51FF"/>
    <w:rsid w:val="28DA4193"/>
    <w:rsid w:val="28DF2665"/>
    <w:rsid w:val="29072599"/>
    <w:rsid w:val="291029F3"/>
    <w:rsid w:val="29CB58F0"/>
    <w:rsid w:val="2A053397"/>
    <w:rsid w:val="2A145E96"/>
    <w:rsid w:val="2A2131BB"/>
    <w:rsid w:val="2AF5378F"/>
    <w:rsid w:val="2BB94DBF"/>
    <w:rsid w:val="2BF37410"/>
    <w:rsid w:val="2C6F314E"/>
    <w:rsid w:val="2CC206BE"/>
    <w:rsid w:val="2D1136DF"/>
    <w:rsid w:val="2D20606D"/>
    <w:rsid w:val="2D6729FE"/>
    <w:rsid w:val="2DB87198"/>
    <w:rsid w:val="2DB93C54"/>
    <w:rsid w:val="2E3D144C"/>
    <w:rsid w:val="2E891204"/>
    <w:rsid w:val="2F3F0A28"/>
    <w:rsid w:val="2FBF7029"/>
    <w:rsid w:val="2FD0187F"/>
    <w:rsid w:val="2FD27414"/>
    <w:rsid w:val="2FFE4BB0"/>
    <w:rsid w:val="300E7B60"/>
    <w:rsid w:val="300F6E18"/>
    <w:rsid w:val="30862F5F"/>
    <w:rsid w:val="30A4775A"/>
    <w:rsid w:val="314029C9"/>
    <w:rsid w:val="31C63837"/>
    <w:rsid w:val="31C82E39"/>
    <w:rsid w:val="32601BAD"/>
    <w:rsid w:val="329F6389"/>
    <w:rsid w:val="3389023A"/>
    <w:rsid w:val="33CB74FA"/>
    <w:rsid w:val="343642F2"/>
    <w:rsid w:val="343F3010"/>
    <w:rsid w:val="345D0A00"/>
    <w:rsid w:val="34713BFD"/>
    <w:rsid w:val="34C13589"/>
    <w:rsid w:val="353369E3"/>
    <w:rsid w:val="35B21E0B"/>
    <w:rsid w:val="35E00D72"/>
    <w:rsid w:val="36965B9D"/>
    <w:rsid w:val="36C549FD"/>
    <w:rsid w:val="37A755DD"/>
    <w:rsid w:val="37F33BFE"/>
    <w:rsid w:val="37F94FA0"/>
    <w:rsid w:val="380D3381"/>
    <w:rsid w:val="38115B1F"/>
    <w:rsid w:val="385E3AC3"/>
    <w:rsid w:val="387D6B9E"/>
    <w:rsid w:val="38B75FF0"/>
    <w:rsid w:val="38D45016"/>
    <w:rsid w:val="38D90432"/>
    <w:rsid w:val="3914510A"/>
    <w:rsid w:val="3926770B"/>
    <w:rsid w:val="3982065B"/>
    <w:rsid w:val="398D3668"/>
    <w:rsid w:val="39DA0497"/>
    <w:rsid w:val="3A893816"/>
    <w:rsid w:val="3A893B6D"/>
    <w:rsid w:val="3AD1763A"/>
    <w:rsid w:val="3B196883"/>
    <w:rsid w:val="3B6716E3"/>
    <w:rsid w:val="3B6C6B2D"/>
    <w:rsid w:val="3C242659"/>
    <w:rsid w:val="3C96719C"/>
    <w:rsid w:val="3CA72BE8"/>
    <w:rsid w:val="3CDC1E1E"/>
    <w:rsid w:val="3CF37F8C"/>
    <w:rsid w:val="3D137554"/>
    <w:rsid w:val="3D5275AC"/>
    <w:rsid w:val="3DCC2473"/>
    <w:rsid w:val="3DEB0883"/>
    <w:rsid w:val="3E2527BF"/>
    <w:rsid w:val="3E70484C"/>
    <w:rsid w:val="3E731662"/>
    <w:rsid w:val="3E8168DD"/>
    <w:rsid w:val="3EA7725F"/>
    <w:rsid w:val="3EB03713"/>
    <w:rsid w:val="3EBF1A11"/>
    <w:rsid w:val="3EC52607"/>
    <w:rsid w:val="3EEC6CEF"/>
    <w:rsid w:val="3F183429"/>
    <w:rsid w:val="3FB77A1D"/>
    <w:rsid w:val="3FDC3674"/>
    <w:rsid w:val="3FED7F8A"/>
    <w:rsid w:val="40094AEF"/>
    <w:rsid w:val="405470BD"/>
    <w:rsid w:val="40794A29"/>
    <w:rsid w:val="40834692"/>
    <w:rsid w:val="41431AD5"/>
    <w:rsid w:val="414B3C0F"/>
    <w:rsid w:val="417C1CE7"/>
    <w:rsid w:val="41900018"/>
    <w:rsid w:val="41944406"/>
    <w:rsid w:val="41CE128F"/>
    <w:rsid w:val="41DA6F12"/>
    <w:rsid w:val="42171FB1"/>
    <w:rsid w:val="42C10D7B"/>
    <w:rsid w:val="434E6957"/>
    <w:rsid w:val="43BA0E31"/>
    <w:rsid w:val="43C15147"/>
    <w:rsid w:val="43E14DD2"/>
    <w:rsid w:val="43F800E9"/>
    <w:rsid w:val="443A7E4B"/>
    <w:rsid w:val="444A7D08"/>
    <w:rsid w:val="452F5B3A"/>
    <w:rsid w:val="454E7FD2"/>
    <w:rsid w:val="46061BDC"/>
    <w:rsid w:val="461404F8"/>
    <w:rsid w:val="46413018"/>
    <w:rsid w:val="464B7E04"/>
    <w:rsid w:val="468041AA"/>
    <w:rsid w:val="468123C6"/>
    <w:rsid w:val="46901EEE"/>
    <w:rsid w:val="469C74D2"/>
    <w:rsid w:val="47445515"/>
    <w:rsid w:val="474B4782"/>
    <w:rsid w:val="47D90D14"/>
    <w:rsid w:val="47DE1152"/>
    <w:rsid w:val="48387FB0"/>
    <w:rsid w:val="483A6114"/>
    <w:rsid w:val="488727DB"/>
    <w:rsid w:val="48B82268"/>
    <w:rsid w:val="48C354B3"/>
    <w:rsid w:val="493D58B5"/>
    <w:rsid w:val="494A7A04"/>
    <w:rsid w:val="49605EF7"/>
    <w:rsid w:val="4A0A26D2"/>
    <w:rsid w:val="4A2019A5"/>
    <w:rsid w:val="4A241A0B"/>
    <w:rsid w:val="4A5C2BD7"/>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50447CC2"/>
    <w:rsid w:val="50874A7C"/>
    <w:rsid w:val="50895EE7"/>
    <w:rsid w:val="50921B9D"/>
    <w:rsid w:val="50D16158"/>
    <w:rsid w:val="50DB5F45"/>
    <w:rsid w:val="51025EB1"/>
    <w:rsid w:val="51141503"/>
    <w:rsid w:val="513C450E"/>
    <w:rsid w:val="518D0ED5"/>
    <w:rsid w:val="525C687F"/>
    <w:rsid w:val="52A3740A"/>
    <w:rsid w:val="52F647F7"/>
    <w:rsid w:val="52F92565"/>
    <w:rsid w:val="53AE735E"/>
    <w:rsid w:val="53D03877"/>
    <w:rsid w:val="542F73CA"/>
    <w:rsid w:val="5430786D"/>
    <w:rsid w:val="545A1D2A"/>
    <w:rsid w:val="54C811C0"/>
    <w:rsid w:val="556A442D"/>
    <w:rsid w:val="55DA564E"/>
    <w:rsid w:val="55E816A3"/>
    <w:rsid w:val="5604127D"/>
    <w:rsid w:val="56044E6C"/>
    <w:rsid w:val="56166703"/>
    <w:rsid w:val="56510474"/>
    <w:rsid w:val="56861525"/>
    <w:rsid w:val="56A93273"/>
    <w:rsid w:val="56BD550C"/>
    <w:rsid w:val="56E07045"/>
    <w:rsid w:val="56FF28AF"/>
    <w:rsid w:val="57540E7D"/>
    <w:rsid w:val="577B4878"/>
    <w:rsid w:val="57926973"/>
    <w:rsid w:val="57D1482F"/>
    <w:rsid w:val="58175352"/>
    <w:rsid w:val="581F2200"/>
    <w:rsid w:val="583059FA"/>
    <w:rsid w:val="584A0929"/>
    <w:rsid w:val="58CD2491"/>
    <w:rsid w:val="591B41B2"/>
    <w:rsid w:val="59254A26"/>
    <w:rsid w:val="59326325"/>
    <w:rsid w:val="595C505B"/>
    <w:rsid w:val="595E55C3"/>
    <w:rsid w:val="596E7E20"/>
    <w:rsid w:val="5A5D23AA"/>
    <w:rsid w:val="5A60780B"/>
    <w:rsid w:val="5AB34579"/>
    <w:rsid w:val="5AB40E78"/>
    <w:rsid w:val="5AF80B40"/>
    <w:rsid w:val="5AFC6609"/>
    <w:rsid w:val="5B113480"/>
    <w:rsid w:val="5BD456CE"/>
    <w:rsid w:val="5C0D1F49"/>
    <w:rsid w:val="5CBB0CE2"/>
    <w:rsid w:val="5CC17177"/>
    <w:rsid w:val="5CF306BC"/>
    <w:rsid w:val="5D3F3D64"/>
    <w:rsid w:val="5D833043"/>
    <w:rsid w:val="5DD92690"/>
    <w:rsid w:val="5DDB1CFD"/>
    <w:rsid w:val="5E7E6D93"/>
    <w:rsid w:val="5E82459B"/>
    <w:rsid w:val="5ED44800"/>
    <w:rsid w:val="5F350BDE"/>
    <w:rsid w:val="5F61632C"/>
    <w:rsid w:val="5FA17648"/>
    <w:rsid w:val="5FE705CB"/>
    <w:rsid w:val="6007714E"/>
    <w:rsid w:val="603D5080"/>
    <w:rsid w:val="606842D0"/>
    <w:rsid w:val="60D0261B"/>
    <w:rsid w:val="618E3791"/>
    <w:rsid w:val="61947DCA"/>
    <w:rsid w:val="61A46A97"/>
    <w:rsid w:val="61D1382F"/>
    <w:rsid w:val="61F114A2"/>
    <w:rsid w:val="622B0ABA"/>
    <w:rsid w:val="62512BB4"/>
    <w:rsid w:val="625D7D1A"/>
    <w:rsid w:val="62660469"/>
    <w:rsid w:val="62DD7D21"/>
    <w:rsid w:val="637D586B"/>
    <w:rsid w:val="63A5560B"/>
    <w:rsid w:val="63E9091F"/>
    <w:rsid w:val="64322AF9"/>
    <w:rsid w:val="64D6010D"/>
    <w:rsid w:val="64D82665"/>
    <w:rsid w:val="64E47C96"/>
    <w:rsid w:val="651E5741"/>
    <w:rsid w:val="655D7702"/>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CA2A7A"/>
    <w:rsid w:val="68DB0208"/>
    <w:rsid w:val="68FB170C"/>
    <w:rsid w:val="691B3D98"/>
    <w:rsid w:val="693748F0"/>
    <w:rsid w:val="69846A0E"/>
    <w:rsid w:val="69AA1366"/>
    <w:rsid w:val="69AD798C"/>
    <w:rsid w:val="69D005C0"/>
    <w:rsid w:val="69D80B96"/>
    <w:rsid w:val="69F47AD7"/>
    <w:rsid w:val="6A2C39D4"/>
    <w:rsid w:val="6B68175F"/>
    <w:rsid w:val="6BFD799F"/>
    <w:rsid w:val="6C4A2E5A"/>
    <w:rsid w:val="6C8138D0"/>
    <w:rsid w:val="6CEF0725"/>
    <w:rsid w:val="6D4B2604"/>
    <w:rsid w:val="6D77358F"/>
    <w:rsid w:val="6D8030E4"/>
    <w:rsid w:val="6E0E35C4"/>
    <w:rsid w:val="6E0F7A08"/>
    <w:rsid w:val="6E3947F5"/>
    <w:rsid w:val="6E6733A0"/>
    <w:rsid w:val="6E6E3938"/>
    <w:rsid w:val="6E9C74ED"/>
    <w:rsid w:val="6EF72976"/>
    <w:rsid w:val="6F795A80"/>
    <w:rsid w:val="6F7C1D2E"/>
    <w:rsid w:val="6F8E0407"/>
    <w:rsid w:val="6FDD069F"/>
    <w:rsid w:val="702B4D16"/>
    <w:rsid w:val="70AA6621"/>
    <w:rsid w:val="7111480F"/>
    <w:rsid w:val="71261F49"/>
    <w:rsid w:val="712E6956"/>
    <w:rsid w:val="71473612"/>
    <w:rsid w:val="71504F32"/>
    <w:rsid w:val="7152309F"/>
    <w:rsid w:val="718F7F65"/>
    <w:rsid w:val="71DA6992"/>
    <w:rsid w:val="727B234E"/>
    <w:rsid w:val="728A58B0"/>
    <w:rsid w:val="72D068C7"/>
    <w:rsid w:val="72E42ED8"/>
    <w:rsid w:val="72FC34C3"/>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660D7C"/>
    <w:rsid w:val="766C5968"/>
    <w:rsid w:val="76BE0C8F"/>
    <w:rsid w:val="76CD53B2"/>
    <w:rsid w:val="76E6594C"/>
    <w:rsid w:val="770719AC"/>
    <w:rsid w:val="776526CC"/>
    <w:rsid w:val="77A262E1"/>
    <w:rsid w:val="77B13C33"/>
    <w:rsid w:val="77DC095A"/>
    <w:rsid w:val="77ED6F44"/>
    <w:rsid w:val="77F45548"/>
    <w:rsid w:val="77FC440B"/>
    <w:rsid w:val="784E7CA6"/>
    <w:rsid w:val="78574801"/>
    <w:rsid w:val="7873527F"/>
    <w:rsid w:val="790A6425"/>
    <w:rsid w:val="790E2D96"/>
    <w:rsid w:val="791B54B2"/>
    <w:rsid w:val="793C0F89"/>
    <w:rsid w:val="795A0A34"/>
    <w:rsid w:val="797339C3"/>
    <w:rsid w:val="79D57D57"/>
    <w:rsid w:val="79F00650"/>
    <w:rsid w:val="7A6242BF"/>
    <w:rsid w:val="7A794513"/>
    <w:rsid w:val="7A9B3811"/>
    <w:rsid w:val="7AB467DA"/>
    <w:rsid w:val="7AB9318D"/>
    <w:rsid w:val="7AE952D2"/>
    <w:rsid w:val="7B9F26AF"/>
    <w:rsid w:val="7BB607FE"/>
    <w:rsid w:val="7C7248A0"/>
    <w:rsid w:val="7C976D69"/>
    <w:rsid w:val="7CD752DA"/>
    <w:rsid w:val="7CDE40AB"/>
    <w:rsid w:val="7CF057E2"/>
    <w:rsid w:val="7D1548B5"/>
    <w:rsid w:val="7DF84014"/>
    <w:rsid w:val="7E207949"/>
    <w:rsid w:val="7E5C0A47"/>
    <w:rsid w:val="7E670C75"/>
    <w:rsid w:val="7EE24272"/>
    <w:rsid w:val="7EEA6053"/>
    <w:rsid w:val="7F487C04"/>
    <w:rsid w:val="7F611CBA"/>
    <w:rsid w:val="7FB45F21"/>
    <w:rsid w:val="7FE57088"/>
    <w:rsid w:val="7FF37F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Normal (Web)"/>
    <w:basedOn w:val="1"/>
    <w:qFormat/>
    <w:uiPriority w:val="0"/>
    <w:pPr>
      <w:spacing w:before="100" w:beforeAutospacing="1" w:after="100" w:afterAutospacing="1"/>
      <w:jc w:val="left"/>
    </w:pPr>
    <w:rPr>
      <w:kern w:val="0"/>
      <w:sz w:val="24"/>
    </w:rPr>
  </w:style>
  <w:style w:type="character" w:styleId="11">
    <w:name w:val="Strong"/>
    <w:basedOn w:val="10"/>
    <w:qFormat/>
    <w:uiPriority w:val="0"/>
    <w:rPr>
      <w:b/>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4">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1202</Words>
  <Characters>6855</Characters>
  <Lines>57</Lines>
  <Paragraphs>16</Paragraphs>
  <TotalTime>25</TotalTime>
  <ScaleCrop>false</ScaleCrop>
  <LinksUpToDate>false</LinksUpToDate>
  <CharactersWithSpaces>8041</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2024-11-19T09:12:34Z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D624B15633CD43C8BF9435464A96BF70</vt:lpwstr>
  </property>
</Properties>
</file>