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公用经费乌财科教【2022】67、75号关于提前下达2023年自治区直达资金预算的通知</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第106小学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第106小学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朱旭加</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2024年05月24日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该项目实施背景：根据财政部、教育部《关于印发&lt;城乡义务教育补助经费管理办法&gt;的通知》，归纳直达资金分为以下四种情况及相应的管理办法：一、对城乡义务教育学生（含民办学校学生）免除学杂费，免费提供教科书，对家庭经济困难学生补助生活费。民办学校学生由学校按照获得的生均公用经费补助免除学杂费。这一部分中央直达资金要求按照国家统一制定的基础标准直接转到符合条件享受该项补贴的学生本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对城乡义务教育学校（含民办学校）按照不低于生均公用经费基础定额的标准补助公用经费。中央直达的公用经费补助资金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公用经费补助资金不得用于教职工福利、临时聘用人员工资等人员经费，基本建设投资，偿还债务等方面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实施农村义务教育学生营养改善。这部分中央直达资金用于向学生提供等值优质的食品，不得以现金形式直接发放，不得用于补贴教职工伙食、学校公用经费，不得用于劳务费、宣传费、运输费等工作经费；对于地方试点地区，中央财政给予生均定额奖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（2）项目2023年的主要实施内容：①合理合规使用公用经费，保障学校日常运行运转；②购买商品及服务，达到改善教学教育环境及教学设施、提高学生综合素质的目标效果。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①支付学校安保服务费；水电费、网络通讯及电话费；学校维修、硬件设施的购买和修缮相关费用；购买日常办公用品2，由于财政资金未全额拨付，暖气费未支付。②保障学校日常运行运转，达到改善教学教育环境及教学设施、提高学生综合素质的目标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1）该项目资金投入情况：公用经费乌财科教【2022】67、75号文件批准，项目系2023年自治区资金，共安排预算39.52万元，于2023年初部门预算批复项目，于2023年年中追加部门预算批复项目，年中资金追加11.05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50.57万元；②资金主要用于维修学校设施预算投入7万元，实际支出7万元；支付学校安保服务费4万元，购买日常办公用品21.58万元，支付水电费、网络通讯及电话费5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③预算执行率：74.31%。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该项目资金区财政及时拨付，单位在此次评价期间内，有序完成设定目标的部分工作任务，本项目支付学校安保服务费4万元；水电费、网络通讯及电话费5万元；学校维修、硬件设施的购买和修缮7万元；购买日常办公用品21.58万元，由于财政资金未全额拨付，暖气费未支付。该项目资金使用保障学校日常运行运转，达到改善教学教育环境及教学设施、提高学生综合素质的目标效果。 正常完成的指标：供暖合格率：100；改善教学环境达标率：100；新增教学设备数量：10；学校享受条件改善的学生人数：513；供暖面积：6021；购置教学设备质量达标率：100；供暖时长：180；设备购置完成及时率：100；学校供暖成本：120；提高社会服务发展能力：有效提高；改善教学教育环境：有效改善；师生满意度：90%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该项目总体绩效目标：通过维修学校设施，支付学校安保服务费、缴纳公用暖气费，可改善我校办学硬件设施，有效改善校园环境，明显提高办学条件，推动义务教育均衡化发展。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该项目阶段性目标为：在2023年维修学校设施多处，支付安保相关费用，支付水电费、网络通讯及电话费，支付购买办公用品及相关服务以保障学校正常运转。</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首先，本项目旨在补充学校公用经费，保障义务教育段学校的正常运转，具体内容为保障在校学生老师的学习生活，购买设施设备及校园维修，以此改善学校教学条件。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其次，在评价过程中，我们深入分析了项目的计划和实施过程。从资金的的分配合理性，再到资金使用情况，整个流程都经过了严格的监控和评估。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科教【2022】67、75号关于提前下达2023年自治区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（1）绩效评价的对象：公用经费乌财科教【2022】67、75号关于提前下达2023年自治区直达资金预算的通知项目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乌财科教【2022】67、75号关于提前下达2023年自治区直达资金预算的通知项目的项目范围：公用经费乌财科教【2022】67、75号《关于提前下达2023年自治区直达资金预算的通知》项目：本项目主要内容是通过维修学校设施，支付学校安保服务费、缴纳公用暖气费，可改善我校办学硬件设施，有效改善校园环境，明显提高办学条件，推动义务教育均衡化发展。项目年初预算资金39.52万元，实际到位资金39.52万元，实际执行资金39.52万元。项目的实施有效保障了学校的正常运转，保障了在校学生及教师的日常工作生活，并通过购买设施设备及校园维修，有效改善了学校教学条件。截止评价日，项目绩效目标基本完成：保障在校559名学生在校学习活动的开展；学校供暖面积约为6021平方米；供暖保障率达到100%；保障学校全年正常运转，教育活动正常开展。未完成指标：“享受教学条件改善学生数”的目标值是574个，2023年度我单位实际完成559个，原因是新招学生数减少、转出比转入学生多。另外，由于财政资金未全额拨付，暖气费未支付。存在问题：对于预算绩效理解不够深入，下一步将加强该部分内容的理论学习及实践操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公用经费乌财科教【2022】67、75号关于提前下达2023年自治区直达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关于修订《新疆维吾尔自治区城乡义务教育“两免一补”资金管理办法》的通知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·乌鲁木齐市教育局 关于印发《乌鲁木齐市教育局局属学校（单位）固定资产管理办法（暂行）》的通知（乌教发〔2016〕19号）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·教育部等四部门关于印发《职业学校兼职教师管理办法》的通知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首先，本项目旨在补充学校公用经费，保障义务教育段学校的正常运转，具体内容为保障在校学生老师的学习生活，购买设施设备及校园维修，以此改善学校教学条件。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其次，在评价过程中，我们深入分析了项目的计划和实施过程。从资金的的分配合理性，再到资金使用情况，整个流程都经过了严格的监控和评估。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科教【2022】67、75号关于提前下达2023年自治区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（1）绩效评价的对象：公用经费乌财科教【2022】67、75号关于提前下达2023年自治区直达资金预算的通知项目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乌财科教【2022】67、75号关于提前下达2023年自治区直达资金预算的通知项目的项目范围：公用经费乌财科教【2022】67、75号《关于提前下达2023年自治区直达资金预算的通知》项目：本项目主要内容是通过维修学校设施，支付学校安保服务费、缴纳公用暖气费，可改善我校办学硬件设施，有效改善校园环境，明显提高办学条件，推动义务教育均衡化发展。项目年初预算资金39.52万元，实际到位资金39.52万元，实际执行资金39.52万元。项目的实施有效保障了学校的正常运转，保障了在校学生及教师的日常工作生活，并通过购买设施设备及校园维修，有效改善了学校教学条件。截止评价日，项目绩效目标基本完成：保障在校559名学生在校学习活动的开展；学校供暖面积约为6021平方米；供暖保障率达到100%；保障学校全年正常运转，教育活动正常开展。未完成指标：“享受教学条件改善学生数”的目标值是574个，2023年度我单位实际完成559个，原因是新招学生数减少、转出比转入学生多。另外，由于财政资金未全额拨付，暖气费未支付。存在问题：对于预算绩效理解不够深入，下一步将加强该部分内容的理论学习及实践操作。</w:t>
      </w:r>
      <w:r>
        <w:rPr>
          <w:rStyle w:val="18"/>
          <w:rFonts w:hint="eastAsia" w:ascii="楷体" w:hAnsi="楷体" w:eastAsia="楷体"/>
          <w:b w:val="0"/>
          <w:bCs w:val="0"/>
          <w:color w:val="000000" w:themeColor="text1"/>
          <w:spacing w:val="-4"/>
          <w:sz w:val="32"/>
          <w:szCs w:val="32"/>
          <w14:textFill>
            <w14:solidFill>
              <w14:schemeClr w14:val="tx1"/>
            </w14:solidFill>
          </w14:textFill>
        </w:rPr>
        <w:cr/>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乌财科教【2022】67、75号关于提前下达2023年自治区直达资金预算的通知进行客观评价，最终评分结果为：总分为98.44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3.72</w:t>
      </w:r>
      <w:r>
        <w:rPr>
          <w:rStyle w:val="18"/>
          <w:rFonts w:hint="eastAsia" w:ascii="楷体" w:hAnsi="楷体" w:eastAsia="楷体"/>
          <w:b w:val="0"/>
          <w:bCs w:val="0"/>
          <w:color w:val="000000" w:themeColor="text1"/>
          <w:spacing w:val="-4"/>
          <w:sz w:val="32"/>
          <w:szCs w:val="32"/>
          <w14:textFill>
            <w14:solidFill>
              <w14:schemeClr w14:val="tx1"/>
            </w14:solidFill>
          </w14:textFill>
        </w:rPr>
        <w:tab/>
        <w:t>74.31%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4.87</w:t>
      </w:r>
      <w:r>
        <w:rPr>
          <w:rStyle w:val="18"/>
          <w:rFonts w:hint="eastAsia" w:ascii="楷体" w:hAnsi="楷体" w:eastAsia="楷体"/>
          <w:b w:val="0"/>
          <w:bCs w:val="0"/>
          <w:color w:val="000000" w:themeColor="text1"/>
          <w:spacing w:val="-4"/>
          <w:sz w:val="32"/>
          <w:szCs w:val="32"/>
          <w14:textFill>
            <w14:solidFill>
              <w14:schemeClr w14:val="tx1"/>
            </w14:solidFill>
          </w14:textFill>
        </w:rPr>
        <w:tab/>
        <w:t>97.38%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4.85</w:t>
      </w:r>
      <w:r>
        <w:rPr>
          <w:rStyle w:val="18"/>
          <w:rFonts w:hint="eastAsia" w:ascii="楷体" w:hAnsi="楷体" w:eastAsia="楷体"/>
          <w:b w:val="0"/>
          <w:bCs w:val="0"/>
          <w:color w:val="000000" w:themeColor="text1"/>
          <w:spacing w:val="-4"/>
          <w:sz w:val="32"/>
          <w:szCs w:val="32"/>
          <w14:textFill>
            <w14:solidFill>
              <w14:schemeClr w14:val="tx1"/>
            </w14:solidFill>
          </w14:textFill>
        </w:rPr>
        <w:tab/>
        <w:t>97.02%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供暖合格率达到100%；改善教学环境达标率达到100%；学校享受条件改善的学生人数：559；供暖面积6021平方米；学校供暖覆盖率达到100%；学校全年正常运转率达到100%，提高社会服务发展能力、提升学生综合素质。学生满意度达到90%以上，该项目资金使用保障学校日常运行运转，达到改善教学教育环境及教学设施、提高学生综合素质的目标效果。</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乌财科教【2022】67、75号关于提前下达2023年自治区直达资金预算的通知进行客观评价，最终评分结果为：总分为98.44分，绩效评级为“优”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3.72</w:t>
      </w:r>
      <w:r>
        <w:rPr>
          <w:rStyle w:val="18"/>
          <w:rFonts w:hint="eastAsia" w:ascii="楷体" w:hAnsi="楷体" w:eastAsia="楷体"/>
          <w:b w:val="0"/>
          <w:bCs w:val="0"/>
          <w:color w:val="000000" w:themeColor="text1"/>
          <w:spacing w:val="-4"/>
          <w:sz w:val="32"/>
          <w:szCs w:val="32"/>
          <w14:textFill>
            <w14:solidFill>
              <w14:schemeClr w14:val="tx1"/>
            </w14:solidFill>
          </w14:textFill>
        </w:rPr>
        <w:tab/>
        <w:t>74.31%</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享受教学条件改善学生数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4.87</w:t>
      </w:r>
      <w:r>
        <w:rPr>
          <w:rStyle w:val="18"/>
          <w:rFonts w:hint="eastAsia" w:ascii="楷体" w:hAnsi="楷体" w:eastAsia="楷体"/>
          <w:b w:val="0"/>
          <w:bCs w:val="0"/>
          <w:color w:val="000000" w:themeColor="text1"/>
          <w:spacing w:val="-4"/>
          <w:sz w:val="32"/>
          <w:szCs w:val="32"/>
          <w14:textFill>
            <w14:solidFill>
              <w14:schemeClr w14:val="tx1"/>
            </w14:solidFill>
          </w14:textFill>
        </w:rPr>
        <w:tab/>
        <w:t>97.38%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学校供暖面积</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4.85</w:t>
      </w:r>
      <w:r>
        <w:rPr>
          <w:rStyle w:val="18"/>
          <w:rFonts w:hint="eastAsia" w:ascii="楷体" w:hAnsi="楷体" w:eastAsia="楷体"/>
          <w:b w:val="0"/>
          <w:bCs w:val="0"/>
          <w:color w:val="000000" w:themeColor="text1"/>
          <w:spacing w:val="-4"/>
          <w:sz w:val="32"/>
          <w:szCs w:val="32"/>
          <w14:textFill>
            <w14:solidFill>
              <w14:schemeClr w14:val="tx1"/>
            </w14:solidFill>
          </w14:textFill>
        </w:rPr>
        <w:tab/>
        <w:t>97.02%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学校供暖覆盖率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学校全年正常运转率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项目完成时间</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提高社会服务发展能力、提升学生综合素质</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有序完成设定目标的部分工作任务：供暖合格率达到100%；改善教学环境达标率达到100%；学校享受条件改善的学生人数：559；供暖面积6021平方米；学校供暖覆盖率达到100%；学校全年正常运转率达到100%，提高社会服务发展能力、提升学生综合素质。学生满意度达到90%以上，该项目资金使用保障学校日常运行运转，达到改善教学教育环境及教学设施、提高学生综合素质的目标效果。</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关于进一步完善城乡义务教育经费保障机制的通知》相关政策要求。同时，我单位为义务阶段学校，与项目实施范围相符，与部门履职所需一致。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 项目按照规定的程序申请设立，审批文件、材料符合相关要求，故立项程序规范，得4分。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目标已细化为具体的绩效指标，可通过数量指标、质量指标、时效指标予以量化(数量指标量化为享受教学条件改善学生数及学校供暖面积；质量指标量化为学校供暖覆盖率及学校全年正常运转率；时效指标量化为项目完成时间)，并具有确切的评价标准，且指标设定均与目标相关。各项指标均能在现实条件下收集到相关数据进行佐证（通过资料收集的方式，来佐证享受学生数及供暖面积情况；通过实际观察的方式，看是否因为项目未有效实施导致学校出现运转问题，来确认供暖覆盖率、学校正常运转率及项目完成的时间范围），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经国务院批准，从2023年春季学期起提高义务教育学校生均公用经费基准定额，小学由年生均650元提高到720元，初中由850元提高到940元，支持学校落实“双减”政策、提升课后服务水平，我单位按照2022年秋季事业单位年报学生人数计算学校公用经费，符合政策要求。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该项目资金主要为补充学校公用经费使用，我单位按照资金管理要求，合理使用资金，主要用于支付学校安保服务费4万元；水电费、网络通讯及电话费5万元；学校维修、硬件设施的购买和修缮7万元；购买日常办公用品21.58万元，由于财政资金未全额拨付，暖气费未支付。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项目过程指标由2个二级指标和5个三级指标构成，权重为20分，实际得分18.72分。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资金到位率：：此项目2023年初预算数为39.52万元，实际到位资金数为39.52万元。年中追加预算11.05万元，全年预算数为50.57万元，实际资金到位数为50.57万元，资金到位率100%。故资金到位率指标得分5分。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预算执行率：2023年该项目全年预算数为50.57万元，实际到位数50.57万元，实际支出数为37.58万元，预算执行率74.31%。故预算执行率得分为3.72分。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国家财经法规《乌鲁木齐市第106小学财务管理制度》及《乌鲁木齐第106小学专项资金管理制度》的规定。同时，资金的拨付有完整的审批程序，需要支付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综上，该指标满分13分，得分10.72分。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我单位已制定相应的《乌鲁木齐市第106小学财务管理制度》及《乌鲁木齐第106小学专项资金管理制度》，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该项目严格遵守相关法律法规和相关管理规定，项目调整及支出调整手续完备，整体管理合理有序，项目完成后，及时将会计凭证、固定资产入库单、验收单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项目产出指标由4个二级指标和6个三级指标构成，权重为40分，实际得分39.72分。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数量指标“享受教学条件改善学生数”的目标值是574人，2023年度我单位实际完成559人，原因是一年级新招人数减少，转出人数增加，故该指标完成率97.38%，享受教学条件改善学生数指标得分4.87分。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数量指标“学校供暖面积”的目标值是6206平方米，2023年度我单位实际完成值6021平方米，原因是设置指标值时输入错误，故该指标完成率97.02%。学校供暖面积指标得分4.85分。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质量指标“学校供暖覆盖率”的目标值是&gt;=100%，2023年度我单位实际完成值100%；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质量指标“学校全年正常运转率”的目标值是&gt;=100%，2023年度我单位实际完成值100%；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实际完成率：100%，故质量指标得分为10分。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时效指标“项目完成时间”的目标值是12个月，实际完成值为12个月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故时效指标得分为10分。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项目预算控制率：本项目实际支出39.52万元，无超支情况，由于财政资金未全额拨付，暖气费未支付，项目总支出控制在预算范围内。故得分为10分。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综上，该部分指标满分40分，得分40分。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社会服务发展能力、提升学生综合素质”，指标值：有效提高，实际完成值：达成年度指标。本项目的实施改善了我校办学硬件设施，有效改善了校园环境，明显提高了办学条件，推动了义务教育均衡化发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综上，该指标满分15分，得分15分。</w:t>
      </w:r>
      <w:r>
        <w:rPr>
          <w:rStyle w:val="18"/>
          <w:rFonts w:hint="eastAsia" w:ascii="楷体" w:hAnsi="楷体" w:eastAsia="楷体"/>
          <w:b w:val="0"/>
          <w:bCs w:val="0"/>
          <w:color w:val="000000" w:themeColor="text1"/>
          <w:spacing w:val="-4"/>
          <w:sz w:val="32"/>
          <w:szCs w:val="32"/>
          <w14:textFill>
            <w14:solidFill>
              <w14:schemeClr w14:val="tx1"/>
            </w14:solidFill>
          </w14:textFill>
        </w:rPr>
        <w:cr/>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评价指标“学生满意度”，指标值：≥95%，实际完成值：95%。通过设置问卷调查的方式进行考评评价，共计调查样本总量为50个样本，有效调查问卷50份。其中，统计“对学校情况满意度”的平均值为95%。故满意度指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1.聚焦重点任务，推动项目工作落地落实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县财政局建立了奖励扶助专户，建立健全奖励扶助经费管理制度，督促实施单位严格实行“三专”管理，即设专户、建专帐、定专人，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为有效推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2.坚持问题导向，加强执行监控，提高资金效益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3.强化绩效目标刚性约束，及时对项目进行跟踪问效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一是领导重视到位：高度重视，主要领导亲自抓，并予以充分的人力、财力保障。责任落实到位：将各项目工作列入年度干部绩效考核实施方案，将各项目工作落实到具体科室、具体岗位、具体个人。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三是健全项目管理制度。我单位已有保证项目实施的制度、措施等，如《中华人民共和国预算法》等。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1.绩效预算认识不够充分，绩效理念有待进一步强化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2.绩效档案归档工作有待提高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3.项目支出绩效评价存在局限，客观性有待加强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工作还存在自我审定的局限性，项目支出绩效工作有较大弹性，评价报告多局限于描述项目实施情况，对问题避重就轻，对项目的打分松紧不一，会影响评价质量，在客观性和公正性上说服力不强。</w:t>
      </w:r>
      <w:r>
        <w:rPr>
          <w:rStyle w:val="18"/>
          <w:rFonts w:hint="eastAsia" w:ascii="楷体" w:hAnsi="楷体" w:eastAsia="楷体"/>
          <w:b w:val="0"/>
          <w:bCs w:val="0"/>
          <w:color w:val="000000" w:themeColor="text1"/>
          <w:spacing w:val="-4"/>
          <w:sz w:val="32"/>
          <w:szCs w:val="32"/>
          <w14:textFill>
            <w14:solidFill>
              <w14:schemeClr w14:val="tx1"/>
            </w14:solidFill>
          </w14:textFill>
        </w:rPr>
        <w:cr/>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1.加强培训，提高相关人员工作水平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采取多种培训形式对单位财务人员、业务科室人员进行集中培训，进一步树牢绩效观念，提高本单位工作人员的绩效管理能力和工作水平，为预算绩效管理相关工作的顺利开展提供保障。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2.扎实推进档案规范化建设，提升档案管理水平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进一步完善项目评价资料。项目启动时同步做好档案的归纳与整理，及时整理、收集、汇总，健全档案资料。二是严格落实自治区关于绩效管理工作档案资料归档的相关要求，强化收集力度，确保归档资料的完整齐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高度重视，加强领导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高度重视，加强领导，精心组织。项目绩效领导小组对绩效评价工作进行指导、监督、检查，确保项目绩效评价反映项目完成真实情况。严格执行项目绩效评价工作要求，切实提高项目绩效报告的客观性和公正性。</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93A550C"/>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47</Pages>
  <Words>13986</Words>
  <Characters>14726</Characters>
  <Lines>4</Lines>
  <Paragraphs>1</Paragraphs>
  <TotalTime>12</TotalTime>
  <ScaleCrop>false</ScaleCrop>
  <LinksUpToDate>false</LinksUpToDate>
  <CharactersWithSpaces>15064</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2024-10-12T04:03:44Z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