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79DFE4A">
      <w:pPr>
        <w:rPr>
          <w:rFonts w:hint="eastAsia" w:ascii="黑体" w:hAnsi="黑体" w:eastAsia="黑体"/>
          <w:sz w:val="32"/>
          <w:szCs w:val="32"/>
        </w:rPr>
      </w:pPr>
      <w:bookmarkStart w:id="51" w:name="_GoBack"/>
    </w:p>
    <w:p w14:paraId="33313A8B">
      <w:pPr>
        <w:jc w:val="center"/>
        <w:rPr>
          <w:rFonts w:hint="eastAsia" w:ascii="方正小标宋_GBK" w:hAnsi="宋体" w:eastAsia="方正小标宋_GBK"/>
          <w:sz w:val="44"/>
          <w:szCs w:val="44"/>
        </w:rPr>
      </w:pPr>
    </w:p>
    <w:p w14:paraId="029FC24A">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乌鲁木齐市米东区公益电影放映管理中心</w:t>
      </w:r>
    </w:p>
    <w:p w14:paraId="45ED318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 xml:space="preserve"> 2023年度部门决算</w:t>
      </w:r>
    </w:p>
    <w:p w14:paraId="3792CF8F">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1631698F">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00AB46CE">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5C7F49F">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230062EA">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60DF6035">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747AA9BE">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20CECBB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386A28B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5BA7AF6B">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4B0180A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3B145E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12D3BAD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FB275C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5C5C7628">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622DBED6">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0FFEFD93">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4529E1C">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0886A5F">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7C657BF3">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5C51176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2DFAD90E">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0B65A86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55F97737">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5E5F5AF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0B3265D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277AB3D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29520FC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4C351D5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2CB45639">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1D5C8F97">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02FD6741">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4E6EE275">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EF2850A">
      <w:r>
        <w:rPr>
          <w:rFonts w:hint="eastAsia" w:ascii="仿宋_GB2312" w:hAnsi="仿宋_GB2312" w:eastAsia="仿宋_GB2312" w:cs="仿宋_GB2312"/>
          <w:sz w:val="32"/>
          <w:szCs w:val="32"/>
        </w:rPr>
        <w:fldChar w:fldCharType="end"/>
      </w:r>
    </w:p>
    <w:p w14:paraId="08E695A5">
      <w:pPr>
        <w:rPr>
          <w:rFonts w:ascii="仿宋_GB2312" w:eastAsia="仿宋_GB2312"/>
          <w:sz w:val="32"/>
          <w:szCs w:val="32"/>
        </w:rPr>
      </w:pPr>
      <w:r>
        <w:rPr>
          <w:rFonts w:hint="eastAsia" w:ascii="仿宋_GB2312" w:eastAsia="仿宋_GB2312"/>
          <w:sz w:val="32"/>
          <w:szCs w:val="32"/>
        </w:rPr>
        <w:br w:type="page"/>
      </w:r>
    </w:p>
    <w:p w14:paraId="11079996">
      <w:pPr>
        <w:jc w:val="center"/>
        <w:outlineLvl w:val="0"/>
        <w:rPr>
          <w:rFonts w:hint="eastAsia" w:ascii="黑体" w:hAnsi="黑体" w:eastAsia="黑体"/>
          <w:sz w:val="32"/>
          <w:szCs w:val="32"/>
        </w:rPr>
      </w:pPr>
      <w:bookmarkStart w:id="0" w:name="_Toc32314"/>
      <w:bookmarkStart w:id="1" w:name="_Toc24028"/>
      <w:r>
        <w:rPr>
          <w:rFonts w:hint="eastAsia" w:ascii="黑体" w:hAnsi="黑体" w:eastAsia="黑体"/>
          <w:sz w:val="32"/>
          <w:szCs w:val="32"/>
        </w:rPr>
        <w:t>第一部分 单位概况</w:t>
      </w:r>
      <w:bookmarkEnd w:id="0"/>
      <w:bookmarkEnd w:id="1"/>
    </w:p>
    <w:p w14:paraId="6B9BBD45">
      <w:pPr>
        <w:ind w:firstLine="640" w:firstLineChars="200"/>
        <w:outlineLvl w:val="1"/>
        <w:rPr>
          <w:rFonts w:hint="eastAsia"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14:paraId="50B8FF98">
      <w:pPr>
        <w:ind w:firstLine="640" w:firstLineChars="200"/>
        <w:jc w:val="left"/>
        <w:rPr>
          <w:rFonts w:ascii="仿宋_GB2312" w:eastAsia="仿宋_GB2312"/>
          <w:sz w:val="32"/>
          <w:szCs w:val="32"/>
        </w:rPr>
      </w:pPr>
      <w:r>
        <w:rPr>
          <w:rFonts w:hint="eastAsia" w:ascii="仿宋_GB2312" w:eastAsia="仿宋_GB2312"/>
          <w:sz w:val="32"/>
          <w:szCs w:val="32"/>
        </w:rPr>
        <w:t>1.负责全区电影规划工作；2.负责为各乡镇和社区电影的业务管理，技术培训，电影发行等工作；3.负责社区活动的相关服务工作；4.完成米东</w:t>
      </w:r>
      <w:r>
        <w:rPr>
          <w:rFonts w:hint="eastAsia" w:ascii="仿宋_GB2312" w:eastAsia="仿宋_GB2312"/>
          <w:sz w:val="32"/>
          <w:szCs w:val="32"/>
          <w:lang w:eastAsia="zh-CN"/>
        </w:rPr>
        <w:t>区委宣传部</w:t>
      </w:r>
      <w:r>
        <w:rPr>
          <w:rFonts w:hint="eastAsia" w:ascii="仿宋_GB2312" w:eastAsia="仿宋_GB2312"/>
          <w:sz w:val="32"/>
          <w:szCs w:val="32"/>
        </w:rPr>
        <w:t>交办的其他工作。</w:t>
      </w:r>
    </w:p>
    <w:p w14:paraId="64324A0D">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784FBAC6">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乌鲁木齐市米东区公益电影放映管理中心2023年度，实有人数</w:t>
      </w:r>
      <w:r>
        <w:rPr>
          <w:rFonts w:hint="eastAsia" w:ascii="仿宋_GB2312" w:eastAsia="仿宋_GB2312"/>
          <w:sz w:val="32"/>
          <w:szCs w:val="32"/>
          <w:lang w:val="zh-CN"/>
        </w:rPr>
        <w:t>15</w:t>
      </w:r>
      <w:r>
        <w:rPr>
          <w:rFonts w:hint="eastAsia" w:ascii="仿宋_GB2312" w:eastAsia="仿宋_GB2312"/>
          <w:sz w:val="32"/>
          <w:szCs w:val="32"/>
        </w:rPr>
        <w:t>人，其中：在职人员</w:t>
      </w:r>
      <w:r>
        <w:rPr>
          <w:rFonts w:hint="eastAsia" w:ascii="仿宋_GB2312" w:eastAsia="仿宋_GB2312"/>
          <w:sz w:val="32"/>
          <w:szCs w:val="32"/>
          <w:lang w:val="zh-CN"/>
        </w:rPr>
        <w:t>3</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12</w:t>
      </w:r>
      <w:r>
        <w:rPr>
          <w:rFonts w:hint="eastAsia" w:ascii="仿宋_GB2312" w:eastAsia="仿宋_GB2312"/>
          <w:sz w:val="32"/>
          <w:szCs w:val="32"/>
        </w:rPr>
        <w:t>人。</w:t>
      </w:r>
    </w:p>
    <w:p w14:paraId="200D9C89">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农村电影办公室、社区电影办公室、行政办。</w:t>
      </w:r>
    </w:p>
    <w:p w14:paraId="58DEEF67">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7B9325D8">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71FD118">
      <w:pPr>
        <w:ind w:firstLine="640" w:firstLineChars="200"/>
        <w:jc w:val="left"/>
        <w:rPr>
          <w:rFonts w:ascii="仿宋_GB2312" w:eastAsia="仿宋_GB2312"/>
          <w:sz w:val="32"/>
          <w:szCs w:val="32"/>
        </w:rPr>
      </w:pPr>
      <w:r>
        <w:rPr>
          <w:rFonts w:hint="eastAsia" w:ascii="仿宋_GB2312" w:eastAsia="仿宋_GB2312"/>
          <w:sz w:val="32"/>
          <w:szCs w:val="32"/>
        </w:rPr>
        <w:t>2023年度收入总计115.41万元，其中：本年收入合计110.47万元，使用非财政拨款结余0.00万元，年初结转和结余4.94万元。</w:t>
      </w:r>
    </w:p>
    <w:p w14:paraId="7AA568D8">
      <w:pPr>
        <w:ind w:firstLine="640" w:firstLineChars="200"/>
        <w:jc w:val="left"/>
        <w:rPr>
          <w:rFonts w:ascii="仿宋_GB2312" w:eastAsia="仿宋_GB2312"/>
          <w:sz w:val="32"/>
          <w:szCs w:val="32"/>
        </w:rPr>
      </w:pPr>
      <w:r>
        <w:rPr>
          <w:rFonts w:hint="eastAsia" w:ascii="仿宋_GB2312" w:eastAsia="仿宋_GB2312"/>
          <w:sz w:val="32"/>
          <w:szCs w:val="32"/>
        </w:rPr>
        <w:t>2023年度支出总计115.41万元，其中：本年支出合计99.60万元，结余分配0.00万元，年末结转和结余15.81万元。</w:t>
      </w:r>
    </w:p>
    <w:p w14:paraId="36B43296">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减少6.09万元</w:t>
      </w:r>
      <w:r>
        <w:rPr>
          <w:rFonts w:hint="eastAsia" w:ascii="仿宋_GB2312" w:eastAsia="仿宋_GB2312"/>
          <w:sz w:val="32"/>
          <w:szCs w:val="32"/>
        </w:rPr>
        <w:t>，下降5.01%，主要原因是：单位在职人员减少，相应减少人员工资、津补贴等人员经费。</w:t>
      </w:r>
    </w:p>
    <w:p w14:paraId="3A0571BE">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7DE96A46">
      <w:pPr>
        <w:ind w:firstLine="640" w:firstLineChars="200"/>
        <w:jc w:val="left"/>
        <w:rPr>
          <w:rFonts w:ascii="仿宋_GB2312" w:eastAsia="仿宋_GB2312"/>
          <w:sz w:val="32"/>
          <w:szCs w:val="32"/>
        </w:rPr>
      </w:pPr>
      <w:r>
        <w:rPr>
          <w:rFonts w:hint="eastAsia" w:ascii="仿宋_GB2312" w:eastAsia="仿宋_GB2312"/>
          <w:sz w:val="32"/>
          <w:szCs w:val="32"/>
        </w:rPr>
        <w:t>本年收入110.47万元，其中：财政拨款收入</w:t>
      </w:r>
      <w:r>
        <w:rPr>
          <w:rFonts w:hint="eastAsia" w:ascii="仿宋_GB2312" w:eastAsia="仿宋_GB2312"/>
          <w:sz w:val="32"/>
          <w:szCs w:val="32"/>
          <w:lang w:val="zh-CN"/>
        </w:rPr>
        <w:t>110.47</w:t>
      </w:r>
      <w:r>
        <w:rPr>
          <w:rFonts w:hint="eastAsia" w:ascii="仿宋_GB2312" w:eastAsia="仿宋_GB2312"/>
          <w:sz w:val="32"/>
          <w:szCs w:val="32"/>
        </w:rPr>
        <w:t>万元，占</w:t>
      </w:r>
      <w:r>
        <w:rPr>
          <w:rFonts w:hint="eastAsia" w:ascii="仿宋_GB2312" w:eastAsia="仿宋_GB2312"/>
          <w:sz w:val="32"/>
          <w:szCs w:val="32"/>
          <w:lang w:val="zh-CN"/>
        </w:rPr>
        <w:t>100.00%</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w:t>
      </w:r>
    </w:p>
    <w:p w14:paraId="7E9F00FA">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34F57945">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本年支出99.60万元，其中：基本支出82.05万元，占82.38%；项目支出17.55万元，占17.62%；上缴上级支出0.00万元，占0.00%；经营支出0.00万元，占0.00%；对附属单位补助支出0.00万元，占0.00%。</w:t>
      </w:r>
    </w:p>
    <w:p w14:paraId="483A2F0C">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7B2BB72C">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115.41</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4.93</w:t>
      </w:r>
      <w:r>
        <w:rPr>
          <w:rFonts w:hint="eastAsia" w:ascii="仿宋_GB2312" w:eastAsia="仿宋_GB2312"/>
          <w:sz w:val="32"/>
          <w:szCs w:val="32"/>
        </w:rPr>
        <w:t>万元，本年财政拨款收入</w:t>
      </w:r>
      <w:r>
        <w:rPr>
          <w:rFonts w:hint="eastAsia" w:ascii="仿宋_GB2312" w:eastAsia="仿宋_GB2312"/>
          <w:sz w:val="32"/>
          <w:szCs w:val="32"/>
          <w:lang w:val="zh-CN"/>
        </w:rPr>
        <w:t>110.47</w:t>
      </w:r>
      <w:r>
        <w:rPr>
          <w:rFonts w:hint="eastAsia" w:ascii="仿宋_GB2312" w:eastAsia="仿宋_GB2312"/>
          <w:sz w:val="32"/>
          <w:szCs w:val="32"/>
        </w:rPr>
        <w:t>万元。财政拨款支出总计</w:t>
      </w:r>
      <w:r>
        <w:rPr>
          <w:rFonts w:hint="eastAsia" w:ascii="仿宋_GB2312" w:eastAsia="仿宋_GB2312"/>
          <w:sz w:val="32"/>
          <w:szCs w:val="32"/>
          <w:lang w:val="zh-CN"/>
        </w:rPr>
        <w:t>115.41</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15.81</w:t>
      </w:r>
      <w:r>
        <w:rPr>
          <w:rFonts w:hint="eastAsia" w:ascii="仿宋_GB2312" w:eastAsia="仿宋_GB2312"/>
          <w:sz w:val="32"/>
          <w:szCs w:val="32"/>
        </w:rPr>
        <w:t>万元，本年财政拨款支出</w:t>
      </w:r>
      <w:r>
        <w:rPr>
          <w:rFonts w:hint="eastAsia" w:ascii="仿宋_GB2312" w:eastAsia="仿宋_GB2312"/>
          <w:sz w:val="32"/>
          <w:szCs w:val="32"/>
          <w:lang w:val="zh-CN"/>
        </w:rPr>
        <w:t>99.60</w:t>
      </w:r>
      <w:r>
        <w:rPr>
          <w:rFonts w:hint="eastAsia" w:ascii="仿宋_GB2312" w:eastAsia="仿宋_GB2312"/>
          <w:sz w:val="32"/>
          <w:szCs w:val="32"/>
        </w:rPr>
        <w:t>万元。</w:t>
      </w:r>
    </w:p>
    <w:p w14:paraId="571F0EB1">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减少6.01万元</w:t>
      </w:r>
      <w:r>
        <w:rPr>
          <w:rFonts w:hint="eastAsia" w:ascii="仿宋_GB2312" w:eastAsia="仿宋_GB2312"/>
          <w:sz w:val="32"/>
          <w:szCs w:val="32"/>
        </w:rPr>
        <w:t>，下降4.95%,主要原因是：单位在职人员减少，相应减少人员工资、津补贴等人员经费。与年初预算相比，年初预算数</w:t>
      </w:r>
      <w:r>
        <w:rPr>
          <w:rFonts w:hint="eastAsia" w:ascii="仿宋_GB2312" w:eastAsia="仿宋_GB2312"/>
          <w:sz w:val="32"/>
          <w:szCs w:val="32"/>
          <w:lang w:val="zh-CN"/>
        </w:rPr>
        <w:t>73.96</w:t>
      </w:r>
      <w:r>
        <w:rPr>
          <w:rFonts w:hint="eastAsia" w:ascii="仿宋_GB2312" w:eastAsia="仿宋_GB2312"/>
          <w:sz w:val="32"/>
          <w:szCs w:val="32"/>
        </w:rPr>
        <w:t>万元，决算数</w:t>
      </w:r>
      <w:r>
        <w:rPr>
          <w:rFonts w:hint="eastAsia" w:ascii="仿宋_GB2312" w:eastAsia="仿宋_GB2312"/>
          <w:sz w:val="32"/>
          <w:szCs w:val="32"/>
          <w:lang w:val="zh-CN"/>
        </w:rPr>
        <w:t>115.41</w:t>
      </w:r>
      <w:r>
        <w:rPr>
          <w:rFonts w:hint="eastAsia" w:ascii="仿宋_GB2312" w:eastAsia="仿宋_GB2312"/>
          <w:sz w:val="32"/>
          <w:szCs w:val="32"/>
        </w:rPr>
        <w:t>万元，预决算差异率56.04%，主要原因是：年初未做项目预算，年中追加中央补助地方公共文化服务体系建设补助项目资金。</w:t>
      </w:r>
    </w:p>
    <w:p w14:paraId="5D8371F1">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6B71BFF">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9B9B944">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2023年度一般公共预算财政拨款支出99.60万元，占本年支出合计的</w:t>
      </w:r>
      <w:r>
        <w:rPr>
          <w:rFonts w:hint="eastAsia" w:ascii="仿宋_GB2312" w:eastAsia="仿宋_GB2312"/>
          <w:sz w:val="32"/>
          <w:szCs w:val="32"/>
          <w:lang w:val="zh-CN"/>
        </w:rPr>
        <w:t>100.00%</w:t>
      </w:r>
      <w:r>
        <w:rPr>
          <w:rFonts w:hint="eastAsia" w:ascii="仿宋_GB2312" w:eastAsia="仿宋_GB2312"/>
          <w:sz w:val="32"/>
          <w:szCs w:val="32"/>
        </w:rPr>
        <w:t>。与上年相比，</w:t>
      </w:r>
      <w:r>
        <w:rPr>
          <w:rFonts w:hint="eastAsia" w:ascii="仿宋_GB2312" w:eastAsia="仿宋_GB2312"/>
          <w:sz w:val="32"/>
          <w:szCs w:val="32"/>
          <w:lang w:val="zh-CN"/>
        </w:rPr>
        <w:t>减少16.89万元</w:t>
      </w:r>
      <w:r>
        <w:rPr>
          <w:rFonts w:hint="eastAsia" w:ascii="仿宋_GB2312" w:eastAsia="仿宋_GB2312"/>
          <w:sz w:val="32"/>
          <w:szCs w:val="32"/>
        </w:rPr>
        <w:t>，下降14.50%,主要原因是：单位在职人员减少，相应减少人员工资、津补贴等人员经费。与年初预算相比，年初预算数</w:t>
      </w:r>
      <w:r>
        <w:rPr>
          <w:rFonts w:hint="eastAsia" w:ascii="仿宋_GB2312" w:eastAsia="仿宋_GB2312"/>
          <w:sz w:val="32"/>
          <w:szCs w:val="32"/>
          <w:lang w:val="zh-CN"/>
        </w:rPr>
        <w:t>73.96</w:t>
      </w:r>
      <w:r>
        <w:rPr>
          <w:rFonts w:hint="eastAsia" w:ascii="仿宋_GB2312" w:eastAsia="仿宋_GB2312"/>
          <w:sz w:val="32"/>
          <w:szCs w:val="32"/>
        </w:rPr>
        <w:t>万元，决算数</w:t>
      </w:r>
      <w:r>
        <w:rPr>
          <w:rFonts w:hint="eastAsia" w:ascii="仿宋_GB2312" w:eastAsia="仿宋_GB2312"/>
          <w:sz w:val="32"/>
          <w:szCs w:val="32"/>
          <w:lang w:val="zh-CN"/>
        </w:rPr>
        <w:t>99.60</w:t>
      </w:r>
      <w:r>
        <w:rPr>
          <w:rFonts w:hint="eastAsia" w:ascii="仿宋_GB2312" w:eastAsia="仿宋_GB2312"/>
          <w:sz w:val="32"/>
          <w:szCs w:val="32"/>
        </w:rPr>
        <w:t>万元，预决算差异率</w:t>
      </w:r>
      <w:r>
        <w:rPr>
          <w:rFonts w:hint="eastAsia" w:ascii="仿宋_GB2312" w:eastAsia="仿宋_GB2312"/>
          <w:sz w:val="32"/>
          <w:szCs w:val="32"/>
          <w:lang w:val="zh-CN"/>
        </w:rPr>
        <w:t>34.67%</w:t>
      </w:r>
      <w:r>
        <w:rPr>
          <w:rFonts w:hint="eastAsia" w:ascii="仿宋_GB2312" w:eastAsia="仿宋_GB2312"/>
          <w:sz w:val="32"/>
          <w:szCs w:val="32"/>
        </w:rPr>
        <w:t>，主要原因是：年初未做项目预算，年中追加中央补助地方公共文化服务体系建设补助项目资金。</w:t>
      </w:r>
    </w:p>
    <w:p w14:paraId="35051EF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4ED78A43">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.文化旅游体育与传媒支出（类）</w:t>
      </w:r>
      <w:r>
        <w:rPr>
          <w:rFonts w:hint="eastAsia" w:ascii="仿宋_GB2312" w:eastAsia="仿宋_GB2312"/>
          <w:kern w:val="2"/>
          <w:sz w:val="32"/>
          <w:szCs w:val="32"/>
          <w:lang w:val="zh-CN"/>
        </w:rPr>
        <w:t>89.05</w:t>
      </w:r>
      <w:r>
        <w:rPr>
          <w:rFonts w:ascii="仿宋_GB2312" w:eastAsia="仿宋_GB2312"/>
          <w:kern w:val="2"/>
          <w:sz w:val="32"/>
          <w:szCs w:val="32"/>
          <w:lang w:val="zh-CN"/>
        </w:rPr>
        <w:t>万元，占</w:t>
      </w:r>
      <w:r>
        <w:rPr>
          <w:rFonts w:hint="eastAsia" w:ascii="仿宋_GB2312" w:eastAsia="仿宋_GB2312"/>
          <w:kern w:val="2"/>
          <w:sz w:val="32"/>
          <w:szCs w:val="32"/>
          <w:lang w:val="zh-CN"/>
        </w:rPr>
        <w:t>89.41%</w:t>
      </w:r>
      <w:r>
        <w:rPr>
          <w:rFonts w:ascii="仿宋_GB2312" w:eastAsia="仿宋_GB2312"/>
          <w:kern w:val="2"/>
          <w:sz w:val="32"/>
          <w:szCs w:val="32"/>
          <w:lang w:val="zh-CN"/>
        </w:rPr>
        <w:t>；</w:t>
      </w:r>
    </w:p>
    <w:p w14:paraId="3DE00116">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2</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10.55</w:t>
      </w:r>
      <w:r>
        <w:rPr>
          <w:rFonts w:ascii="仿宋_GB2312" w:eastAsia="仿宋_GB2312"/>
          <w:kern w:val="2"/>
          <w:sz w:val="32"/>
          <w:szCs w:val="32"/>
          <w:lang w:val="zh-CN"/>
        </w:rPr>
        <w:t>万元，占</w:t>
      </w:r>
      <w:r>
        <w:rPr>
          <w:rFonts w:hint="eastAsia" w:ascii="仿宋_GB2312" w:eastAsia="仿宋_GB2312"/>
          <w:kern w:val="2"/>
          <w:sz w:val="32"/>
          <w:szCs w:val="32"/>
          <w:lang w:val="zh-CN"/>
        </w:rPr>
        <w:t>10.59%。</w:t>
      </w:r>
    </w:p>
    <w:p w14:paraId="5E7AE253">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2B496976">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1.文化旅游体育与传媒支出（类）新闻出版电影（款）电影（项）:支出决算数为71.50万元，比上年决算减少39.44万元，下降35.55%，主要原因是：</w:t>
      </w:r>
      <w:r>
        <w:rPr>
          <w:rFonts w:hint="eastAsia" w:ascii="仿宋_GB2312" w:eastAsia="仿宋_GB2312"/>
          <w:sz w:val="32"/>
          <w:szCs w:val="32"/>
        </w:rPr>
        <w:t>单位在职人员减少，相应减少人员工资、津补贴等人员经费</w:t>
      </w:r>
      <w:r>
        <w:rPr>
          <w:rFonts w:hint="eastAsia" w:ascii="仿宋_GB2312" w:hAnsi="仿宋_GB2312" w:eastAsia="仿宋_GB2312" w:cs="仿宋_GB2312"/>
          <w:sz w:val="32"/>
          <w:szCs w:val="32"/>
          <w:lang w:val="zh-CN"/>
        </w:rPr>
        <w:t>。</w:t>
      </w:r>
    </w:p>
    <w:p w14:paraId="3A5FAF8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2.文化旅游体育与传媒支出（类）其他文化旅游体育与传媒支出（款）其他文化旅游体育与传媒支出（项）:支出决算数为17.55万元，比上年决算增加17.55万元，增长100%，主要原因是：本年单位增加</w:t>
      </w:r>
      <w:r>
        <w:rPr>
          <w:rFonts w:hint="eastAsia" w:ascii="仿宋_GB2312" w:eastAsia="仿宋_GB2312"/>
          <w:sz w:val="32"/>
          <w:szCs w:val="32"/>
        </w:rPr>
        <w:t>中央补助地方公共文化服务体系建设补助项目资金</w:t>
      </w:r>
      <w:r>
        <w:rPr>
          <w:rFonts w:hint="eastAsia" w:ascii="仿宋_GB2312" w:hAnsi="仿宋_GB2312" w:eastAsia="仿宋_GB2312" w:cs="仿宋_GB2312"/>
          <w:sz w:val="32"/>
          <w:szCs w:val="32"/>
          <w:lang w:val="zh-CN"/>
        </w:rPr>
        <w:t>。</w:t>
      </w:r>
    </w:p>
    <w:p w14:paraId="03DCC753">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3.社会保障和就业支出（类）行政事业单位养老支出（款）机关事业单位职业年金缴费支出（项）:支出决算数为5.52万元，比上年决算增加5.52万元，增长100%，主要原因是：</w:t>
      </w:r>
      <w:r>
        <w:rPr>
          <w:rFonts w:hint="eastAsia" w:ascii="仿宋_GB2312" w:hAnsi="仿宋_GB2312" w:eastAsia="仿宋_GB2312" w:cs="仿宋_GB2312"/>
          <w:sz w:val="32"/>
          <w:szCs w:val="32"/>
          <w:lang w:val="zh-CN"/>
        </w:rPr>
        <w:t>单位退休人员增加，增加退休人员</w:t>
      </w:r>
      <w:r>
        <w:rPr>
          <w:rFonts w:hint="eastAsia" w:ascii="仿宋_GB2312" w:hAnsi="仿宋_GB2312" w:eastAsia="仿宋_GB2312" w:cs="仿宋_GB2312"/>
          <w:sz w:val="32"/>
          <w:szCs w:val="32"/>
        </w:rPr>
        <w:t>职业年金缴费</w:t>
      </w:r>
      <w:r>
        <w:rPr>
          <w:rFonts w:hint="eastAsia" w:ascii="仿宋_GB2312" w:hAnsi="仿宋_GB2312" w:eastAsia="仿宋_GB2312" w:cs="仿宋_GB2312"/>
          <w:sz w:val="32"/>
          <w:szCs w:val="32"/>
          <w:lang w:val="zh-CN"/>
        </w:rPr>
        <w:t>。</w:t>
      </w:r>
    </w:p>
    <w:p w14:paraId="47D77E5D">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4.社会保障和就业支出（类）行政事业单位养老支出（款）机关事业单位基本养老保险缴费支出（项）:支出决算数为5.03万元，比上年决算减少0.52万元，下降9.37%，主要原因是：</w:t>
      </w:r>
      <w:r>
        <w:rPr>
          <w:rFonts w:hint="eastAsia" w:ascii="仿宋_GB2312" w:hAnsi="仿宋_GB2312" w:eastAsia="仿宋_GB2312" w:cs="仿宋_GB2312"/>
          <w:sz w:val="32"/>
          <w:szCs w:val="32"/>
          <w:lang w:val="zh-CN"/>
        </w:rPr>
        <w:t>单位在职人员减少，人员</w:t>
      </w:r>
      <w:r>
        <w:rPr>
          <w:rFonts w:hint="eastAsia" w:ascii="仿宋_GB2312" w:hAnsi="仿宋_GB2312" w:eastAsia="仿宋_GB2312" w:cs="仿宋_GB2312"/>
          <w:sz w:val="32"/>
          <w:szCs w:val="32"/>
        </w:rPr>
        <w:t>养老保险缴费减少</w:t>
      </w:r>
      <w:r>
        <w:rPr>
          <w:rFonts w:hint="eastAsia" w:ascii="仿宋_GB2312" w:hAnsi="仿宋_GB2312" w:eastAsia="仿宋_GB2312" w:cs="仿宋_GB2312"/>
          <w:sz w:val="32"/>
          <w:szCs w:val="32"/>
          <w:lang w:val="zh-CN"/>
        </w:rPr>
        <w:t>。</w:t>
      </w:r>
    </w:p>
    <w:p w14:paraId="31178D0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6F892352">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82.05万元，其中：人员经费75.15万元，包括：基本工资、津贴补贴、奖金、机关事业单位基本养老保险缴费、职业年金缴费、职工基本医疗保险缴费、公务员医疗补助缴费、其他社会保障缴费、住房公积金、生活补助、奖励金。</w:t>
      </w:r>
    </w:p>
    <w:p w14:paraId="214912C8">
      <w:pPr>
        <w:ind w:firstLine="640" w:firstLineChars="200"/>
        <w:jc w:val="left"/>
        <w:rPr>
          <w:rFonts w:hint="eastAsia" w:ascii="仿宋_GB2312" w:hAnsi="宋体" w:eastAsia="仿宋_GB2312" w:cs="宋体"/>
          <w:kern w:val="0"/>
          <w:sz w:val="32"/>
          <w:szCs w:val="32"/>
        </w:rPr>
      </w:pPr>
      <w:r>
        <w:rPr>
          <w:rFonts w:hint="eastAsia" w:ascii="仿宋_GB2312" w:eastAsia="仿宋_GB2312"/>
          <w:sz w:val="32"/>
          <w:szCs w:val="32"/>
        </w:rPr>
        <w:t>公用经费6.90万元，包括：办公费、手续费、邮电费、维修（护）费、专用材料费、劳务费、委托业务费、工会经费、福利费、其他交通费用</w:t>
      </w:r>
      <w:r>
        <w:rPr>
          <w:rFonts w:hint="eastAsia" w:ascii="仿宋_GB2312" w:hAnsi="宋体" w:eastAsia="仿宋_GB2312" w:cs="宋体"/>
          <w:kern w:val="0"/>
          <w:sz w:val="32"/>
          <w:szCs w:val="32"/>
        </w:rPr>
        <w:t>。</w:t>
      </w:r>
    </w:p>
    <w:p w14:paraId="0B623E3A">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52F9FA0E">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“三公”经费支出0.00万元，</w:t>
      </w:r>
      <w:r>
        <w:rPr>
          <w:rFonts w:hint="eastAsia" w:ascii="仿宋_GB2312" w:eastAsia="仿宋_GB2312"/>
          <w:sz w:val="32"/>
          <w:szCs w:val="32"/>
        </w:rPr>
        <w:t>比上年</w:t>
      </w:r>
      <w:r>
        <w:rPr>
          <w:rFonts w:hint="eastAsia" w:ascii="仿宋_GB2312" w:eastAsia="仿宋_GB2312"/>
          <w:sz w:val="32"/>
          <w:szCs w:val="32"/>
          <w:lang w:val="zh-CN"/>
        </w:rPr>
        <w:t>增加0.00万元，</w:t>
      </w:r>
      <w:r>
        <w:rPr>
          <w:rFonts w:hint="eastAsia" w:ascii="仿宋_GB2312" w:eastAsia="仿宋_GB2312"/>
          <w:sz w:val="32"/>
          <w:szCs w:val="32"/>
        </w:rPr>
        <w:t>增长0.00%,</w:t>
      </w:r>
      <w:r>
        <w:rPr>
          <w:rFonts w:hint="eastAsia" w:ascii="仿宋_GB2312" w:eastAsia="仿宋_GB2312"/>
          <w:sz w:val="32"/>
          <w:szCs w:val="32"/>
          <w:lang w:val="zh-CN"/>
        </w:rPr>
        <w:t>主要原因是：</w:t>
      </w:r>
      <w:bookmarkStart w:id="18" w:name="_Hlk176442959"/>
      <w:r>
        <w:rPr>
          <w:rFonts w:hint="eastAsia" w:ascii="仿宋_GB2312" w:eastAsia="仿宋_GB2312"/>
          <w:sz w:val="32"/>
          <w:szCs w:val="32"/>
          <w:lang w:val="zh-CN"/>
        </w:rPr>
        <w:t>本年无此项经费</w:t>
      </w:r>
      <w:bookmarkEnd w:id="18"/>
      <w:r>
        <w:rPr>
          <w:rFonts w:hint="eastAsia" w:ascii="仿宋_GB2312" w:eastAsia="仿宋_GB2312"/>
          <w:sz w:val="32"/>
          <w:szCs w:val="32"/>
          <w:lang w:val="zh-CN"/>
        </w:rPr>
        <w:t>。其中：因公出国（境）费支出0.00万元，占0.00%，比上年增加0.00万元，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主要原因是：本年无此项经费；公务用车购置及运行维护费支出0.00万元，占0.00%，比上年增加0.00万元，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主要原因是：本年无此项经费。</w:t>
      </w:r>
    </w:p>
    <w:p w14:paraId="5AFAD3C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39AB029">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因公出国（境）费支出0.00万元，开支内容包括本年无此项经费。单位全年安排的因公出国（境）团组0个，因公出国（境）0人次。</w:t>
      </w:r>
    </w:p>
    <w:p w14:paraId="40650A4F">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0.00万元，其中：公务用车购置费0.00万元，公务用车运行维护费0.00万元。公务用车运行维护费开支内容包括本年无此项经费。公务用车购置数0辆，公务用车保有量0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1辆，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原因是：差异车辆为1辆，属于业务用车，未使用财政拨款公务用车运行维护费。</w:t>
      </w:r>
    </w:p>
    <w:p w14:paraId="7F494460">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公务接待费0.00万元，开支内容包括本年无此项经费。单位全年安排的国内公务接待0批次，0人次。</w:t>
      </w:r>
    </w:p>
    <w:p w14:paraId="38D1023F">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预算数0.00万元，决算数0.00万元，预决算差异率0.00%，主要原因是：本年无此项经费。</w:t>
      </w:r>
    </w:p>
    <w:p w14:paraId="45500FF7">
      <w:pPr>
        <w:ind w:firstLine="640" w:firstLineChars="200"/>
        <w:jc w:val="left"/>
        <w:outlineLvl w:val="1"/>
        <w:rPr>
          <w:rFonts w:hint="eastAsia" w:ascii="黑体" w:hAnsi="黑体" w:eastAsia="黑体" w:cs="宋体"/>
          <w:bCs/>
          <w:kern w:val="0"/>
          <w:sz w:val="32"/>
          <w:szCs w:val="32"/>
        </w:rPr>
      </w:pPr>
      <w:bookmarkStart w:id="19" w:name="_Toc7927"/>
      <w:bookmarkStart w:id="20" w:name="_Toc5810"/>
      <w:r>
        <w:rPr>
          <w:rFonts w:hint="eastAsia" w:ascii="黑体" w:hAnsi="黑体" w:eastAsia="黑体" w:cs="宋体"/>
          <w:bCs/>
          <w:kern w:val="0"/>
          <w:sz w:val="32"/>
          <w:szCs w:val="32"/>
        </w:rPr>
        <w:t>八、政府性基金预算财政拨款收入支出决算情况说明</w:t>
      </w:r>
      <w:bookmarkEnd w:id="19"/>
      <w:bookmarkEnd w:id="20"/>
    </w:p>
    <w:p w14:paraId="1B2DA084">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7A735312">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7B77F00B">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6A9C166C">
      <w:pPr>
        <w:ind w:firstLine="640" w:firstLineChars="200"/>
        <w:jc w:val="left"/>
        <w:outlineLvl w:val="1"/>
        <w:rPr>
          <w:rFonts w:hint="eastAsia" w:ascii="黑体" w:hAnsi="黑体" w:eastAsia="黑体" w:cs="宋体"/>
          <w:bCs/>
          <w:kern w:val="0"/>
          <w:sz w:val="32"/>
          <w:szCs w:val="32"/>
        </w:rPr>
      </w:pPr>
      <w:bookmarkStart w:id="21" w:name="_Toc1235"/>
      <w:bookmarkStart w:id="22" w:name="_Toc7314"/>
      <w:r>
        <w:rPr>
          <w:rFonts w:hint="eastAsia" w:ascii="黑体" w:hAnsi="黑体" w:eastAsia="黑体" w:cs="宋体"/>
          <w:bCs/>
          <w:kern w:val="0"/>
          <w:sz w:val="32"/>
          <w:szCs w:val="32"/>
        </w:rPr>
        <w:t>十、其他重要事项的情况说明</w:t>
      </w:r>
      <w:bookmarkEnd w:id="21"/>
      <w:bookmarkEnd w:id="22"/>
    </w:p>
    <w:p w14:paraId="01152845">
      <w:pPr>
        <w:ind w:firstLine="640" w:firstLineChars="200"/>
        <w:jc w:val="left"/>
        <w:outlineLvl w:val="2"/>
        <w:rPr>
          <w:rFonts w:hint="eastAsia" w:ascii="黑体" w:hAnsi="黑体" w:eastAsia="黑体"/>
          <w:sz w:val="32"/>
          <w:szCs w:val="32"/>
        </w:rPr>
      </w:pPr>
      <w:bookmarkStart w:id="23" w:name="_Toc14519"/>
      <w:bookmarkStart w:id="24" w:name="_Toc13105"/>
      <w:r>
        <w:rPr>
          <w:rFonts w:hint="eastAsia" w:ascii="黑体" w:hAnsi="黑体" w:eastAsia="黑体"/>
          <w:sz w:val="32"/>
          <w:szCs w:val="32"/>
        </w:rPr>
        <w:t>（一）机关运行经费支出情况</w:t>
      </w:r>
      <w:bookmarkEnd w:id="23"/>
      <w:bookmarkEnd w:id="24"/>
    </w:p>
    <w:p w14:paraId="23B69C49">
      <w:pPr>
        <w:ind w:firstLine="640" w:firstLineChars="200"/>
        <w:rPr>
          <w:rFonts w:hint="eastAsia" w:ascii="仿宋_GB2312" w:hAnsi="仿宋_GB2312" w:eastAsia="仿宋_GB2312" w:cs="仿宋_GB2312"/>
          <w:sz w:val="32"/>
          <w:szCs w:val="32"/>
          <w:lang w:val="zh-CN"/>
        </w:rPr>
      </w:pPr>
      <w:bookmarkStart w:id="25" w:name="_Toc26704"/>
      <w:bookmarkStart w:id="26"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乌鲁木齐市米东区公益电影放映管理中心（事业单位）公用经费支出6.90万元，</w:t>
      </w:r>
      <w:r>
        <w:rPr>
          <w:rFonts w:hint="eastAsia" w:ascii="仿宋_GB2312" w:hAnsi="仿宋_GB2312" w:eastAsia="仿宋_GB2312" w:cs="仿宋_GB2312"/>
          <w:sz w:val="32"/>
          <w:szCs w:val="32"/>
          <w:lang w:val="zh-CN"/>
        </w:rPr>
        <w:t>比上年减少10.30万元，下降59.88%，主要原因是：本年单位办公经费、</w:t>
      </w:r>
      <w:r>
        <w:rPr>
          <w:rFonts w:hint="eastAsia" w:ascii="仿宋_GB2312" w:eastAsia="仿宋_GB2312"/>
          <w:sz w:val="32"/>
          <w:szCs w:val="32"/>
        </w:rPr>
        <w:t>专用材料费、劳务费等较上年减少</w:t>
      </w:r>
      <w:r>
        <w:rPr>
          <w:rFonts w:hint="eastAsia" w:ascii="仿宋_GB2312" w:hAnsi="仿宋_GB2312" w:eastAsia="仿宋_GB2312" w:cs="仿宋_GB2312"/>
          <w:sz w:val="32"/>
          <w:szCs w:val="32"/>
          <w:lang w:val="zh-CN"/>
        </w:rPr>
        <w:t>。</w:t>
      </w:r>
    </w:p>
    <w:p w14:paraId="36D50C4D">
      <w:pPr>
        <w:ind w:firstLine="640" w:firstLineChars="200"/>
        <w:jc w:val="left"/>
        <w:rPr>
          <w:rFonts w:eastAsia="黑体"/>
          <w:sz w:val="32"/>
          <w:szCs w:val="30"/>
          <w:lang w:val="zh-CN"/>
        </w:rPr>
      </w:pPr>
      <w:r>
        <w:rPr>
          <w:rFonts w:hint="eastAsia" w:eastAsia="黑体"/>
          <w:sz w:val="32"/>
          <w:szCs w:val="30"/>
          <w:lang w:val="zh-CN"/>
        </w:rPr>
        <w:t>（二）政府采购情况</w:t>
      </w:r>
      <w:bookmarkEnd w:id="25"/>
      <w:bookmarkEnd w:id="26"/>
    </w:p>
    <w:p w14:paraId="2645A6D3">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591DBB53">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64A854B7">
      <w:pPr>
        <w:ind w:firstLine="640" w:firstLineChars="200"/>
        <w:jc w:val="left"/>
        <w:rPr>
          <w:rFonts w:eastAsia="黑体"/>
          <w:sz w:val="32"/>
          <w:szCs w:val="30"/>
          <w:lang w:val="zh-CN"/>
        </w:rPr>
      </w:pPr>
      <w:bookmarkStart w:id="27" w:name="_Toc4591"/>
      <w:bookmarkStart w:id="28" w:name="_Toc8391"/>
      <w:r>
        <w:rPr>
          <w:rFonts w:hint="eastAsia" w:eastAsia="黑体"/>
          <w:sz w:val="32"/>
          <w:szCs w:val="30"/>
          <w:lang w:val="zh-CN"/>
        </w:rPr>
        <w:t>（三）国有资产占用情况说明</w:t>
      </w:r>
      <w:bookmarkEnd w:id="27"/>
      <w:bookmarkEnd w:id="28"/>
    </w:p>
    <w:p w14:paraId="28C6CA19">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51.76</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屋0.00平方米，价值0.00万元。车辆1辆，价值17.24万元，其中：副部（省）级及以上领导用车0辆、主要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用车0辆、其他用车1辆，其他用车主要是：单位业务用车；单价100万元（含）以上设备（不含车辆）0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6D43DDD9">
      <w:pPr>
        <w:ind w:firstLine="640" w:firstLineChars="200"/>
        <w:jc w:val="left"/>
        <w:outlineLvl w:val="1"/>
        <w:rPr>
          <w:rFonts w:hint="eastAsia" w:ascii="黑体" w:hAnsi="黑体" w:eastAsia="黑体" w:cs="宋体"/>
          <w:bCs/>
          <w:kern w:val="0"/>
          <w:sz w:val="32"/>
          <w:szCs w:val="32"/>
        </w:rPr>
      </w:pPr>
      <w:bookmarkStart w:id="29" w:name="_Toc435"/>
      <w:bookmarkStart w:id="30" w:name="_Toc11283"/>
      <w:r>
        <w:rPr>
          <w:rFonts w:hint="eastAsia" w:ascii="黑体" w:hAnsi="黑体" w:eastAsia="黑体" w:cs="宋体"/>
          <w:bCs/>
          <w:kern w:val="0"/>
          <w:sz w:val="32"/>
          <w:szCs w:val="32"/>
        </w:rPr>
        <w:t>十一、预算绩效的情况说明</w:t>
      </w:r>
      <w:bookmarkEnd w:id="29"/>
      <w:bookmarkEnd w:id="30"/>
    </w:p>
    <w:p w14:paraId="5FA2B395">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115.41</w:t>
      </w:r>
      <w:r>
        <w:rPr>
          <w:rFonts w:hint="eastAsia" w:ascii="仿宋_GB2312" w:eastAsia="仿宋_GB2312"/>
          <w:sz w:val="32"/>
          <w:szCs w:val="32"/>
        </w:rPr>
        <w:t>万元，实际执行总额</w:t>
      </w:r>
      <w:r>
        <w:rPr>
          <w:rFonts w:ascii="仿宋_GB2312" w:eastAsia="仿宋_GB2312"/>
          <w:sz w:val="32"/>
          <w:szCs w:val="32"/>
        </w:rPr>
        <w:t>99.60</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预算绩效评价项目1个，全年预算数</w:t>
      </w:r>
      <w:r>
        <w:rPr>
          <w:rFonts w:ascii="仿宋_GB2312" w:eastAsia="仿宋_GB2312"/>
          <w:sz w:val="32"/>
          <w:szCs w:val="32"/>
        </w:rPr>
        <w:t>25.44</w:t>
      </w:r>
      <w:r>
        <w:rPr>
          <w:rFonts w:hint="eastAsia" w:ascii="仿宋_GB2312" w:eastAsia="仿宋_GB2312"/>
          <w:sz w:val="32"/>
          <w:szCs w:val="32"/>
        </w:rPr>
        <w:t>万元，全年执行数</w:t>
      </w:r>
      <w:r>
        <w:rPr>
          <w:rFonts w:ascii="仿宋_GB2312" w:eastAsia="仿宋_GB2312"/>
          <w:sz w:val="32"/>
          <w:szCs w:val="32"/>
        </w:rPr>
        <w:t>17.55</w:t>
      </w:r>
      <w:r>
        <w:rPr>
          <w:rFonts w:hint="eastAsia" w:ascii="仿宋_GB2312" w:eastAsia="仿宋_GB2312"/>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部门职能不明确，个别工作分工不清晰，且人员培训和绩效考核制度不够完善，考核方案部分内容和人员名单更新滞后；二是预算编制科学性的问题。首先预算编制之合理性相对不足，主要表现在预算调整数较大，年度目标与长期规划衔接的紧密程度需要增强。对于固定资产处理监管还存在一定缺失。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对于整体工作的反映，尽量采用综合性指标；对于具体项目的反映，尽量采用有代表性的重要指标。具体项目自评情况附绩效自评表及自评报告。</w:t>
      </w:r>
    </w:p>
    <w:p w14:paraId="3A70AB50">
      <w:pPr>
        <w:jc w:val="center"/>
        <w:rPr>
          <w:rFonts w:hint="eastAsia" w:ascii="宋体" w:hAnsi="宋体" w:cs="宋体"/>
          <w:b/>
          <w:bCs/>
          <w:kern w:val="0"/>
          <w:sz w:val="28"/>
          <w:szCs w:val="28"/>
        </w:rPr>
      </w:pPr>
      <w:bookmarkStart w:id="31" w:name="_Hlk174962300"/>
      <w:r>
        <w:rPr>
          <w:rFonts w:hint="eastAsia" w:ascii="宋体" w:hAnsi="宋体" w:cs="宋体"/>
          <w:b/>
          <w:bCs/>
          <w:kern w:val="0"/>
          <w:sz w:val="28"/>
          <w:szCs w:val="28"/>
        </w:rPr>
        <w:t>部门（单位）整体支出绩效目标自评表</w:t>
      </w:r>
    </w:p>
    <w:p w14:paraId="0F68E6B2">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06CA3976">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4666EAD8">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754C3270">
            <w:pPr>
              <w:jc w:val="center"/>
            </w:pPr>
            <w:r>
              <w:rPr>
                <w:rFonts w:ascii="宋体" w:hAnsi="宋体"/>
                <w:sz w:val="18"/>
              </w:rPr>
              <w:t>米东区电影放映中心</w:t>
            </w:r>
          </w:p>
        </w:tc>
        <w:tc>
          <w:tcPr>
            <w:tcW w:w="284" w:type="dxa"/>
            <w:tcBorders>
              <w:top w:val="nil"/>
              <w:left w:val="nil"/>
              <w:bottom w:val="nil"/>
              <w:right w:val="nil"/>
            </w:tcBorders>
            <w:shd w:val="clear" w:color="auto" w:fill="auto"/>
            <w:noWrap/>
            <w:vAlign w:val="center"/>
          </w:tcPr>
          <w:p w14:paraId="0737E7F4">
            <w:pPr>
              <w:widowControl/>
              <w:jc w:val="left"/>
              <w:rPr>
                <w:rFonts w:hint="eastAsia" w:ascii="宋体" w:hAnsi="宋体" w:cs="宋体"/>
                <w:b/>
                <w:bCs/>
                <w:kern w:val="0"/>
                <w:sz w:val="18"/>
                <w:szCs w:val="18"/>
              </w:rPr>
            </w:pPr>
          </w:p>
        </w:tc>
      </w:tr>
      <w:tr w14:paraId="662E55F8">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70B11BA">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1EB3C658">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71CCD32A">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59CDF11C">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4CA7ACF1">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57A2775C">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0EC9EE26">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73C1E697">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70B8374C">
            <w:pPr>
              <w:widowControl/>
              <w:jc w:val="center"/>
              <w:rPr>
                <w:rFonts w:hint="eastAsia" w:ascii="宋体" w:hAnsi="宋体" w:cs="宋体"/>
                <w:b/>
                <w:bCs/>
                <w:kern w:val="0"/>
                <w:sz w:val="18"/>
                <w:szCs w:val="18"/>
              </w:rPr>
            </w:pPr>
          </w:p>
        </w:tc>
      </w:tr>
      <w:tr w14:paraId="61458B8B">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AA4F293">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44FA9EF5">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5DB107A0">
            <w:pPr>
              <w:jc w:val="center"/>
            </w:pPr>
            <w:r>
              <w:rPr>
                <w:rFonts w:ascii="宋体" w:hAnsi="宋体"/>
                <w:sz w:val="18"/>
              </w:rPr>
              <w:t>73.96</w:t>
            </w:r>
          </w:p>
        </w:tc>
        <w:tc>
          <w:tcPr>
            <w:tcW w:w="1134" w:type="dxa"/>
            <w:tcBorders>
              <w:top w:val="nil"/>
              <w:left w:val="nil"/>
              <w:bottom w:val="single" w:color="auto" w:sz="4" w:space="0"/>
              <w:right w:val="single" w:color="auto" w:sz="4" w:space="0"/>
            </w:tcBorders>
            <w:shd w:val="clear" w:color="auto" w:fill="auto"/>
            <w:vAlign w:val="center"/>
          </w:tcPr>
          <w:p w14:paraId="6B7E712B">
            <w:pPr>
              <w:jc w:val="center"/>
            </w:pPr>
            <w:r>
              <w:rPr>
                <w:rFonts w:ascii="宋体" w:hAnsi="宋体"/>
                <w:sz w:val="18"/>
              </w:rPr>
              <w:t>115.41</w:t>
            </w:r>
          </w:p>
        </w:tc>
        <w:tc>
          <w:tcPr>
            <w:tcW w:w="2126" w:type="dxa"/>
            <w:tcBorders>
              <w:top w:val="nil"/>
              <w:left w:val="nil"/>
              <w:bottom w:val="single" w:color="auto" w:sz="4" w:space="0"/>
              <w:right w:val="single" w:color="auto" w:sz="4" w:space="0"/>
            </w:tcBorders>
            <w:shd w:val="clear" w:color="auto" w:fill="auto"/>
            <w:vAlign w:val="center"/>
          </w:tcPr>
          <w:p w14:paraId="6CC87BF9">
            <w:pPr>
              <w:jc w:val="center"/>
            </w:pPr>
            <w:r>
              <w:rPr>
                <w:rFonts w:ascii="宋体" w:hAnsi="宋体"/>
                <w:sz w:val="18"/>
              </w:rPr>
              <w:t>99.60</w:t>
            </w:r>
          </w:p>
        </w:tc>
        <w:tc>
          <w:tcPr>
            <w:tcW w:w="1004" w:type="dxa"/>
            <w:tcBorders>
              <w:top w:val="nil"/>
              <w:left w:val="nil"/>
              <w:bottom w:val="single" w:color="auto" w:sz="4" w:space="0"/>
              <w:right w:val="single" w:color="auto" w:sz="4" w:space="0"/>
            </w:tcBorders>
            <w:shd w:val="clear" w:color="auto" w:fill="auto"/>
            <w:vAlign w:val="center"/>
          </w:tcPr>
          <w:p w14:paraId="6248FB50">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24DE0FA5">
            <w:pPr>
              <w:jc w:val="center"/>
            </w:pPr>
            <w:r>
              <w:rPr>
                <w:rFonts w:ascii="宋体" w:hAnsi="宋体"/>
                <w:sz w:val="18"/>
              </w:rPr>
              <w:t>86.3%</w:t>
            </w:r>
          </w:p>
        </w:tc>
        <w:tc>
          <w:tcPr>
            <w:tcW w:w="720" w:type="dxa"/>
            <w:tcBorders>
              <w:top w:val="nil"/>
              <w:left w:val="nil"/>
              <w:bottom w:val="single" w:color="auto" w:sz="4" w:space="0"/>
              <w:right w:val="single" w:color="auto" w:sz="4" w:space="0"/>
            </w:tcBorders>
            <w:shd w:val="clear" w:color="auto" w:fill="auto"/>
            <w:vAlign w:val="center"/>
          </w:tcPr>
          <w:p w14:paraId="760AEFC6">
            <w:pPr>
              <w:jc w:val="center"/>
            </w:pPr>
            <w:r>
              <w:rPr>
                <w:rFonts w:ascii="宋体" w:hAnsi="宋体"/>
                <w:sz w:val="18"/>
              </w:rPr>
              <w:t>8.63</w:t>
            </w:r>
          </w:p>
        </w:tc>
        <w:tc>
          <w:tcPr>
            <w:tcW w:w="284" w:type="dxa"/>
            <w:tcBorders>
              <w:top w:val="nil"/>
              <w:left w:val="nil"/>
              <w:bottom w:val="nil"/>
              <w:right w:val="nil"/>
            </w:tcBorders>
            <w:shd w:val="clear" w:color="auto" w:fill="auto"/>
            <w:noWrap/>
            <w:vAlign w:val="center"/>
          </w:tcPr>
          <w:p w14:paraId="1C9D8009">
            <w:pPr>
              <w:widowControl/>
              <w:jc w:val="center"/>
              <w:rPr>
                <w:rFonts w:hint="eastAsia" w:ascii="宋体" w:hAnsi="宋体" w:cs="宋体"/>
                <w:b/>
                <w:bCs/>
                <w:kern w:val="0"/>
                <w:sz w:val="18"/>
                <w:szCs w:val="18"/>
              </w:rPr>
            </w:pPr>
          </w:p>
        </w:tc>
      </w:tr>
      <w:tr w14:paraId="7B3770D0">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4074F21">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67737396">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53263016">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7B0F99B9">
            <w:pPr>
              <w:jc w:val="center"/>
            </w:pPr>
            <w:r>
              <w:rPr>
                <w:rFonts w:ascii="宋体" w:hAnsi="宋体"/>
                <w:sz w:val="18"/>
              </w:rPr>
              <w:t>17.55</w:t>
            </w:r>
          </w:p>
        </w:tc>
        <w:tc>
          <w:tcPr>
            <w:tcW w:w="2126" w:type="dxa"/>
            <w:tcBorders>
              <w:top w:val="nil"/>
              <w:left w:val="nil"/>
              <w:bottom w:val="single" w:color="auto" w:sz="4" w:space="0"/>
              <w:right w:val="single" w:color="auto" w:sz="4" w:space="0"/>
            </w:tcBorders>
            <w:shd w:val="clear" w:color="auto" w:fill="auto"/>
            <w:vAlign w:val="center"/>
          </w:tcPr>
          <w:p w14:paraId="20895754">
            <w:pPr>
              <w:jc w:val="center"/>
            </w:pPr>
            <w:r>
              <w:rPr>
                <w:rFonts w:ascii="宋体" w:hAnsi="宋体"/>
                <w:sz w:val="18"/>
              </w:rPr>
              <w:t>17.55</w:t>
            </w:r>
          </w:p>
        </w:tc>
        <w:tc>
          <w:tcPr>
            <w:tcW w:w="1004" w:type="dxa"/>
            <w:tcBorders>
              <w:top w:val="nil"/>
              <w:left w:val="nil"/>
              <w:bottom w:val="single" w:color="auto" w:sz="4" w:space="0"/>
              <w:right w:val="single" w:color="auto" w:sz="4" w:space="0"/>
            </w:tcBorders>
            <w:shd w:val="clear" w:color="auto" w:fill="auto"/>
            <w:vAlign w:val="center"/>
          </w:tcPr>
          <w:p w14:paraId="4FE7F493">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09E9B0C">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FAEE790">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63F64EBC">
            <w:pPr>
              <w:widowControl/>
              <w:jc w:val="center"/>
              <w:rPr>
                <w:rFonts w:hint="eastAsia" w:ascii="宋体" w:hAnsi="宋体" w:cs="宋体"/>
                <w:kern w:val="0"/>
                <w:sz w:val="18"/>
                <w:szCs w:val="18"/>
              </w:rPr>
            </w:pPr>
          </w:p>
        </w:tc>
      </w:tr>
      <w:tr w14:paraId="20AB0F7C">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8EFD8B2">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4458E554">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216297FE">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5E6DA1E5">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2EE8B7F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30E75108">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51C7DDE">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1157EF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50B3E6D3">
            <w:pPr>
              <w:widowControl/>
              <w:jc w:val="center"/>
              <w:rPr>
                <w:rFonts w:hint="eastAsia" w:ascii="宋体" w:hAnsi="宋体" w:cs="宋体"/>
                <w:kern w:val="0"/>
                <w:sz w:val="18"/>
                <w:szCs w:val="18"/>
              </w:rPr>
            </w:pPr>
          </w:p>
        </w:tc>
      </w:tr>
      <w:tr w14:paraId="66D7271F">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D7DD1E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EEB4EAF">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64366464">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15B641D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0C08DC6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4AFD1D16">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6B51A68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366DE1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306D2953">
            <w:pPr>
              <w:widowControl/>
              <w:jc w:val="center"/>
              <w:rPr>
                <w:rFonts w:hint="eastAsia" w:ascii="宋体" w:hAnsi="宋体" w:cs="宋体"/>
                <w:kern w:val="0"/>
                <w:sz w:val="18"/>
                <w:szCs w:val="18"/>
              </w:rPr>
            </w:pPr>
          </w:p>
        </w:tc>
      </w:tr>
      <w:tr w14:paraId="3141295F">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704C58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D1A89C9">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3E24B145">
            <w:pPr>
              <w:jc w:val="center"/>
            </w:pPr>
            <w:r>
              <w:rPr>
                <w:rFonts w:ascii="宋体" w:hAnsi="宋体"/>
                <w:sz w:val="18"/>
              </w:rPr>
              <w:t>73.96</w:t>
            </w:r>
          </w:p>
        </w:tc>
        <w:tc>
          <w:tcPr>
            <w:tcW w:w="1134" w:type="dxa"/>
            <w:tcBorders>
              <w:top w:val="nil"/>
              <w:left w:val="nil"/>
              <w:bottom w:val="single" w:color="auto" w:sz="4" w:space="0"/>
              <w:right w:val="single" w:color="auto" w:sz="4" w:space="0"/>
            </w:tcBorders>
            <w:shd w:val="clear" w:color="auto" w:fill="auto"/>
            <w:vAlign w:val="center"/>
          </w:tcPr>
          <w:p w14:paraId="20B18853">
            <w:pPr>
              <w:jc w:val="center"/>
            </w:pPr>
            <w:r>
              <w:rPr>
                <w:rFonts w:ascii="宋体" w:hAnsi="宋体"/>
                <w:sz w:val="18"/>
              </w:rPr>
              <w:t>97.86</w:t>
            </w:r>
          </w:p>
        </w:tc>
        <w:tc>
          <w:tcPr>
            <w:tcW w:w="2126" w:type="dxa"/>
            <w:tcBorders>
              <w:top w:val="nil"/>
              <w:left w:val="nil"/>
              <w:bottom w:val="single" w:color="auto" w:sz="4" w:space="0"/>
              <w:right w:val="single" w:color="auto" w:sz="4" w:space="0"/>
            </w:tcBorders>
            <w:shd w:val="clear" w:color="auto" w:fill="auto"/>
            <w:vAlign w:val="center"/>
          </w:tcPr>
          <w:p w14:paraId="55C78CFA">
            <w:pPr>
              <w:jc w:val="center"/>
            </w:pPr>
            <w:r>
              <w:rPr>
                <w:rFonts w:ascii="宋体" w:hAnsi="宋体"/>
                <w:sz w:val="18"/>
              </w:rPr>
              <w:t>82.05</w:t>
            </w:r>
          </w:p>
        </w:tc>
        <w:tc>
          <w:tcPr>
            <w:tcW w:w="1004" w:type="dxa"/>
            <w:tcBorders>
              <w:top w:val="nil"/>
              <w:left w:val="nil"/>
              <w:bottom w:val="single" w:color="auto" w:sz="4" w:space="0"/>
              <w:right w:val="single" w:color="auto" w:sz="4" w:space="0"/>
            </w:tcBorders>
            <w:shd w:val="clear" w:color="auto" w:fill="auto"/>
            <w:vAlign w:val="center"/>
          </w:tcPr>
          <w:p w14:paraId="63782ED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14A97D52">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4539616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55A38C8">
            <w:pPr>
              <w:widowControl/>
              <w:jc w:val="center"/>
              <w:rPr>
                <w:rFonts w:hint="eastAsia" w:ascii="宋体" w:hAnsi="宋体" w:cs="宋体"/>
                <w:kern w:val="0"/>
                <w:sz w:val="18"/>
                <w:szCs w:val="18"/>
              </w:rPr>
            </w:pPr>
          </w:p>
        </w:tc>
      </w:tr>
      <w:tr w14:paraId="126078BA">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BDCFDC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7FF793A">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7EDA9509">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2947AD9">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539A4FC">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7F7B1C5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0FAB8FA">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1D972F6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4C02616D">
            <w:pPr>
              <w:widowControl/>
              <w:jc w:val="center"/>
              <w:rPr>
                <w:rFonts w:hint="eastAsia" w:ascii="宋体" w:hAnsi="宋体" w:cs="宋体"/>
                <w:kern w:val="0"/>
                <w:sz w:val="18"/>
                <w:szCs w:val="18"/>
              </w:rPr>
            </w:pPr>
          </w:p>
        </w:tc>
      </w:tr>
      <w:tr w14:paraId="35E57559">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1A044127">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304436E2">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43FA3B0B">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71B7DEA6">
            <w:pPr>
              <w:widowControl/>
              <w:jc w:val="left"/>
              <w:rPr>
                <w:rFonts w:hint="eastAsia" w:ascii="宋体" w:hAnsi="宋体" w:cs="宋体"/>
                <w:b/>
                <w:bCs/>
                <w:kern w:val="0"/>
                <w:sz w:val="18"/>
                <w:szCs w:val="18"/>
              </w:rPr>
            </w:pPr>
          </w:p>
        </w:tc>
      </w:tr>
      <w:tr w14:paraId="09C4C886">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ED3B8A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B6029B9">
            <w:pPr>
              <w:jc w:val="left"/>
            </w:pPr>
            <w:r>
              <w:rPr>
                <w:rFonts w:ascii="宋体" w:hAnsi="宋体"/>
                <w:sz w:val="18"/>
              </w:rPr>
              <w:t>为认真学习宣传贯彻党的二十大精神，完整准确贯彻新时代党的治疆方略，积极开展主题放映活动，开展“优秀国产影片进乡村“展映，推广普及国家通用语言，不断提升基层少数民族群众使用国家通用语言的水平。将科教片放映与宣传相结合，普及科学知识，助力乡村振兴；不断创新服务形式，有效提升服务质量。推动电影放映与志愿服务、旅游推广、学习教育相结合，形成“公益电影”+宣传教育服务新格局，用光影的形式服务群众、宣传群众、教育群众，满足不同人群精神文化需求。</w:t>
            </w:r>
          </w:p>
        </w:tc>
        <w:tc>
          <w:tcPr>
            <w:tcW w:w="4689" w:type="dxa"/>
            <w:gridSpan w:val="4"/>
            <w:tcBorders>
              <w:top w:val="single" w:color="auto" w:sz="4" w:space="0"/>
              <w:left w:val="nil"/>
              <w:bottom w:val="single" w:color="auto" w:sz="4" w:space="0"/>
              <w:right w:val="single" w:color="auto" w:sz="4" w:space="0"/>
            </w:tcBorders>
            <w:shd w:val="clear" w:color="auto" w:fill="auto"/>
          </w:tcPr>
          <w:p w14:paraId="132D817D">
            <w:pPr>
              <w:jc w:val="left"/>
            </w:pPr>
            <w:r>
              <w:rPr>
                <w:rFonts w:ascii="宋体" w:hAnsi="宋体"/>
                <w:sz w:val="18"/>
              </w:rPr>
              <w:t>1.全年社区放映场次已完成1023场次，公益电影放映不仅活跃社区各族群众的文化、体育生活，培育现代公民，引领现代文化，还逐步改善基层公共文化体育设施条件，加强基层公共文化人才队伍建设。2.全年农村放映场次1143场次，以服务群众为核心，以提质增效为重点，把牢政治方向，进一步扩大农村公益电影放映覆盖面，丰富了基层群众精神文化生活。3.开展爱国主义电影进校园活动完成320场次，增强了青少年爱国主义教育，铸劳中华民族共同体意识。</w:t>
            </w:r>
          </w:p>
        </w:tc>
        <w:tc>
          <w:tcPr>
            <w:tcW w:w="284" w:type="dxa"/>
            <w:tcBorders>
              <w:top w:val="nil"/>
              <w:left w:val="nil"/>
              <w:bottom w:val="nil"/>
              <w:right w:val="nil"/>
            </w:tcBorders>
            <w:shd w:val="clear" w:color="auto" w:fill="auto"/>
            <w:noWrap/>
            <w:vAlign w:val="center"/>
          </w:tcPr>
          <w:p w14:paraId="53CD65BC">
            <w:pPr>
              <w:widowControl/>
              <w:jc w:val="left"/>
              <w:rPr>
                <w:rFonts w:hint="eastAsia" w:ascii="宋体" w:hAnsi="宋体" w:cs="宋体"/>
                <w:kern w:val="0"/>
                <w:sz w:val="18"/>
                <w:szCs w:val="18"/>
              </w:rPr>
            </w:pPr>
          </w:p>
        </w:tc>
      </w:tr>
      <w:tr w14:paraId="6DBAF95A">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5D4D6D62">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7E6A24FC">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4919D653">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F4014E0">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586DD6B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08D27EA7">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0E51762E">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662F8E5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9737777">
            <w:pPr>
              <w:widowControl/>
              <w:jc w:val="left"/>
              <w:rPr>
                <w:rFonts w:hint="eastAsia" w:ascii="宋体" w:hAnsi="宋体" w:cs="宋体"/>
                <w:b/>
                <w:bCs/>
                <w:kern w:val="0"/>
                <w:sz w:val="18"/>
                <w:szCs w:val="18"/>
              </w:rPr>
            </w:pPr>
          </w:p>
        </w:tc>
      </w:tr>
      <w:tr w14:paraId="10D11B12">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38FCEBD4">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9F000DA">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675D870E">
            <w:pPr>
              <w:jc w:val="center"/>
            </w:pPr>
            <w:r>
              <w:rPr>
                <w:rFonts w:ascii="宋体" w:hAnsi="宋体"/>
                <w:sz w:val="18"/>
              </w:rPr>
              <w:t>全年社区放映场次</w:t>
            </w:r>
          </w:p>
        </w:tc>
        <w:tc>
          <w:tcPr>
            <w:tcW w:w="1134" w:type="dxa"/>
            <w:tcBorders>
              <w:top w:val="nil"/>
              <w:left w:val="nil"/>
              <w:bottom w:val="single" w:color="auto" w:sz="4" w:space="0"/>
              <w:right w:val="single" w:color="auto" w:sz="4" w:space="0"/>
            </w:tcBorders>
            <w:shd w:val="clear" w:color="auto" w:fill="auto"/>
            <w:noWrap/>
            <w:vAlign w:val="center"/>
          </w:tcPr>
          <w:p w14:paraId="0A131874">
            <w:pPr>
              <w:jc w:val="center"/>
            </w:pPr>
            <w:r>
              <w:rPr>
                <w:rFonts w:ascii="宋体" w:hAnsi="宋体"/>
                <w:sz w:val="18"/>
              </w:rPr>
              <w:t>&gt;=968场</w:t>
            </w:r>
          </w:p>
        </w:tc>
        <w:tc>
          <w:tcPr>
            <w:tcW w:w="2126" w:type="dxa"/>
            <w:tcBorders>
              <w:top w:val="nil"/>
              <w:left w:val="nil"/>
              <w:bottom w:val="single" w:color="auto" w:sz="4" w:space="0"/>
              <w:right w:val="single" w:color="auto" w:sz="4" w:space="0"/>
            </w:tcBorders>
            <w:shd w:val="clear" w:color="auto" w:fill="auto"/>
            <w:noWrap/>
            <w:vAlign w:val="center"/>
          </w:tcPr>
          <w:p w14:paraId="199DD0FE">
            <w:pPr>
              <w:jc w:val="center"/>
            </w:pPr>
            <w:r>
              <w:rPr>
                <w:rFonts w:ascii="宋体" w:hAnsi="宋体"/>
                <w:sz w:val="18"/>
              </w:rPr>
              <w:t>根据主管局下达文件</w:t>
            </w:r>
          </w:p>
        </w:tc>
        <w:tc>
          <w:tcPr>
            <w:tcW w:w="1004" w:type="dxa"/>
            <w:tcBorders>
              <w:top w:val="nil"/>
              <w:left w:val="nil"/>
              <w:bottom w:val="single" w:color="auto" w:sz="4" w:space="0"/>
              <w:right w:val="single" w:color="auto" w:sz="4" w:space="0"/>
            </w:tcBorders>
            <w:shd w:val="clear" w:color="auto" w:fill="auto"/>
            <w:noWrap/>
            <w:vAlign w:val="center"/>
          </w:tcPr>
          <w:p w14:paraId="56675240">
            <w:pPr>
              <w:jc w:val="center"/>
            </w:pPr>
            <w:r>
              <w:rPr>
                <w:rFonts w:ascii="宋体" w:hAnsi="宋体"/>
                <w:sz w:val="18"/>
              </w:rPr>
              <w:t>1043</w:t>
            </w:r>
          </w:p>
        </w:tc>
        <w:tc>
          <w:tcPr>
            <w:tcW w:w="839" w:type="dxa"/>
            <w:tcBorders>
              <w:top w:val="nil"/>
              <w:left w:val="nil"/>
              <w:bottom w:val="single" w:color="auto" w:sz="4" w:space="0"/>
              <w:right w:val="single" w:color="auto" w:sz="4" w:space="0"/>
            </w:tcBorders>
            <w:shd w:val="clear" w:color="auto" w:fill="auto"/>
            <w:noWrap/>
            <w:vAlign w:val="center"/>
          </w:tcPr>
          <w:p w14:paraId="54CB410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1489C8D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4E99A4C">
            <w:pPr>
              <w:widowControl/>
              <w:jc w:val="center"/>
              <w:rPr>
                <w:rFonts w:hint="eastAsia" w:ascii="宋体" w:hAnsi="宋体" w:cs="宋体"/>
                <w:kern w:val="0"/>
                <w:sz w:val="18"/>
                <w:szCs w:val="18"/>
              </w:rPr>
            </w:pPr>
          </w:p>
        </w:tc>
      </w:tr>
      <w:tr w14:paraId="0D335856">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410843A0">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751732E7">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608C9B2">
            <w:pPr>
              <w:jc w:val="center"/>
            </w:pPr>
            <w:r>
              <w:rPr>
                <w:rFonts w:ascii="宋体" w:hAnsi="宋体"/>
                <w:sz w:val="18"/>
              </w:rPr>
              <w:t>全年农村放映场次</w:t>
            </w:r>
          </w:p>
        </w:tc>
        <w:tc>
          <w:tcPr>
            <w:tcW w:w="1134" w:type="dxa"/>
            <w:tcBorders>
              <w:top w:val="nil"/>
              <w:left w:val="nil"/>
              <w:bottom w:val="single" w:color="auto" w:sz="4" w:space="0"/>
              <w:right w:val="single" w:color="auto" w:sz="4" w:space="0"/>
            </w:tcBorders>
            <w:shd w:val="clear" w:color="auto" w:fill="auto"/>
            <w:noWrap/>
            <w:vAlign w:val="center"/>
          </w:tcPr>
          <w:p w14:paraId="6A2E7C37">
            <w:pPr>
              <w:jc w:val="center"/>
            </w:pPr>
            <w:r>
              <w:rPr>
                <w:rFonts w:ascii="宋体" w:hAnsi="宋体"/>
                <w:sz w:val="18"/>
              </w:rPr>
              <w:t>&gt;=1020场</w:t>
            </w:r>
          </w:p>
        </w:tc>
        <w:tc>
          <w:tcPr>
            <w:tcW w:w="2126" w:type="dxa"/>
            <w:tcBorders>
              <w:top w:val="nil"/>
              <w:left w:val="nil"/>
              <w:bottom w:val="single" w:color="auto" w:sz="4" w:space="0"/>
              <w:right w:val="single" w:color="auto" w:sz="4" w:space="0"/>
            </w:tcBorders>
            <w:shd w:val="clear" w:color="auto" w:fill="auto"/>
            <w:noWrap/>
            <w:vAlign w:val="center"/>
          </w:tcPr>
          <w:p w14:paraId="14603FEC">
            <w:pPr>
              <w:jc w:val="center"/>
            </w:pPr>
            <w:r>
              <w:rPr>
                <w:rFonts w:ascii="宋体" w:hAnsi="宋体"/>
                <w:sz w:val="18"/>
              </w:rPr>
              <w:t>根据主管局下达文件</w:t>
            </w:r>
          </w:p>
        </w:tc>
        <w:tc>
          <w:tcPr>
            <w:tcW w:w="1004" w:type="dxa"/>
            <w:tcBorders>
              <w:top w:val="nil"/>
              <w:left w:val="nil"/>
              <w:bottom w:val="single" w:color="auto" w:sz="4" w:space="0"/>
              <w:right w:val="single" w:color="auto" w:sz="4" w:space="0"/>
            </w:tcBorders>
            <w:shd w:val="clear" w:color="auto" w:fill="auto"/>
            <w:noWrap/>
            <w:vAlign w:val="center"/>
          </w:tcPr>
          <w:p w14:paraId="4B80F077">
            <w:pPr>
              <w:jc w:val="center"/>
            </w:pPr>
            <w:r>
              <w:rPr>
                <w:rFonts w:ascii="宋体" w:hAnsi="宋体"/>
                <w:sz w:val="18"/>
              </w:rPr>
              <w:t>1123</w:t>
            </w:r>
          </w:p>
        </w:tc>
        <w:tc>
          <w:tcPr>
            <w:tcW w:w="839" w:type="dxa"/>
            <w:tcBorders>
              <w:top w:val="nil"/>
              <w:left w:val="nil"/>
              <w:bottom w:val="single" w:color="auto" w:sz="4" w:space="0"/>
              <w:right w:val="single" w:color="auto" w:sz="4" w:space="0"/>
            </w:tcBorders>
            <w:shd w:val="clear" w:color="auto" w:fill="auto"/>
            <w:noWrap/>
            <w:vAlign w:val="center"/>
          </w:tcPr>
          <w:p w14:paraId="2C95D3C2">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0AE97ABE">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3A168684">
            <w:pPr>
              <w:widowControl/>
              <w:jc w:val="center"/>
              <w:rPr>
                <w:rFonts w:hint="eastAsia" w:ascii="宋体" w:hAnsi="宋体" w:cs="宋体"/>
                <w:kern w:val="0"/>
                <w:sz w:val="18"/>
                <w:szCs w:val="18"/>
              </w:rPr>
            </w:pPr>
          </w:p>
        </w:tc>
      </w:tr>
      <w:tr w14:paraId="36389BB5">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05D0A1AE">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FD739C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6ED119AE">
            <w:pPr>
              <w:jc w:val="center"/>
            </w:pPr>
            <w:r>
              <w:rPr>
                <w:rFonts w:ascii="宋体" w:hAnsi="宋体"/>
                <w:sz w:val="18"/>
              </w:rPr>
              <w:t>开展爱国主义电影进校园活动场次</w:t>
            </w:r>
          </w:p>
        </w:tc>
        <w:tc>
          <w:tcPr>
            <w:tcW w:w="1134" w:type="dxa"/>
            <w:tcBorders>
              <w:top w:val="nil"/>
              <w:left w:val="nil"/>
              <w:bottom w:val="single" w:color="auto" w:sz="4" w:space="0"/>
              <w:right w:val="single" w:color="auto" w:sz="4" w:space="0"/>
            </w:tcBorders>
            <w:shd w:val="clear" w:color="auto" w:fill="auto"/>
            <w:noWrap/>
            <w:vAlign w:val="center"/>
          </w:tcPr>
          <w:p w14:paraId="66D3087E">
            <w:pPr>
              <w:jc w:val="center"/>
            </w:pPr>
            <w:r>
              <w:rPr>
                <w:rFonts w:ascii="宋体" w:hAnsi="宋体"/>
                <w:sz w:val="18"/>
              </w:rPr>
              <w:t>&gt;=40场</w:t>
            </w:r>
          </w:p>
        </w:tc>
        <w:tc>
          <w:tcPr>
            <w:tcW w:w="2126" w:type="dxa"/>
            <w:tcBorders>
              <w:top w:val="nil"/>
              <w:left w:val="nil"/>
              <w:bottom w:val="single" w:color="auto" w:sz="4" w:space="0"/>
              <w:right w:val="single" w:color="auto" w:sz="4" w:space="0"/>
            </w:tcBorders>
            <w:shd w:val="clear" w:color="auto" w:fill="auto"/>
            <w:noWrap/>
            <w:vAlign w:val="center"/>
          </w:tcPr>
          <w:p w14:paraId="48F9B359">
            <w:pPr>
              <w:jc w:val="center"/>
            </w:pPr>
            <w:r>
              <w:rPr>
                <w:rFonts w:ascii="宋体" w:hAnsi="宋体"/>
                <w:sz w:val="18"/>
              </w:rPr>
              <w:t>根据主管局下达指标</w:t>
            </w:r>
          </w:p>
        </w:tc>
        <w:tc>
          <w:tcPr>
            <w:tcW w:w="1004" w:type="dxa"/>
            <w:tcBorders>
              <w:top w:val="nil"/>
              <w:left w:val="nil"/>
              <w:bottom w:val="single" w:color="auto" w:sz="4" w:space="0"/>
              <w:right w:val="single" w:color="auto" w:sz="4" w:space="0"/>
            </w:tcBorders>
            <w:shd w:val="clear" w:color="auto" w:fill="auto"/>
            <w:noWrap/>
            <w:vAlign w:val="center"/>
          </w:tcPr>
          <w:p w14:paraId="2E62348D">
            <w:pPr>
              <w:jc w:val="center"/>
            </w:pPr>
            <w:r>
              <w:rPr>
                <w:rFonts w:ascii="宋体" w:hAnsi="宋体"/>
                <w:sz w:val="18"/>
              </w:rPr>
              <w:t>320</w:t>
            </w:r>
          </w:p>
        </w:tc>
        <w:tc>
          <w:tcPr>
            <w:tcW w:w="839" w:type="dxa"/>
            <w:tcBorders>
              <w:top w:val="nil"/>
              <w:left w:val="nil"/>
              <w:bottom w:val="single" w:color="auto" w:sz="4" w:space="0"/>
              <w:right w:val="single" w:color="auto" w:sz="4" w:space="0"/>
            </w:tcBorders>
            <w:shd w:val="clear" w:color="auto" w:fill="auto"/>
            <w:noWrap/>
            <w:vAlign w:val="center"/>
          </w:tcPr>
          <w:p w14:paraId="0886C930">
            <w:pPr>
              <w:jc w:val="center"/>
            </w:pPr>
            <w:r>
              <w:rPr>
                <w:rFonts w:ascii="宋体" w:hAnsi="宋体"/>
                <w:sz w:val="18"/>
              </w:rPr>
              <w:t>30</w:t>
            </w:r>
          </w:p>
        </w:tc>
        <w:tc>
          <w:tcPr>
            <w:tcW w:w="720" w:type="dxa"/>
            <w:tcBorders>
              <w:top w:val="nil"/>
              <w:left w:val="nil"/>
              <w:bottom w:val="single" w:color="auto" w:sz="4" w:space="0"/>
              <w:right w:val="single" w:color="auto" w:sz="4" w:space="0"/>
            </w:tcBorders>
            <w:shd w:val="clear" w:color="auto" w:fill="auto"/>
            <w:noWrap/>
            <w:vAlign w:val="center"/>
          </w:tcPr>
          <w:p w14:paraId="35E0E040">
            <w:pPr>
              <w:jc w:val="center"/>
            </w:pPr>
            <w:r>
              <w:rPr>
                <w:rFonts w:ascii="宋体" w:hAnsi="宋体"/>
                <w:sz w:val="18"/>
              </w:rPr>
              <w:t>30</w:t>
            </w:r>
          </w:p>
        </w:tc>
        <w:tc>
          <w:tcPr>
            <w:tcW w:w="284" w:type="dxa"/>
            <w:tcBorders>
              <w:top w:val="nil"/>
              <w:left w:val="nil"/>
              <w:bottom w:val="nil"/>
              <w:right w:val="nil"/>
            </w:tcBorders>
            <w:shd w:val="clear" w:color="auto" w:fill="auto"/>
            <w:noWrap/>
            <w:vAlign w:val="center"/>
          </w:tcPr>
          <w:p w14:paraId="0F07B85E">
            <w:pPr>
              <w:widowControl/>
              <w:jc w:val="center"/>
              <w:rPr>
                <w:rFonts w:hint="eastAsia" w:ascii="宋体" w:hAnsi="宋体" w:cs="宋体"/>
                <w:kern w:val="0"/>
                <w:sz w:val="18"/>
                <w:szCs w:val="18"/>
              </w:rPr>
            </w:pPr>
          </w:p>
        </w:tc>
      </w:tr>
      <w:tr w14:paraId="49AC7085">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34BA3304">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643E622">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55E0A3B5">
            <w:pPr>
              <w:jc w:val="center"/>
            </w:pPr>
            <w:r>
              <w:rPr>
                <w:rFonts w:ascii="宋体" w:hAnsi="宋体"/>
                <w:sz w:val="18"/>
              </w:rPr>
              <w:t>98.63分</w:t>
            </w:r>
          </w:p>
        </w:tc>
        <w:tc>
          <w:tcPr>
            <w:tcW w:w="284" w:type="dxa"/>
            <w:tcBorders>
              <w:top w:val="nil"/>
              <w:left w:val="nil"/>
              <w:bottom w:val="nil"/>
              <w:right w:val="nil"/>
            </w:tcBorders>
            <w:shd w:val="clear" w:color="auto" w:fill="auto"/>
            <w:noWrap/>
            <w:vAlign w:val="center"/>
          </w:tcPr>
          <w:p w14:paraId="25F52C2D">
            <w:pPr>
              <w:widowControl/>
              <w:jc w:val="left"/>
              <w:rPr>
                <w:rFonts w:hint="eastAsia" w:ascii="宋体" w:hAnsi="宋体" w:cs="宋体"/>
                <w:kern w:val="0"/>
                <w:sz w:val="18"/>
                <w:szCs w:val="18"/>
              </w:rPr>
            </w:pPr>
          </w:p>
        </w:tc>
      </w:tr>
    </w:tbl>
    <w:p w14:paraId="62379C0B">
      <w:pPr>
        <w:jc w:val="center"/>
        <w:rPr>
          <w:rFonts w:hint="eastAsia" w:ascii="宋体" w:hAnsi="宋体" w:cs="宋体"/>
          <w:b/>
          <w:bCs/>
          <w:kern w:val="0"/>
          <w:sz w:val="28"/>
          <w:szCs w:val="28"/>
        </w:rPr>
      </w:pPr>
    </w:p>
    <w:p w14:paraId="776584AA">
      <w:pPr>
        <w:jc w:val="center"/>
        <w:rPr>
          <w:rFonts w:hint="eastAsia" w:ascii="宋体" w:hAnsi="宋体" w:cs="宋体"/>
          <w:b/>
          <w:bCs/>
          <w:kern w:val="0"/>
          <w:sz w:val="28"/>
          <w:szCs w:val="28"/>
        </w:rPr>
      </w:pPr>
      <w:r>
        <w:rPr>
          <w:rFonts w:hint="eastAsia" w:ascii="宋体" w:hAnsi="宋体" w:cs="宋体"/>
          <w:b/>
          <w:bCs/>
          <w:kern w:val="0"/>
          <w:sz w:val="28"/>
          <w:szCs w:val="28"/>
        </w:rPr>
        <w:t>项目支出绩效自评表</w:t>
      </w:r>
    </w:p>
    <w:p w14:paraId="0C9F729C">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682" w:type="dxa"/>
        <w:tblInd w:w="-5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98"/>
        <w:gridCol w:w="707"/>
        <w:gridCol w:w="718"/>
        <w:gridCol w:w="618"/>
        <w:gridCol w:w="1239"/>
        <w:gridCol w:w="1177"/>
        <w:gridCol w:w="1177"/>
        <w:gridCol w:w="358"/>
        <w:gridCol w:w="349"/>
        <w:gridCol w:w="340"/>
        <w:gridCol w:w="350"/>
        <w:gridCol w:w="634"/>
        <w:gridCol w:w="1417"/>
      </w:tblGrid>
      <w:tr w14:paraId="07B66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shd w:val="clear" w:color="auto" w:fill="auto"/>
            <w:vAlign w:val="center"/>
          </w:tcPr>
          <w:p w14:paraId="5BFC801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项目名称</w:t>
            </w:r>
          </w:p>
        </w:tc>
        <w:tc>
          <w:tcPr>
            <w:tcW w:w="8377" w:type="dxa"/>
            <w:gridSpan w:val="11"/>
            <w:shd w:val="clear" w:color="auto" w:fill="auto"/>
            <w:vAlign w:val="center"/>
          </w:tcPr>
          <w:p w14:paraId="00CB061E">
            <w:pPr>
              <w:jc w:val="center"/>
            </w:pPr>
            <w:r>
              <w:rPr>
                <w:rFonts w:ascii="宋体" w:hAnsi="宋体"/>
                <w:sz w:val="18"/>
              </w:rPr>
              <w:t>乌财科教【2022】1号文件关于提前下达2022年中央补助地方公共文化服务体系建设补助资金</w:t>
            </w:r>
          </w:p>
        </w:tc>
      </w:tr>
      <w:tr w14:paraId="78D78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shd w:val="clear" w:color="auto" w:fill="auto"/>
            <w:vAlign w:val="center"/>
          </w:tcPr>
          <w:p w14:paraId="7BBB879D">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主管部门</w:t>
            </w:r>
          </w:p>
        </w:tc>
        <w:tc>
          <w:tcPr>
            <w:tcW w:w="2575" w:type="dxa"/>
            <w:gridSpan w:val="3"/>
            <w:shd w:val="clear" w:color="auto" w:fill="auto"/>
            <w:vAlign w:val="center"/>
          </w:tcPr>
          <w:p w14:paraId="644E80D1">
            <w:pPr>
              <w:jc w:val="center"/>
            </w:pPr>
            <w:r>
              <w:rPr>
                <w:rFonts w:ascii="宋体" w:hAnsi="宋体"/>
                <w:sz w:val="18"/>
              </w:rPr>
              <w:t>中共乌鲁木齐市米东区委宣传部</w:t>
            </w:r>
          </w:p>
        </w:tc>
        <w:tc>
          <w:tcPr>
            <w:tcW w:w="1177" w:type="dxa"/>
            <w:shd w:val="clear" w:color="auto" w:fill="auto"/>
            <w:vAlign w:val="center"/>
          </w:tcPr>
          <w:p w14:paraId="32B0AE04">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实施单位</w:t>
            </w:r>
          </w:p>
        </w:tc>
        <w:tc>
          <w:tcPr>
            <w:tcW w:w="4625" w:type="dxa"/>
            <w:gridSpan w:val="7"/>
            <w:shd w:val="clear" w:color="auto" w:fill="auto"/>
            <w:vAlign w:val="center"/>
          </w:tcPr>
          <w:p w14:paraId="3F108BFF">
            <w:pPr>
              <w:jc w:val="center"/>
            </w:pPr>
            <w:r>
              <w:rPr>
                <w:rFonts w:ascii="宋体" w:hAnsi="宋体"/>
                <w:sz w:val="18"/>
              </w:rPr>
              <w:t>米东区电影放映中心</w:t>
            </w:r>
          </w:p>
        </w:tc>
      </w:tr>
      <w:tr w14:paraId="5E7A14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restart"/>
            <w:shd w:val="clear" w:color="auto" w:fill="auto"/>
            <w:vAlign w:val="center"/>
          </w:tcPr>
          <w:p w14:paraId="7F4F1C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项目资金（万元）</w:t>
            </w:r>
          </w:p>
        </w:tc>
        <w:tc>
          <w:tcPr>
            <w:tcW w:w="1336" w:type="dxa"/>
            <w:gridSpan w:val="2"/>
            <w:shd w:val="clear" w:color="auto" w:fill="auto"/>
            <w:vAlign w:val="center"/>
          </w:tcPr>
          <w:p w14:paraId="1905A2F0">
            <w:pPr>
              <w:widowControl/>
              <w:jc w:val="center"/>
              <w:rPr>
                <w:rFonts w:hint="eastAsia" w:ascii="宋体" w:hAnsi="宋体" w:cs="宋体"/>
                <w:color w:val="000000"/>
                <w:kern w:val="0"/>
                <w:sz w:val="18"/>
                <w:szCs w:val="18"/>
              </w:rPr>
            </w:pPr>
          </w:p>
        </w:tc>
        <w:tc>
          <w:tcPr>
            <w:tcW w:w="1239" w:type="dxa"/>
            <w:shd w:val="clear" w:color="auto" w:fill="auto"/>
            <w:vAlign w:val="center"/>
          </w:tcPr>
          <w:p w14:paraId="08488079">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年初预算数</w:t>
            </w:r>
          </w:p>
        </w:tc>
        <w:tc>
          <w:tcPr>
            <w:tcW w:w="1177" w:type="dxa"/>
            <w:shd w:val="clear" w:color="auto" w:fill="auto"/>
            <w:vAlign w:val="center"/>
          </w:tcPr>
          <w:p w14:paraId="607546A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全年预算数</w:t>
            </w:r>
          </w:p>
        </w:tc>
        <w:tc>
          <w:tcPr>
            <w:tcW w:w="1535" w:type="dxa"/>
            <w:gridSpan w:val="2"/>
            <w:shd w:val="clear" w:color="auto" w:fill="auto"/>
            <w:vAlign w:val="center"/>
          </w:tcPr>
          <w:p w14:paraId="0E250E7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全年执行数</w:t>
            </w:r>
          </w:p>
        </w:tc>
        <w:tc>
          <w:tcPr>
            <w:tcW w:w="689" w:type="dxa"/>
            <w:gridSpan w:val="2"/>
            <w:shd w:val="clear" w:color="auto" w:fill="auto"/>
            <w:vAlign w:val="center"/>
          </w:tcPr>
          <w:p w14:paraId="3EA91791">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984" w:type="dxa"/>
            <w:gridSpan w:val="2"/>
            <w:shd w:val="clear" w:color="auto" w:fill="auto"/>
            <w:vAlign w:val="center"/>
          </w:tcPr>
          <w:p w14:paraId="77F9E6D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执行率</w:t>
            </w:r>
          </w:p>
        </w:tc>
        <w:tc>
          <w:tcPr>
            <w:tcW w:w="1417" w:type="dxa"/>
            <w:shd w:val="clear" w:color="auto" w:fill="auto"/>
            <w:vAlign w:val="center"/>
          </w:tcPr>
          <w:p w14:paraId="4918FBA0">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r>
      <w:tr w14:paraId="1982BD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0C6B7167">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10EA327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年度资金总额</w:t>
            </w:r>
          </w:p>
        </w:tc>
        <w:tc>
          <w:tcPr>
            <w:tcW w:w="1239" w:type="dxa"/>
            <w:shd w:val="clear" w:color="auto" w:fill="auto"/>
            <w:noWrap/>
            <w:vAlign w:val="center"/>
          </w:tcPr>
          <w:p w14:paraId="039DF178">
            <w:pPr>
              <w:jc w:val="center"/>
            </w:pPr>
            <w:r>
              <w:rPr>
                <w:rFonts w:ascii="宋体" w:hAnsi="宋体"/>
                <w:sz w:val="18"/>
              </w:rPr>
              <w:t>25.44</w:t>
            </w:r>
          </w:p>
        </w:tc>
        <w:tc>
          <w:tcPr>
            <w:tcW w:w="1177" w:type="dxa"/>
            <w:shd w:val="clear" w:color="auto" w:fill="auto"/>
            <w:noWrap/>
            <w:vAlign w:val="center"/>
          </w:tcPr>
          <w:p w14:paraId="5D4548F5">
            <w:pPr>
              <w:jc w:val="center"/>
            </w:pPr>
            <w:r>
              <w:rPr>
                <w:rFonts w:ascii="宋体" w:hAnsi="宋体"/>
                <w:sz w:val="18"/>
              </w:rPr>
              <w:t>25.44</w:t>
            </w:r>
          </w:p>
        </w:tc>
        <w:tc>
          <w:tcPr>
            <w:tcW w:w="1535" w:type="dxa"/>
            <w:gridSpan w:val="2"/>
            <w:shd w:val="clear" w:color="auto" w:fill="auto"/>
            <w:noWrap/>
            <w:vAlign w:val="center"/>
          </w:tcPr>
          <w:p w14:paraId="460CB9F8">
            <w:pPr>
              <w:jc w:val="center"/>
            </w:pPr>
            <w:r>
              <w:rPr>
                <w:rFonts w:ascii="宋体" w:hAnsi="宋体"/>
                <w:sz w:val="18"/>
              </w:rPr>
              <w:t>17.55</w:t>
            </w:r>
          </w:p>
        </w:tc>
        <w:tc>
          <w:tcPr>
            <w:tcW w:w="689" w:type="dxa"/>
            <w:gridSpan w:val="2"/>
            <w:shd w:val="clear" w:color="auto" w:fill="auto"/>
            <w:vAlign w:val="center"/>
          </w:tcPr>
          <w:p w14:paraId="71472633">
            <w:pPr>
              <w:jc w:val="center"/>
            </w:pPr>
            <w:r>
              <w:rPr>
                <w:rFonts w:ascii="宋体" w:hAnsi="宋体"/>
                <w:sz w:val="18"/>
              </w:rPr>
              <w:t>10</w:t>
            </w:r>
          </w:p>
        </w:tc>
        <w:tc>
          <w:tcPr>
            <w:tcW w:w="984" w:type="dxa"/>
            <w:gridSpan w:val="2"/>
            <w:shd w:val="clear" w:color="auto" w:fill="auto"/>
            <w:vAlign w:val="center"/>
          </w:tcPr>
          <w:p w14:paraId="51915AD4">
            <w:pPr>
              <w:jc w:val="center"/>
            </w:pPr>
            <w:r>
              <w:rPr>
                <w:rFonts w:ascii="宋体" w:hAnsi="宋体"/>
                <w:sz w:val="18"/>
              </w:rPr>
              <w:t>68.99%</w:t>
            </w:r>
          </w:p>
        </w:tc>
        <w:tc>
          <w:tcPr>
            <w:tcW w:w="1417" w:type="dxa"/>
            <w:shd w:val="clear" w:color="auto" w:fill="auto"/>
            <w:vAlign w:val="center"/>
          </w:tcPr>
          <w:p w14:paraId="50564ADC">
            <w:pPr>
              <w:jc w:val="center"/>
            </w:pPr>
            <w:r>
              <w:rPr>
                <w:rFonts w:ascii="宋体" w:hAnsi="宋体"/>
                <w:sz w:val="18"/>
              </w:rPr>
              <w:t>6.90分</w:t>
            </w:r>
          </w:p>
        </w:tc>
      </w:tr>
      <w:tr w14:paraId="1B0833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47AFA092">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37AFD7A8">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其中：当年财政拨款</w:t>
            </w:r>
          </w:p>
        </w:tc>
        <w:tc>
          <w:tcPr>
            <w:tcW w:w="1239" w:type="dxa"/>
            <w:shd w:val="clear" w:color="auto" w:fill="auto"/>
            <w:noWrap/>
            <w:vAlign w:val="center"/>
          </w:tcPr>
          <w:p w14:paraId="6FF120F8">
            <w:pPr>
              <w:jc w:val="center"/>
            </w:pPr>
            <w:r>
              <w:rPr>
                <w:rFonts w:ascii="宋体" w:hAnsi="宋体"/>
                <w:sz w:val="18"/>
              </w:rPr>
              <w:t>25.44</w:t>
            </w:r>
          </w:p>
        </w:tc>
        <w:tc>
          <w:tcPr>
            <w:tcW w:w="1177" w:type="dxa"/>
            <w:shd w:val="clear" w:color="auto" w:fill="auto"/>
            <w:noWrap/>
            <w:vAlign w:val="center"/>
          </w:tcPr>
          <w:p w14:paraId="108ABB3D">
            <w:pPr>
              <w:jc w:val="center"/>
            </w:pPr>
            <w:r>
              <w:rPr>
                <w:rFonts w:ascii="宋体" w:hAnsi="宋体"/>
                <w:sz w:val="18"/>
              </w:rPr>
              <w:t>25.44</w:t>
            </w:r>
          </w:p>
        </w:tc>
        <w:tc>
          <w:tcPr>
            <w:tcW w:w="1535" w:type="dxa"/>
            <w:gridSpan w:val="2"/>
            <w:shd w:val="clear" w:color="auto" w:fill="auto"/>
            <w:noWrap/>
            <w:vAlign w:val="center"/>
          </w:tcPr>
          <w:p w14:paraId="353DD16D">
            <w:pPr>
              <w:jc w:val="center"/>
            </w:pPr>
            <w:r>
              <w:rPr>
                <w:rFonts w:ascii="宋体" w:hAnsi="宋体"/>
                <w:sz w:val="18"/>
              </w:rPr>
              <w:t>17.55</w:t>
            </w:r>
          </w:p>
        </w:tc>
        <w:tc>
          <w:tcPr>
            <w:tcW w:w="689" w:type="dxa"/>
            <w:gridSpan w:val="2"/>
            <w:shd w:val="clear" w:color="auto" w:fill="auto"/>
            <w:vAlign w:val="center"/>
          </w:tcPr>
          <w:p w14:paraId="1F981A44">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29346A1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5AD791FB">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55E3A7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1305" w:type="dxa"/>
            <w:gridSpan w:val="2"/>
            <w:vMerge w:val="continue"/>
            <w:vAlign w:val="center"/>
          </w:tcPr>
          <w:p w14:paraId="24BC3070">
            <w:pPr>
              <w:widowControl/>
              <w:jc w:val="left"/>
              <w:rPr>
                <w:rFonts w:hint="eastAsia" w:ascii="宋体" w:hAnsi="宋体" w:cs="宋体"/>
                <w:color w:val="000000"/>
                <w:kern w:val="0"/>
                <w:sz w:val="18"/>
                <w:szCs w:val="18"/>
              </w:rPr>
            </w:pPr>
          </w:p>
        </w:tc>
        <w:tc>
          <w:tcPr>
            <w:tcW w:w="1336" w:type="dxa"/>
            <w:gridSpan w:val="2"/>
            <w:shd w:val="clear" w:color="auto" w:fill="auto"/>
            <w:vAlign w:val="center"/>
          </w:tcPr>
          <w:p w14:paraId="629AF467">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其他资金</w:t>
            </w:r>
          </w:p>
        </w:tc>
        <w:tc>
          <w:tcPr>
            <w:tcW w:w="1239" w:type="dxa"/>
            <w:shd w:val="clear" w:color="auto" w:fill="auto"/>
            <w:noWrap/>
            <w:vAlign w:val="center"/>
          </w:tcPr>
          <w:p w14:paraId="6D9F0AB4">
            <w:pPr>
              <w:jc w:val="center"/>
            </w:pPr>
            <w:r>
              <w:rPr>
                <w:rFonts w:ascii="宋体" w:hAnsi="宋体"/>
                <w:sz w:val="18"/>
              </w:rPr>
              <w:t>0.00</w:t>
            </w:r>
          </w:p>
        </w:tc>
        <w:tc>
          <w:tcPr>
            <w:tcW w:w="1177" w:type="dxa"/>
            <w:shd w:val="clear" w:color="auto" w:fill="auto"/>
            <w:noWrap/>
            <w:vAlign w:val="center"/>
          </w:tcPr>
          <w:p w14:paraId="096A7BD4">
            <w:pPr>
              <w:jc w:val="center"/>
            </w:pPr>
            <w:r>
              <w:rPr>
                <w:rFonts w:ascii="宋体" w:hAnsi="宋体"/>
                <w:sz w:val="18"/>
              </w:rPr>
              <w:t>0.00</w:t>
            </w:r>
          </w:p>
        </w:tc>
        <w:tc>
          <w:tcPr>
            <w:tcW w:w="1535" w:type="dxa"/>
            <w:gridSpan w:val="2"/>
            <w:shd w:val="clear" w:color="auto" w:fill="auto"/>
            <w:noWrap/>
            <w:vAlign w:val="center"/>
          </w:tcPr>
          <w:p w14:paraId="551D1ECC">
            <w:pPr>
              <w:jc w:val="center"/>
            </w:pPr>
            <w:r>
              <w:rPr>
                <w:rFonts w:ascii="宋体" w:hAnsi="宋体"/>
                <w:sz w:val="18"/>
              </w:rPr>
              <w:t>0.00</w:t>
            </w:r>
          </w:p>
        </w:tc>
        <w:tc>
          <w:tcPr>
            <w:tcW w:w="689" w:type="dxa"/>
            <w:gridSpan w:val="2"/>
            <w:shd w:val="clear" w:color="auto" w:fill="auto"/>
            <w:vAlign w:val="center"/>
          </w:tcPr>
          <w:p w14:paraId="59336D72">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984" w:type="dxa"/>
            <w:gridSpan w:val="2"/>
            <w:shd w:val="clear" w:color="auto" w:fill="auto"/>
            <w:vAlign w:val="center"/>
          </w:tcPr>
          <w:p w14:paraId="24FA997D">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c>
          <w:tcPr>
            <w:tcW w:w="1417" w:type="dxa"/>
            <w:shd w:val="clear" w:color="auto" w:fill="auto"/>
            <w:vAlign w:val="center"/>
          </w:tcPr>
          <w:p w14:paraId="3CDF198A">
            <w:pPr>
              <w:widowControl/>
              <w:jc w:val="center"/>
              <w:rPr>
                <w:rFonts w:hint="eastAsia" w:ascii="宋体" w:hAnsi="宋体" w:cs="宋体"/>
                <w:color w:val="000000"/>
                <w:kern w:val="0"/>
                <w:sz w:val="18"/>
                <w:szCs w:val="18"/>
              </w:rPr>
            </w:pPr>
            <w:r>
              <w:rPr>
                <w:rFonts w:hint="eastAsia" w:ascii="宋体" w:hAnsi="宋体" w:cs="宋体"/>
                <w:color w:val="000000"/>
                <w:kern w:val="0"/>
                <w:sz w:val="18"/>
                <w:szCs w:val="18"/>
              </w:rPr>
              <w:t>—</w:t>
            </w:r>
          </w:p>
        </w:tc>
      </w:tr>
      <w:tr w14:paraId="0168C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598" w:type="dxa"/>
            <w:vMerge w:val="restart"/>
            <w:shd w:val="clear" w:color="auto" w:fill="auto"/>
            <w:vAlign w:val="center"/>
          </w:tcPr>
          <w:p w14:paraId="19A7BB8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年度总体目标</w:t>
            </w:r>
          </w:p>
        </w:tc>
        <w:tc>
          <w:tcPr>
            <w:tcW w:w="4459" w:type="dxa"/>
            <w:gridSpan w:val="5"/>
            <w:shd w:val="clear" w:color="auto" w:fill="auto"/>
            <w:vAlign w:val="center"/>
          </w:tcPr>
          <w:p w14:paraId="52D131A2">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预期目标</w:t>
            </w:r>
          </w:p>
        </w:tc>
        <w:tc>
          <w:tcPr>
            <w:tcW w:w="4625" w:type="dxa"/>
            <w:gridSpan w:val="7"/>
            <w:shd w:val="clear" w:color="auto" w:fill="auto"/>
            <w:vAlign w:val="center"/>
          </w:tcPr>
          <w:p w14:paraId="3E69F1A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实际完成情况</w:t>
            </w:r>
          </w:p>
        </w:tc>
      </w:tr>
      <w:tr w14:paraId="6E2E14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598" w:type="dxa"/>
            <w:vMerge w:val="continue"/>
            <w:vAlign w:val="center"/>
          </w:tcPr>
          <w:p w14:paraId="2C1EC60E">
            <w:pPr>
              <w:widowControl/>
              <w:jc w:val="left"/>
              <w:rPr>
                <w:rFonts w:hint="eastAsia" w:ascii="宋体" w:hAnsi="宋体" w:cs="宋体"/>
                <w:color w:val="000000"/>
                <w:kern w:val="0"/>
                <w:sz w:val="18"/>
                <w:szCs w:val="18"/>
              </w:rPr>
            </w:pPr>
          </w:p>
        </w:tc>
        <w:tc>
          <w:tcPr>
            <w:tcW w:w="4459" w:type="dxa"/>
            <w:gridSpan w:val="5"/>
            <w:shd w:val="clear" w:color="auto" w:fill="auto"/>
          </w:tcPr>
          <w:p w14:paraId="33A0C2CE">
            <w:pPr>
              <w:jc w:val="left"/>
            </w:pPr>
            <w:r>
              <w:rPr>
                <w:rFonts w:ascii="宋体" w:hAnsi="宋体"/>
                <w:sz w:val="18"/>
              </w:rPr>
              <w:t>项目资金用于农村电影放映员开展培训至少1次，放映设备维护及场次补贴，每年到农村放映场次达到1025场。活跃社区各族群众的文化体育生活，引领现代文化。逐步改善基层公共文化体育设施条件，加强基层公共文化人才队伍建设;保障广大群众读书、看报、看电影、进行文化鉴赏、开展文化体育活动的基本文化权益。</w:t>
            </w:r>
          </w:p>
        </w:tc>
        <w:tc>
          <w:tcPr>
            <w:tcW w:w="4625" w:type="dxa"/>
            <w:gridSpan w:val="7"/>
            <w:shd w:val="clear" w:color="auto" w:fill="auto"/>
          </w:tcPr>
          <w:p w14:paraId="395E3543">
            <w:pPr>
              <w:jc w:val="left"/>
            </w:pPr>
            <w:r>
              <w:rPr>
                <w:rFonts w:ascii="宋体" w:hAnsi="宋体"/>
                <w:sz w:val="18"/>
              </w:rPr>
              <w:t>2023年米东区公益电影放映管理中心农村电影放映员开展培训1次，放映设备维护及场次补贴，每年到农村放映场次1123场。活跃了农村各族群众的文化、体育生活，有效的解决了农村群众看电影难得问题，满足了农民群众的精神文化需求，促进了农村和谐发展。逐步改善基层公共文化体育设施条件，加强基层公共文化人才队伍建设。</w:t>
            </w:r>
          </w:p>
        </w:tc>
      </w:tr>
      <w:tr w14:paraId="6FD3D5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598" w:type="dxa"/>
            <w:vMerge w:val="restart"/>
            <w:shd w:val="clear" w:color="auto" w:fill="auto"/>
            <w:vAlign w:val="center"/>
          </w:tcPr>
          <w:p w14:paraId="78C454F8">
            <w:pPr>
              <w:widowControl/>
              <w:jc w:val="center"/>
              <w:rPr>
                <w:rFonts w:hint="eastAsia" w:ascii="宋体" w:hAnsi="宋体" w:cs="宋体"/>
                <w:color w:val="000000"/>
                <w:kern w:val="0"/>
                <w:sz w:val="18"/>
                <w:szCs w:val="18"/>
              </w:rPr>
            </w:pPr>
          </w:p>
        </w:tc>
        <w:tc>
          <w:tcPr>
            <w:tcW w:w="707" w:type="dxa"/>
            <w:vMerge w:val="restart"/>
            <w:shd w:val="clear" w:color="auto" w:fill="auto"/>
            <w:vAlign w:val="center"/>
          </w:tcPr>
          <w:p w14:paraId="1EFC9FE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一级指标</w:t>
            </w:r>
          </w:p>
        </w:tc>
        <w:tc>
          <w:tcPr>
            <w:tcW w:w="718" w:type="dxa"/>
            <w:vMerge w:val="restart"/>
            <w:shd w:val="clear" w:color="auto" w:fill="auto"/>
            <w:vAlign w:val="center"/>
          </w:tcPr>
          <w:p w14:paraId="5C8F842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二级指标</w:t>
            </w:r>
          </w:p>
        </w:tc>
        <w:tc>
          <w:tcPr>
            <w:tcW w:w="1857" w:type="dxa"/>
            <w:gridSpan w:val="2"/>
            <w:vMerge w:val="restart"/>
            <w:shd w:val="clear" w:color="auto" w:fill="auto"/>
            <w:vAlign w:val="center"/>
          </w:tcPr>
          <w:p w14:paraId="08CEF76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三级指标</w:t>
            </w:r>
          </w:p>
        </w:tc>
        <w:tc>
          <w:tcPr>
            <w:tcW w:w="1177" w:type="dxa"/>
            <w:vMerge w:val="restart"/>
            <w:shd w:val="clear" w:color="auto" w:fill="auto"/>
            <w:vAlign w:val="center"/>
          </w:tcPr>
          <w:p w14:paraId="06F6460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年度指标值</w:t>
            </w:r>
          </w:p>
        </w:tc>
        <w:tc>
          <w:tcPr>
            <w:tcW w:w="1177" w:type="dxa"/>
            <w:vMerge w:val="restart"/>
            <w:shd w:val="clear" w:color="auto" w:fill="auto"/>
            <w:vAlign w:val="center"/>
          </w:tcPr>
          <w:p w14:paraId="30E9F81A">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实际完成值</w:t>
            </w:r>
          </w:p>
        </w:tc>
        <w:tc>
          <w:tcPr>
            <w:tcW w:w="707" w:type="dxa"/>
            <w:gridSpan w:val="2"/>
            <w:vMerge w:val="restart"/>
            <w:shd w:val="clear" w:color="auto" w:fill="auto"/>
            <w:vAlign w:val="center"/>
          </w:tcPr>
          <w:p w14:paraId="1ADFCAB3">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分值</w:t>
            </w:r>
          </w:p>
        </w:tc>
        <w:tc>
          <w:tcPr>
            <w:tcW w:w="690" w:type="dxa"/>
            <w:gridSpan w:val="2"/>
            <w:vMerge w:val="restart"/>
            <w:shd w:val="clear" w:color="auto" w:fill="auto"/>
            <w:vAlign w:val="center"/>
          </w:tcPr>
          <w:p w14:paraId="166FF2EC">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得分</w:t>
            </w:r>
          </w:p>
        </w:tc>
        <w:tc>
          <w:tcPr>
            <w:tcW w:w="2051" w:type="dxa"/>
            <w:gridSpan w:val="2"/>
            <w:vMerge w:val="restart"/>
            <w:shd w:val="clear" w:color="auto" w:fill="auto"/>
            <w:vAlign w:val="center"/>
          </w:tcPr>
          <w:p w14:paraId="5FC6FC8F">
            <w:pPr>
              <w:widowControl/>
              <w:jc w:val="center"/>
              <w:rPr>
                <w:rFonts w:hint="eastAsia" w:ascii="宋体" w:hAnsi="宋体" w:cs="宋体"/>
                <w:b/>
                <w:bCs/>
                <w:color w:val="000000"/>
                <w:kern w:val="0"/>
                <w:sz w:val="18"/>
                <w:szCs w:val="18"/>
              </w:rPr>
            </w:pPr>
            <w:r>
              <w:rPr>
                <w:rFonts w:hint="eastAsia" w:ascii="宋体" w:hAnsi="宋体" w:cs="宋体"/>
                <w:b/>
                <w:bCs/>
                <w:color w:val="000000"/>
                <w:kern w:val="0"/>
                <w:sz w:val="18"/>
                <w:szCs w:val="18"/>
              </w:rPr>
              <w:t>偏差原因分析及改进措施</w:t>
            </w:r>
          </w:p>
        </w:tc>
      </w:tr>
      <w:tr w14:paraId="71D841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598" w:type="dxa"/>
            <w:vMerge w:val="continue"/>
            <w:vAlign w:val="center"/>
          </w:tcPr>
          <w:p w14:paraId="2CC41A4E">
            <w:pPr>
              <w:widowControl/>
              <w:jc w:val="left"/>
              <w:rPr>
                <w:rFonts w:hint="eastAsia" w:ascii="宋体" w:hAnsi="宋体" w:cs="宋体"/>
                <w:color w:val="000000"/>
                <w:kern w:val="0"/>
                <w:sz w:val="18"/>
                <w:szCs w:val="18"/>
              </w:rPr>
            </w:pPr>
          </w:p>
        </w:tc>
        <w:tc>
          <w:tcPr>
            <w:tcW w:w="707" w:type="dxa"/>
            <w:vMerge w:val="continue"/>
            <w:vAlign w:val="center"/>
          </w:tcPr>
          <w:p w14:paraId="7A31F760">
            <w:pPr>
              <w:widowControl/>
              <w:jc w:val="left"/>
              <w:rPr>
                <w:rFonts w:hint="eastAsia" w:ascii="宋体" w:hAnsi="宋体" w:cs="宋体"/>
                <w:color w:val="000000"/>
                <w:kern w:val="0"/>
                <w:sz w:val="18"/>
                <w:szCs w:val="18"/>
              </w:rPr>
            </w:pPr>
          </w:p>
        </w:tc>
        <w:tc>
          <w:tcPr>
            <w:tcW w:w="718" w:type="dxa"/>
            <w:vMerge w:val="continue"/>
            <w:vAlign w:val="center"/>
          </w:tcPr>
          <w:p w14:paraId="69EC244B">
            <w:pPr>
              <w:widowControl/>
              <w:jc w:val="left"/>
              <w:rPr>
                <w:rFonts w:hint="eastAsia" w:ascii="宋体" w:hAnsi="宋体" w:cs="宋体"/>
                <w:color w:val="000000"/>
                <w:kern w:val="0"/>
                <w:sz w:val="18"/>
                <w:szCs w:val="18"/>
              </w:rPr>
            </w:pPr>
          </w:p>
        </w:tc>
        <w:tc>
          <w:tcPr>
            <w:tcW w:w="1857" w:type="dxa"/>
            <w:gridSpan w:val="2"/>
            <w:vMerge w:val="continue"/>
            <w:vAlign w:val="center"/>
          </w:tcPr>
          <w:p w14:paraId="23394C5B">
            <w:pPr>
              <w:widowControl/>
              <w:jc w:val="left"/>
              <w:rPr>
                <w:rFonts w:hint="eastAsia" w:ascii="宋体" w:hAnsi="宋体" w:cs="宋体"/>
                <w:color w:val="000000"/>
                <w:kern w:val="0"/>
                <w:sz w:val="18"/>
                <w:szCs w:val="18"/>
              </w:rPr>
            </w:pPr>
          </w:p>
        </w:tc>
        <w:tc>
          <w:tcPr>
            <w:tcW w:w="1177" w:type="dxa"/>
            <w:vMerge w:val="continue"/>
            <w:vAlign w:val="center"/>
          </w:tcPr>
          <w:p w14:paraId="6833033E">
            <w:pPr>
              <w:widowControl/>
              <w:jc w:val="left"/>
              <w:rPr>
                <w:rFonts w:hint="eastAsia" w:ascii="宋体" w:hAnsi="宋体" w:cs="宋体"/>
                <w:color w:val="000000"/>
                <w:kern w:val="0"/>
                <w:sz w:val="18"/>
                <w:szCs w:val="18"/>
              </w:rPr>
            </w:pPr>
          </w:p>
        </w:tc>
        <w:tc>
          <w:tcPr>
            <w:tcW w:w="1177" w:type="dxa"/>
            <w:vMerge w:val="continue"/>
            <w:vAlign w:val="center"/>
          </w:tcPr>
          <w:p w14:paraId="0810469B">
            <w:pPr>
              <w:widowControl/>
              <w:jc w:val="left"/>
              <w:rPr>
                <w:rFonts w:hint="eastAsia" w:ascii="宋体" w:hAnsi="宋体" w:cs="宋体"/>
                <w:color w:val="000000"/>
                <w:kern w:val="0"/>
                <w:sz w:val="18"/>
                <w:szCs w:val="18"/>
              </w:rPr>
            </w:pPr>
          </w:p>
        </w:tc>
        <w:tc>
          <w:tcPr>
            <w:tcW w:w="707" w:type="dxa"/>
            <w:gridSpan w:val="2"/>
            <w:vMerge w:val="continue"/>
            <w:vAlign w:val="center"/>
          </w:tcPr>
          <w:p w14:paraId="73715D0E">
            <w:pPr>
              <w:widowControl/>
              <w:jc w:val="left"/>
              <w:rPr>
                <w:rFonts w:hint="eastAsia" w:ascii="宋体" w:hAnsi="宋体" w:cs="宋体"/>
                <w:color w:val="000000"/>
                <w:kern w:val="0"/>
                <w:sz w:val="18"/>
                <w:szCs w:val="18"/>
              </w:rPr>
            </w:pPr>
          </w:p>
        </w:tc>
        <w:tc>
          <w:tcPr>
            <w:tcW w:w="690" w:type="dxa"/>
            <w:gridSpan w:val="2"/>
            <w:vMerge w:val="continue"/>
            <w:vAlign w:val="center"/>
          </w:tcPr>
          <w:p w14:paraId="5F0BDD7E">
            <w:pPr>
              <w:widowControl/>
              <w:jc w:val="left"/>
              <w:rPr>
                <w:rFonts w:hint="eastAsia" w:ascii="宋体" w:hAnsi="宋体" w:cs="宋体"/>
                <w:color w:val="000000"/>
                <w:kern w:val="0"/>
                <w:sz w:val="18"/>
                <w:szCs w:val="18"/>
              </w:rPr>
            </w:pPr>
          </w:p>
        </w:tc>
        <w:tc>
          <w:tcPr>
            <w:tcW w:w="2051" w:type="dxa"/>
            <w:gridSpan w:val="2"/>
            <w:vMerge w:val="continue"/>
            <w:vAlign w:val="center"/>
          </w:tcPr>
          <w:p w14:paraId="653D0AE8">
            <w:pPr>
              <w:widowControl/>
              <w:jc w:val="left"/>
              <w:rPr>
                <w:rFonts w:hint="eastAsia" w:ascii="宋体" w:hAnsi="宋体" w:cs="宋体"/>
                <w:color w:val="000000"/>
                <w:kern w:val="0"/>
                <w:sz w:val="18"/>
                <w:szCs w:val="18"/>
              </w:rPr>
            </w:pPr>
          </w:p>
        </w:tc>
      </w:tr>
      <w:tr w14:paraId="2C97C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restart"/>
            <w:shd w:val="clear" w:color="auto" w:fill="auto"/>
            <w:vAlign w:val="center"/>
          </w:tcPr>
          <w:p w14:paraId="1062D3F6">
            <w:pPr>
              <w:jc w:val="center"/>
            </w:pPr>
            <w:r>
              <w:rPr>
                <w:rFonts w:ascii="宋体" w:hAnsi="宋体"/>
                <w:sz w:val="18"/>
              </w:rPr>
              <w:t>年度绩效指标完成情况</w:t>
            </w:r>
          </w:p>
        </w:tc>
        <w:tc>
          <w:tcPr>
            <w:tcW w:w="707" w:type="dxa"/>
            <w:vMerge w:val="restart"/>
            <w:shd w:val="clear" w:color="auto" w:fill="auto"/>
            <w:vAlign w:val="center"/>
          </w:tcPr>
          <w:p w14:paraId="3A6A4BC6">
            <w:pPr>
              <w:jc w:val="center"/>
            </w:pPr>
            <w:r>
              <w:rPr>
                <w:rFonts w:ascii="宋体" w:hAnsi="宋体"/>
                <w:sz w:val="18"/>
              </w:rPr>
              <w:t>产出指标</w:t>
            </w:r>
          </w:p>
        </w:tc>
        <w:tc>
          <w:tcPr>
            <w:tcW w:w="718" w:type="dxa"/>
            <w:vMerge w:val="restart"/>
            <w:shd w:val="clear" w:color="auto" w:fill="auto"/>
            <w:vAlign w:val="center"/>
          </w:tcPr>
          <w:p w14:paraId="1AE9C8BE">
            <w:pPr>
              <w:jc w:val="center"/>
            </w:pPr>
            <w:r>
              <w:rPr>
                <w:rFonts w:ascii="宋体" w:hAnsi="宋体"/>
                <w:sz w:val="18"/>
              </w:rPr>
              <w:t>数量指标</w:t>
            </w:r>
          </w:p>
        </w:tc>
        <w:tc>
          <w:tcPr>
            <w:tcW w:w="1857" w:type="dxa"/>
            <w:gridSpan w:val="2"/>
            <w:shd w:val="clear" w:color="auto" w:fill="auto"/>
            <w:noWrap/>
            <w:vAlign w:val="center"/>
          </w:tcPr>
          <w:p w14:paraId="15C6E463">
            <w:pPr>
              <w:jc w:val="center"/>
            </w:pPr>
            <w:r>
              <w:rPr>
                <w:rFonts w:ascii="宋体" w:hAnsi="宋体"/>
                <w:sz w:val="18"/>
              </w:rPr>
              <w:t>放映场次</w:t>
            </w:r>
          </w:p>
        </w:tc>
        <w:tc>
          <w:tcPr>
            <w:tcW w:w="1177" w:type="dxa"/>
            <w:shd w:val="clear" w:color="auto" w:fill="auto"/>
            <w:vAlign w:val="center"/>
          </w:tcPr>
          <w:p w14:paraId="0A3468C2">
            <w:pPr>
              <w:jc w:val="center"/>
            </w:pPr>
            <w:r>
              <w:rPr>
                <w:rFonts w:ascii="宋体" w:hAnsi="宋体"/>
                <w:sz w:val="18"/>
              </w:rPr>
              <w:t>&gt;=1020场</w:t>
            </w:r>
          </w:p>
        </w:tc>
        <w:tc>
          <w:tcPr>
            <w:tcW w:w="1177" w:type="dxa"/>
            <w:shd w:val="clear" w:color="auto" w:fill="auto"/>
            <w:vAlign w:val="center"/>
          </w:tcPr>
          <w:p w14:paraId="17A39632">
            <w:pPr>
              <w:jc w:val="center"/>
            </w:pPr>
            <w:r>
              <w:rPr>
                <w:rFonts w:ascii="宋体" w:hAnsi="宋体"/>
                <w:sz w:val="18"/>
              </w:rPr>
              <w:t>1123场</w:t>
            </w:r>
          </w:p>
        </w:tc>
        <w:tc>
          <w:tcPr>
            <w:tcW w:w="707" w:type="dxa"/>
            <w:gridSpan w:val="2"/>
            <w:shd w:val="clear" w:color="auto" w:fill="auto"/>
            <w:vAlign w:val="center"/>
          </w:tcPr>
          <w:p w14:paraId="79C5CD15">
            <w:pPr>
              <w:jc w:val="center"/>
            </w:pPr>
            <w:r>
              <w:rPr>
                <w:rFonts w:ascii="宋体" w:hAnsi="宋体"/>
                <w:sz w:val="18"/>
              </w:rPr>
              <w:t>5</w:t>
            </w:r>
          </w:p>
        </w:tc>
        <w:tc>
          <w:tcPr>
            <w:tcW w:w="690" w:type="dxa"/>
            <w:gridSpan w:val="2"/>
            <w:shd w:val="clear" w:color="auto" w:fill="auto"/>
            <w:vAlign w:val="center"/>
          </w:tcPr>
          <w:p w14:paraId="3459A56D">
            <w:pPr>
              <w:jc w:val="center"/>
            </w:pPr>
            <w:r>
              <w:rPr>
                <w:rFonts w:ascii="宋体" w:hAnsi="宋体"/>
                <w:sz w:val="18"/>
              </w:rPr>
              <w:t>5</w:t>
            </w:r>
          </w:p>
        </w:tc>
        <w:tc>
          <w:tcPr>
            <w:tcW w:w="2051" w:type="dxa"/>
            <w:gridSpan w:val="2"/>
            <w:shd w:val="clear" w:color="auto" w:fill="auto"/>
            <w:vAlign w:val="center"/>
          </w:tcPr>
          <w:p w14:paraId="6E2C17BE">
            <w:pPr>
              <w:jc w:val="center"/>
            </w:pPr>
            <w:r>
              <w:rPr>
                <w:rFonts w:ascii="宋体" w:hAnsi="宋体"/>
                <w:sz w:val="18"/>
              </w:rPr>
              <w:t>上级要求增加电影放映场次</w:t>
            </w:r>
          </w:p>
        </w:tc>
      </w:tr>
      <w:tr w14:paraId="1B8A6E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5614B9A5">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7422C601">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7513171C">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786A8C06">
            <w:pPr>
              <w:jc w:val="center"/>
            </w:pPr>
            <w:r>
              <w:rPr>
                <w:rFonts w:ascii="宋体" w:hAnsi="宋体"/>
                <w:sz w:val="18"/>
              </w:rPr>
              <w:t>放映员培训次数</w:t>
            </w:r>
          </w:p>
        </w:tc>
        <w:tc>
          <w:tcPr>
            <w:tcW w:w="1177" w:type="dxa"/>
            <w:shd w:val="clear" w:color="auto" w:fill="auto"/>
            <w:vAlign w:val="center"/>
          </w:tcPr>
          <w:p w14:paraId="2A8AAFF4">
            <w:pPr>
              <w:jc w:val="center"/>
            </w:pPr>
            <w:r>
              <w:rPr>
                <w:rFonts w:ascii="宋体" w:hAnsi="宋体"/>
                <w:sz w:val="18"/>
              </w:rPr>
              <w:t>&gt;=1次</w:t>
            </w:r>
          </w:p>
        </w:tc>
        <w:tc>
          <w:tcPr>
            <w:tcW w:w="1177" w:type="dxa"/>
            <w:shd w:val="clear" w:color="auto" w:fill="auto"/>
            <w:vAlign w:val="center"/>
          </w:tcPr>
          <w:p w14:paraId="258CDB2A">
            <w:pPr>
              <w:jc w:val="center"/>
            </w:pPr>
            <w:r>
              <w:rPr>
                <w:rFonts w:ascii="宋体" w:hAnsi="宋体"/>
                <w:sz w:val="18"/>
              </w:rPr>
              <w:t>1次</w:t>
            </w:r>
          </w:p>
        </w:tc>
        <w:tc>
          <w:tcPr>
            <w:tcW w:w="707" w:type="dxa"/>
            <w:gridSpan w:val="2"/>
            <w:shd w:val="clear" w:color="auto" w:fill="auto"/>
            <w:vAlign w:val="center"/>
          </w:tcPr>
          <w:p w14:paraId="27C0A497">
            <w:pPr>
              <w:jc w:val="center"/>
            </w:pPr>
            <w:r>
              <w:rPr>
                <w:rFonts w:ascii="宋体" w:hAnsi="宋体"/>
                <w:sz w:val="18"/>
              </w:rPr>
              <w:t>5</w:t>
            </w:r>
          </w:p>
        </w:tc>
        <w:tc>
          <w:tcPr>
            <w:tcW w:w="690" w:type="dxa"/>
            <w:gridSpan w:val="2"/>
            <w:shd w:val="clear" w:color="auto" w:fill="auto"/>
            <w:vAlign w:val="center"/>
          </w:tcPr>
          <w:p w14:paraId="2476EF87">
            <w:pPr>
              <w:jc w:val="center"/>
            </w:pPr>
            <w:r>
              <w:rPr>
                <w:rFonts w:ascii="宋体" w:hAnsi="宋体"/>
                <w:sz w:val="18"/>
              </w:rPr>
              <w:t>5</w:t>
            </w:r>
          </w:p>
        </w:tc>
        <w:tc>
          <w:tcPr>
            <w:tcW w:w="2051" w:type="dxa"/>
            <w:gridSpan w:val="2"/>
            <w:shd w:val="clear" w:color="auto" w:fill="auto"/>
            <w:vAlign w:val="center"/>
          </w:tcPr>
          <w:p w14:paraId="01CFCA24">
            <w:pPr>
              <w:jc w:val="center"/>
            </w:pPr>
          </w:p>
        </w:tc>
      </w:tr>
      <w:tr w14:paraId="33C8D6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28AF40BB">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66530984">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1AA10704">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E96D3CF">
            <w:pPr>
              <w:jc w:val="center"/>
            </w:pPr>
            <w:r>
              <w:rPr>
                <w:rFonts w:ascii="宋体" w:hAnsi="宋体"/>
                <w:sz w:val="18"/>
              </w:rPr>
              <w:t>放映设备数量</w:t>
            </w:r>
          </w:p>
        </w:tc>
        <w:tc>
          <w:tcPr>
            <w:tcW w:w="1177" w:type="dxa"/>
            <w:shd w:val="clear" w:color="auto" w:fill="auto"/>
            <w:vAlign w:val="center"/>
          </w:tcPr>
          <w:p w14:paraId="6B487E3E">
            <w:pPr>
              <w:jc w:val="center"/>
            </w:pPr>
            <w:r>
              <w:rPr>
                <w:rFonts w:ascii="宋体" w:hAnsi="宋体"/>
                <w:sz w:val="18"/>
              </w:rPr>
              <w:t>&gt;=7套</w:t>
            </w:r>
          </w:p>
        </w:tc>
        <w:tc>
          <w:tcPr>
            <w:tcW w:w="1177" w:type="dxa"/>
            <w:shd w:val="clear" w:color="auto" w:fill="auto"/>
            <w:vAlign w:val="center"/>
          </w:tcPr>
          <w:p w14:paraId="57200CC1">
            <w:pPr>
              <w:jc w:val="center"/>
            </w:pPr>
            <w:r>
              <w:rPr>
                <w:rFonts w:ascii="宋体" w:hAnsi="宋体"/>
                <w:sz w:val="18"/>
              </w:rPr>
              <w:t>7套</w:t>
            </w:r>
          </w:p>
        </w:tc>
        <w:tc>
          <w:tcPr>
            <w:tcW w:w="707" w:type="dxa"/>
            <w:gridSpan w:val="2"/>
            <w:shd w:val="clear" w:color="auto" w:fill="auto"/>
            <w:vAlign w:val="center"/>
          </w:tcPr>
          <w:p w14:paraId="03962840">
            <w:pPr>
              <w:jc w:val="center"/>
            </w:pPr>
            <w:r>
              <w:rPr>
                <w:rFonts w:ascii="宋体" w:hAnsi="宋体"/>
                <w:sz w:val="18"/>
              </w:rPr>
              <w:t>5</w:t>
            </w:r>
          </w:p>
        </w:tc>
        <w:tc>
          <w:tcPr>
            <w:tcW w:w="690" w:type="dxa"/>
            <w:gridSpan w:val="2"/>
            <w:shd w:val="clear" w:color="auto" w:fill="auto"/>
            <w:vAlign w:val="center"/>
          </w:tcPr>
          <w:p w14:paraId="3292D473">
            <w:pPr>
              <w:jc w:val="center"/>
            </w:pPr>
            <w:r>
              <w:rPr>
                <w:rFonts w:ascii="宋体" w:hAnsi="宋体"/>
                <w:sz w:val="18"/>
              </w:rPr>
              <w:t>5</w:t>
            </w:r>
          </w:p>
        </w:tc>
        <w:tc>
          <w:tcPr>
            <w:tcW w:w="2051" w:type="dxa"/>
            <w:gridSpan w:val="2"/>
            <w:shd w:val="clear" w:color="auto" w:fill="auto"/>
            <w:vAlign w:val="center"/>
          </w:tcPr>
          <w:p w14:paraId="45ED1845">
            <w:pPr>
              <w:jc w:val="center"/>
            </w:pPr>
          </w:p>
        </w:tc>
      </w:tr>
      <w:tr w14:paraId="1E542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3AD5DDE6">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39AE8809">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77A5A60C">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8DFFFF7">
            <w:pPr>
              <w:jc w:val="center"/>
            </w:pPr>
            <w:r>
              <w:rPr>
                <w:rFonts w:ascii="宋体" w:hAnsi="宋体"/>
                <w:sz w:val="18"/>
              </w:rPr>
              <w:t>放映员人数</w:t>
            </w:r>
          </w:p>
        </w:tc>
        <w:tc>
          <w:tcPr>
            <w:tcW w:w="1177" w:type="dxa"/>
            <w:shd w:val="clear" w:color="auto" w:fill="auto"/>
            <w:vAlign w:val="center"/>
          </w:tcPr>
          <w:p w14:paraId="346B65E5">
            <w:pPr>
              <w:jc w:val="center"/>
            </w:pPr>
            <w:r>
              <w:rPr>
                <w:rFonts w:ascii="宋体" w:hAnsi="宋体"/>
                <w:sz w:val="18"/>
              </w:rPr>
              <w:t>&gt;=7人</w:t>
            </w:r>
          </w:p>
        </w:tc>
        <w:tc>
          <w:tcPr>
            <w:tcW w:w="1177" w:type="dxa"/>
            <w:shd w:val="clear" w:color="auto" w:fill="auto"/>
            <w:vAlign w:val="center"/>
          </w:tcPr>
          <w:p w14:paraId="1730E0C1">
            <w:pPr>
              <w:jc w:val="center"/>
            </w:pPr>
            <w:r>
              <w:rPr>
                <w:rFonts w:ascii="宋体" w:hAnsi="宋体"/>
                <w:sz w:val="18"/>
              </w:rPr>
              <w:t>7人</w:t>
            </w:r>
          </w:p>
        </w:tc>
        <w:tc>
          <w:tcPr>
            <w:tcW w:w="707" w:type="dxa"/>
            <w:gridSpan w:val="2"/>
            <w:shd w:val="clear" w:color="auto" w:fill="auto"/>
            <w:vAlign w:val="center"/>
          </w:tcPr>
          <w:p w14:paraId="492B086E">
            <w:pPr>
              <w:jc w:val="center"/>
            </w:pPr>
            <w:r>
              <w:rPr>
                <w:rFonts w:ascii="宋体" w:hAnsi="宋体"/>
                <w:sz w:val="18"/>
              </w:rPr>
              <w:t>5</w:t>
            </w:r>
          </w:p>
        </w:tc>
        <w:tc>
          <w:tcPr>
            <w:tcW w:w="690" w:type="dxa"/>
            <w:gridSpan w:val="2"/>
            <w:shd w:val="clear" w:color="auto" w:fill="auto"/>
            <w:vAlign w:val="center"/>
          </w:tcPr>
          <w:p w14:paraId="12EF4645">
            <w:pPr>
              <w:jc w:val="center"/>
            </w:pPr>
            <w:r>
              <w:rPr>
                <w:rFonts w:ascii="宋体" w:hAnsi="宋体"/>
                <w:sz w:val="18"/>
              </w:rPr>
              <w:t>5</w:t>
            </w:r>
          </w:p>
        </w:tc>
        <w:tc>
          <w:tcPr>
            <w:tcW w:w="2051" w:type="dxa"/>
            <w:gridSpan w:val="2"/>
            <w:shd w:val="clear" w:color="auto" w:fill="auto"/>
            <w:vAlign w:val="center"/>
          </w:tcPr>
          <w:p w14:paraId="00678489">
            <w:pPr>
              <w:jc w:val="center"/>
            </w:pPr>
          </w:p>
        </w:tc>
      </w:tr>
      <w:tr w14:paraId="47A60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1DC7FF85">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1CA25D25">
            <w:pPr>
              <w:widowControl/>
              <w:jc w:val="center"/>
              <w:rPr>
                <w:rFonts w:hint="eastAsia" w:ascii="宋体" w:hAnsi="宋体" w:cs="宋体"/>
                <w:color w:val="000000"/>
                <w:kern w:val="0"/>
                <w:sz w:val="18"/>
                <w:szCs w:val="18"/>
              </w:rPr>
            </w:pPr>
          </w:p>
        </w:tc>
        <w:tc>
          <w:tcPr>
            <w:tcW w:w="718" w:type="dxa"/>
            <w:shd w:val="clear" w:color="auto" w:fill="auto"/>
            <w:vAlign w:val="center"/>
          </w:tcPr>
          <w:p w14:paraId="1BDC2764">
            <w:pPr>
              <w:jc w:val="center"/>
            </w:pPr>
            <w:r>
              <w:rPr>
                <w:rFonts w:ascii="宋体" w:hAnsi="宋体"/>
                <w:sz w:val="18"/>
              </w:rPr>
              <w:t>质量指标</w:t>
            </w:r>
          </w:p>
        </w:tc>
        <w:tc>
          <w:tcPr>
            <w:tcW w:w="1857" w:type="dxa"/>
            <w:gridSpan w:val="2"/>
            <w:shd w:val="clear" w:color="auto" w:fill="auto"/>
            <w:noWrap/>
            <w:vAlign w:val="center"/>
          </w:tcPr>
          <w:p w14:paraId="67DFDDB9">
            <w:pPr>
              <w:jc w:val="center"/>
            </w:pPr>
            <w:r>
              <w:rPr>
                <w:rFonts w:ascii="宋体" w:hAnsi="宋体"/>
                <w:sz w:val="18"/>
              </w:rPr>
              <w:t>放映设备故障率</w:t>
            </w:r>
          </w:p>
        </w:tc>
        <w:tc>
          <w:tcPr>
            <w:tcW w:w="1177" w:type="dxa"/>
            <w:shd w:val="clear" w:color="auto" w:fill="auto"/>
            <w:vAlign w:val="center"/>
          </w:tcPr>
          <w:p w14:paraId="1249FD78">
            <w:pPr>
              <w:jc w:val="center"/>
            </w:pPr>
            <w:r>
              <w:rPr>
                <w:rFonts w:ascii="宋体" w:hAnsi="宋体"/>
                <w:sz w:val="18"/>
              </w:rPr>
              <w:t>&lt;=10%</w:t>
            </w:r>
          </w:p>
        </w:tc>
        <w:tc>
          <w:tcPr>
            <w:tcW w:w="1177" w:type="dxa"/>
            <w:shd w:val="clear" w:color="auto" w:fill="auto"/>
            <w:vAlign w:val="center"/>
          </w:tcPr>
          <w:p w14:paraId="3B8D905A">
            <w:pPr>
              <w:jc w:val="center"/>
            </w:pPr>
            <w:r>
              <w:rPr>
                <w:rFonts w:ascii="宋体" w:hAnsi="宋体"/>
                <w:sz w:val="18"/>
              </w:rPr>
              <w:t>10%</w:t>
            </w:r>
          </w:p>
        </w:tc>
        <w:tc>
          <w:tcPr>
            <w:tcW w:w="707" w:type="dxa"/>
            <w:gridSpan w:val="2"/>
            <w:shd w:val="clear" w:color="auto" w:fill="auto"/>
            <w:vAlign w:val="center"/>
          </w:tcPr>
          <w:p w14:paraId="40E7A988">
            <w:pPr>
              <w:jc w:val="center"/>
            </w:pPr>
            <w:r>
              <w:rPr>
                <w:rFonts w:ascii="宋体" w:hAnsi="宋体"/>
                <w:sz w:val="18"/>
              </w:rPr>
              <w:t>10</w:t>
            </w:r>
          </w:p>
        </w:tc>
        <w:tc>
          <w:tcPr>
            <w:tcW w:w="690" w:type="dxa"/>
            <w:gridSpan w:val="2"/>
            <w:shd w:val="clear" w:color="auto" w:fill="auto"/>
            <w:vAlign w:val="center"/>
          </w:tcPr>
          <w:p w14:paraId="125FA245">
            <w:pPr>
              <w:jc w:val="center"/>
            </w:pPr>
            <w:r>
              <w:rPr>
                <w:rFonts w:ascii="宋体" w:hAnsi="宋体"/>
                <w:sz w:val="18"/>
              </w:rPr>
              <w:t>10</w:t>
            </w:r>
          </w:p>
        </w:tc>
        <w:tc>
          <w:tcPr>
            <w:tcW w:w="2051" w:type="dxa"/>
            <w:gridSpan w:val="2"/>
            <w:shd w:val="clear" w:color="auto" w:fill="auto"/>
            <w:vAlign w:val="center"/>
          </w:tcPr>
          <w:p w14:paraId="79E0FF10">
            <w:pPr>
              <w:jc w:val="center"/>
            </w:pPr>
          </w:p>
        </w:tc>
      </w:tr>
      <w:tr w14:paraId="7B4B0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48360A4E">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5C363218">
            <w:pPr>
              <w:widowControl/>
              <w:jc w:val="center"/>
              <w:rPr>
                <w:rFonts w:hint="eastAsia" w:ascii="宋体" w:hAnsi="宋体" w:cs="宋体"/>
                <w:color w:val="000000"/>
                <w:kern w:val="0"/>
                <w:sz w:val="18"/>
                <w:szCs w:val="18"/>
              </w:rPr>
            </w:pPr>
          </w:p>
        </w:tc>
        <w:tc>
          <w:tcPr>
            <w:tcW w:w="718" w:type="dxa"/>
            <w:shd w:val="clear" w:color="auto" w:fill="auto"/>
            <w:vAlign w:val="center"/>
          </w:tcPr>
          <w:p w14:paraId="262CA1CE">
            <w:pPr>
              <w:jc w:val="center"/>
            </w:pPr>
            <w:r>
              <w:rPr>
                <w:rFonts w:ascii="宋体" w:hAnsi="宋体"/>
                <w:sz w:val="18"/>
              </w:rPr>
              <w:t>时效指标</w:t>
            </w:r>
          </w:p>
        </w:tc>
        <w:tc>
          <w:tcPr>
            <w:tcW w:w="1857" w:type="dxa"/>
            <w:gridSpan w:val="2"/>
            <w:shd w:val="clear" w:color="auto" w:fill="auto"/>
            <w:noWrap/>
            <w:vAlign w:val="center"/>
          </w:tcPr>
          <w:p w14:paraId="19482292">
            <w:pPr>
              <w:jc w:val="center"/>
            </w:pPr>
            <w:r>
              <w:rPr>
                <w:rFonts w:ascii="宋体" w:hAnsi="宋体"/>
                <w:sz w:val="18"/>
              </w:rPr>
              <w:t>项目完成时间</w:t>
            </w:r>
          </w:p>
        </w:tc>
        <w:tc>
          <w:tcPr>
            <w:tcW w:w="1177" w:type="dxa"/>
            <w:shd w:val="clear" w:color="auto" w:fill="auto"/>
            <w:vAlign w:val="center"/>
          </w:tcPr>
          <w:p w14:paraId="7F63007E">
            <w:pPr>
              <w:jc w:val="center"/>
            </w:pPr>
            <w:r>
              <w:rPr>
                <w:rFonts w:ascii="宋体" w:hAnsi="宋体"/>
                <w:sz w:val="18"/>
              </w:rPr>
              <w:t>=12月</w:t>
            </w:r>
          </w:p>
        </w:tc>
        <w:tc>
          <w:tcPr>
            <w:tcW w:w="1177" w:type="dxa"/>
            <w:shd w:val="clear" w:color="auto" w:fill="auto"/>
            <w:vAlign w:val="center"/>
          </w:tcPr>
          <w:p w14:paraId="1416F097">
            <w:pPr>
              <w:jc w:val="center"/>
            </w:pPr>
            <w:r>
              <w:rPr>
                <w:rFonts w:ascii="宋体" w:hAnsi="宋体"/>
                <w:sz w:val="18"/>
              </w:rPr>
              <w:t>12月</w:t>
            </w:r>
          </w:p>
        </w:tc>
        <w:tc>
          <w:tcPr>
            <w:tcW w:w="707" w:type="dxa"/>
            <w:gridSpan w:val="2"/>
            <w:shd w:val="clear" w:color="auto" w:fill="auto"/>
            <w:vAlign w:val="center"/>
          </w:tcPr>
          <w:p w14:paraId="4F188C6C">
            <w:pPr>
              <w:jc w:val="center"/>
            </w:pPr>
            <w:r>
              <w:rPr>
                <w:rFonts w:ascii="宋体" w:hAnsi="宋体"/>
                <w:sz w:val="18"/>
              </w:rPr>
              <w:t>10</w:t>
            </w:r>
          </w:p>
        </w:tc>
        <w:tc>
          <w:tcPr>
            <w:tcW w:w="690" w:type="dxa"/>
            <w:gridSpan w:val="2"/>
            <w:shd w:val="clear" w:color="auto" w:fill="auto"/>
            <w:vAlign w:val="center"/>
          </w:tcPr>
          <w:p w14:paraId="7BCFF495">
            <w:pPr>
              <w:jc w:val="center"/>
            </w:pPr>
            <w:r>
              <w:rPr>
                <w:rFonts w:ascii="宋体" w:hAnsi="宋体"/>
                <w:sz w:val="18"/>
              </w:rPr>
              <w:t>10</w:t>
            </w:r>
          </w:p>
        </w:tc>
        <w:tc>
          <w:tcPr>
            <w:tcW w:w="2051" w:type="dxa"/>
            <w:gridSpan w:val="2"/>
            <w:shd w:val="clear" w:color="auto" w:fill="auto"/>
            <w:vAlign w:val="center"/>
          </w:tcPr>
          <w:p w14:paraId="73E6E0CD">
            <w:pPr>
              <w:jc w:val="center"/>
            </w:pPr>
          </w:p>
        </w:tc>
      </w:tr>
      <w:tr w14:paraId="79878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099446E5">
            <w:pPr>
              <w:widowControl/>
              <w:jc w:val="left"/>
              <w:rPr>
                <w:rFonts w:hint="eastAsia" w:ascii="宋体" w:hAnsi="宋体" w:cs="宋体"/>
                <w:color w:val="000000"/>
                <w:kern w:val="0"/>
                <w:sz w:val="18"/>
                <w:szCs w:val="18"/>
              </w:rPr>
            </w:pPr>
          </w:p>
        </w:tc>
        <w:tc>
          <w:tcPr>
            <w:tcW w:w="707" w:type="dxa"/>
            <w:vMerge w:val="restart"/>
            <w:shd w:val="clear" w:color="auto" w:fill="auto"/>
            <w:vAlign w:val="center"/>
          </w:tcPr>
          <w:p w14:paraId="1870676E">
            <w:pPr>
              <w:jc w:val="center"/>
            </w:pPr>
            <w:r>
              <w:rPr>
                <w:rFonts w:ascii="宋体" w:hAnsi="宋体"/>
                <w:sz w:val="18"/>
              </w:rPr>
              <w:t>成本指标</w:t>
            </w:r>
          </w:p>
        </w:tc>
        <w:tc>
          <w:tcPr>
            <w:tcW w:w="718" w:type="dxa"/>
            <w:vMerge w:val="restart"/>
            <w:shd w:val="clear" w:color="auto" w:fill="auto"/>
            <w:vAlign w:val="center"/>
          </w:tcPr>
          <w:p w14:paraId="2B3CAF32">
            <w:pPr>
              <w:jc w:val="center"/>
            </w:pPr>
            <w:r>
              <w:rPr>
                <w:rFonts w:ascii="宋体" w:hAnsi="宋体"/>
                <w:sz w:val="18"/>
              </w:rPr>
              <w:t>经济成本指标</w:t>
            </w:r>
          </w:p>
        </w:tc>
        <w:tc>
          <w:tcPr>
            <w:tcW w:w="1857" w:type="dxa"/>
            <w:gridSpan w:val="2"/>
            <w:shd w:val="clear" w:color="auto" w:fill="auto"/>
            <w:noWrap/>
            <w:vAlign w:val="center"/>
          </w:tcPr>
          <w:p w14:paraId="5219C889">
            <w:pPr>
              <w:jc w:val="center"/>
            </w:pPr>
            <w:r>
              <w:rPr>
                <w:rFonts w:ascii="宋体" w:hAnsi="宋体"/>
                <w:sz w:val="18"/>
              </w:rPr>
              <w:t>放映员培训及场次补贴经费</w:t>
            </w:r>
          </w:p>
        </w:tc>
        <w:tc>
          <w:tcPr>
            <w:tcW w:w="1177" w:type="dxa"/>
            <w:shd w:val="clear" w:color="auto" w:fill="auto"/>
            <w:vAlign w:val="center"/>
          </w:tcPr>
          <w:p w14:paraId="422F1286">
            <w:pPr>
              <w:jc w:val="center"/>
            </w:pPr>
            <w:r>
              <w:rPr>
                <w:rFonts w:ascii="宋体" w:hAnsi="宋体"/>
                <w:sz w:val="18"/>
              </w:rPr>
              <w:t>&lt;=20万</w:t>
            </w:r>
          </w:p>
        </w:tc>
        <w:tc>
          <w:tcPr>
            <w:tcW w:w="1177" w:type="dxa"/>
            <w:shd w:val="clear" w:color="auto" w:fill="auto"/>
            <w:vAlign w:val="center"/>
          </w:tcPr>
          <w:p w14:paraId="22E687F5">
            <w:pPr>
              <w:jc w:val="center"/>
            </w:pPr>
            <w:r>
              <w:rPr>
                <w:rFonts w:ascii="宋体" w:hAnsi="宋体"/>
                <w:sz w:val="18"/>
              </w:rPr>
              <w:t>17.44万</w:t>
            </w:r>
          </w:p>
        </w:tc>
        <w:tc>
          <w:tcPr>
            <w:tcW w:w="707" w:type="dxa"/>
            <w:gridSpan w:val="2"/>
            <w:shd w:val="clear" w:color="auto" w:fill="auto"/>
            <w:vAlign w:val="center"/>
          </w:tcPr>
          <w:p w14:paraId="00FA7D5A">
            <w:pPr>
              <w:jc w:val="center"/>
            </w:pPr>
            <w:r>
              <w:rPr>
                <w:rFonts w:ascii="宋体" w:hAnsi="宋体"/>
                <w:sz w:val="18"/>
              </w:rPr>
              <w:t>10</w:t>
            </w:r>
          </w:p>
        </w:tc>
        <w:tc>
          <w:tcPr>
            <w:tcW w:w="690" w:type="dxa"/>
            <w:gridSpan w:val="2"/>
            <w:shd w:val="clear" w:color="auto" w:fill="auto"/>
            <w:vAlign w:val="center"/>
          </w:tcPr>
          <w:p w14:paraId="24A793C7">
            <w:pPr>
              <w:jc w:val="center"/>
            </w:pPr>
            <w:r>
              <w:rPr>
                <w:rFonts w:ascii="宋体" w:hAnsi="宋体"/>
                <w:sz w:val="18"/>
              </w:rPr>
              <w:t>8.7</w:t>
            </w:r>
          </w:p>
        </w:tc>
        <w:tc>
          <w:tcPr>
            <w:tcW w:w="2051" w:type="dxa"/>
            <w:gridSpan w:val="2"/>
            <w:shd w:val="clear" w:color="auto" w:fill="auto"/>
            <w:vAlign w:val="center"/>
          </w:tcPr>
          <w:p w14:paraId="4BDD07F8">
            <w:pPr>
              <w:jc w:val="center"/>
            </w:pPr>
            <w:r>
              <w:rPr>
                <w:rFonts w:ascii="宋体" w:hAnsi="宋体"/>
                <w:sz w:val="18"/>
              </w:rPr>
              <w:t>因财政资金紧张未能及时支付</w:t>
            </w:r>
          </w:p>
        </w:tc>
      </w:tr>
      <w:tr w14:paraId="2D8E2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60A4470B">
            <w:pPr>
              <w:widowControl/>
              <w:jc w:val="left"/>
              <w:rPr>
                <w:rFonts w:hint="eastAsia" w:ascii="宋体" w:hAnsi="宋体" w:cs="宋体"/>
                <w:color w:val="000000"/>
                <w:kern w:val="0"/>
                <w:sz w:val="18"/>
                <w:szCs w:val="18"/>
              </w:rPr>
            </w:pPr>
          </w:p>
        </w:tc>
        <w:tc>
          <w:tcPr>
            <w:tcW w:w="707" w:type="dxa"/>
            <w:vMerge w:val="continue"/>
            <w:shd w:val="clear" w:color="auto" w:fill="auto"/>
            <w:vAlign w:val="center"/>
          </w:tcPr>
          <w:p w14:paraId="19466B35">
            <w:pPr>
              <w:widowControl/>
              <w:jc w:val="center"/>
              <w:rPr>
                <w:rFonts w:hint="eastAsia" w:ascii="宋体" w:hAnsi="宋体" w:cs="宋体"/>
                <w:color w:val="000000"/>
                <w:kern w:val="0"/>
                <w:sz w:val="18"/>
                <w:szCs w:val="18"/>
              </w:rPr>
            </w:pPr>
          </w:p>
        </w:tc>
        <w:tc>
          <w:tcPr>
            <w:tcW w:w="718" w:type="dxa"/>
            <w:vMerge w:val="continue"/>
            <w:shd w:val="clear" w:color="auto" w:fill="auto"/>
            <w:vAlign w:val="center"/>
          </w:tcPr>
          <w:p w14:paraId="3D8B8D8C">
            <w:pPr>
              <w:widowControl/>
              <w:jc w:val="center"/>
              <w:rPr>
                <w:rFonts w:hint="eastAsia" w:ascii="宋体" w:hAnsi="宋体" w:cs="宋体"/>
                <w:color w:val="000000"/>
                <w:kern w:val="0"/>
                <w:sz w:val="18"/>
                <w:szCs w:val="18"/>
              </w:rPr>
            </w:pPr>
          </w:p>
        </w:tc>
        <w:tc>
          <w:tcPr>
            <w:tcW w:w="1857" w:type="dxa"/>
            <w:gridSpan w:val="2"/>
            <w:shd w:val="clear" w:color="auto" w:fill="auto"/>
            <w:noWrap/>
            <w:vAlign w:val="center"/>
          </w:tcPr>
          <w:p w14:paraId="2DC1FDAA">
            <w:pPr>
              <w:jc w:val="center"/>
            </w:pPr>
            <w:r>
              <w:rPr>
                <w:rFonts w:ascii="宋体" w:hAnsi="宋体"/>
                <w:sz w:val="18"/>
              </w:rPr>
              <w:t>放映设备维护经费</w:t>
            </w:r>
          </w:p>
        </w:tc>
        <w:tc>
          <w:tcPr>
            <w:tcW w:w="1177" w:type="dxa"/>
            <w:shd w:val="clear" w:color="auto" w:fill="auto"/>
            <w:vAlign w:val="center"/>
          </w:tcPr>
          <w:p w14:paraId="062D3961">
            <w:pPr>
              <w:jc w:val="center"/>
            </w:pPr>
            <w:r>
              <w:rPr>
                <w:rFonts w:ascii="宋体" w:hAnsi="宋体"/>
                <w:sz w:val="18"/>
              </w:rPr>
              <w:t>&lt;=5.44万元</w:t>
            </w:r>
          </w:p>
        </w:tc>
        <w:tc>
          <w:tcPr>
            <w:tcW w:w="1177" w:type="dxa"/>
            <w:shd w:val="clear" w:color="auto" w:fill="auto"/>
            <w:vAlign w:val="center"/>
          </w:tcPr>
          <w:p w14:paraId="0FFEF0D1">
            <w:pPr>
              <w:jc w:val="center"/>
            </w:pPr>
            <w:r>
              <w:rPr>
                <w:rFonts w:ascii="宋体" w:hAnsi="宋体"/>
                <w:sz w:val="18"/>
              </w:rPr>
              <w:t>0.11万元</w:t>
            </w:r>
          </w:p>
        </w:tc>
        <w:tc>
          <w:tcPr>
            <w:tcW w:w="707" w:type="dxa"/>
            <w:gridSpan w:val="2"/>
            <w:shd w:val="clear" w:color="auto" w:fill="auto"/>
            <w:vAlign w:val="center"/>
          </w:tcPr>
          <w:p w14:paraId="42694CB4">
            <w:pPr>
              <w:jc w:val="center"/>
            </w:pPr>
            <w:r>
              <w:rPr>
                <w:rFonts w:ascii="宋体" w:hAnsi="宋体"/>
                <w:sz w:val="18"/>
              </w:rPr>
              <w:t>10</w:t>
            </w:r>
          </w:p>
        </w:tc>
        <w:tc>
          <w:tcPr>
            <w:tcW w:w="690" w:type="dxa"/>
            <w:gridSpan w:val="2"/>
            <w:shd w:val="clear" w:color="auto" w:fill="auto"/>
            <w:vAlign w:val="center"/>
          </w:tcPr>
          <w:p w14:paraId="5CB079DE">
            <w:pPr>
              <w:jc w:val="center"/>
            </w:pPr>
            <w:r>
              <w:rPr>
                <w:rFonts w:ascii="宋体" w:hAnsi="宋体"/>
                <w:sz w:val="18"/>
              </w:rPr>
              <w:t>0.2</w:t>
            </w:r>
          </w:p>
        </w:tc>
        <w:tc>
          <w:tcPr>
            <w:tcW w:w="2051" w:type="dxa"/>
            <w:gridSpan w:val="2"/>
            <w:shd w:val="clear" w:color="auto" w:fill="auto"/>
            <w:vAlign w:val="center"/>
          </w:tcPr>
          <w:p w14:paraId="794029BD">
            <w:pPr>
              <w:jc w:val="center"/>
            </w:pPr>
            <w:r>
              <w:rPr>
                <w:rFonts w:ascii="宋体" w:hAnsi="宋体"/>
                <w:sz w:val="18"/>
              </w:rPr>
              <w:t>因财政资金紧张未能及时支付</w:t>
            </w:r>
          </w:p>
        </w:tc>
      </w:tr>
      <w:tr w14:paraId="546DBB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427AFC9F">
            <w:pPr>
              <w:widowControl/>
              <w:jc w:val="left"/>
              <w:rPr>
                <w:rFonts w:hint="eastAsia" w:ascii="宋体" w:hAnsi="宋体" w:cs="宋体"/>
                <w:color w:val="000000"/>
                <w:kern w:val="0"/>
                <w:sz w:val="18"/>
                <w:szCs w:val="18"/>
              </w:rPr>
            </w:pPr>
          </w:p>
        </w:tc>
        <w:tc>
          <w:tcPr>
            <w:tcW w:w="707" w:type="dxa"/>
            <w:shd w:val="clear" w:color="auto" w:fill="auto"/>
            <w:vAlign w:val="center"/>
          </w:tcPr>
          <w:p w14:paraId="033A3123">
            <w:pPr>
              <w:jc w:val="center"/>
            </w:pPr>
            <w:r>
              <w:rPr>
                <w:rFonts w:ascii="宋体" w:hAnsi="宋体"/>
                <w:sz w:val="18"/>
              </w:rPr>
              <w:t>效益指标</w:t>
            </w:r>
          </w:p>
        </w:tc>
        <w:tc>
          <w:tcPr>
            <w:tcW w:w="718" w:type="dxa"/>
            <w:shd w:val="clear" w:color="auto" w:fill="auto"/>
            <w:vAlign w:val="center"/>
          </w:tcPr>
          <w:p w14:paraId="6A7BC93B">
            <w:pPr>
              <w:jc w:val="center"/>
            </w:pPr>
            <w:r>
              <w:rPr>
                <w:rFonts w:ascii="宋体" w:hAnsi="宋体"/>
                <w:sz w:val="18"/>
              </w:rPr>
              <w:t>社会效益指标</w:t>
            </w:r>
          </w:p>
        </w:tc>
        <w:tc>
          <w:tcPr>
            <w:tcW w:w="1857" w:type="dxa"/>
            <w:gridSpan w:val="2"/>
            <w:shd w:val="clear" w:color="auto" w:fill="auto"/>
            <w:noWrap/>
            <w:vAlign w:val="center"/>
          </w:tcPr>
          <w:p w14:paraId="29E3BB26">
            <w:pPr>
              <w:jc w:val="center"/>
            </w:pPr>
            <w:r>
              <w:rPr>
                <w:rFonts w:ascii="宋体" w:hAnsi="宋体"/>
                <w:sz w:val="18"/>
              </w:rPr>
              <w:t>活跃各族群众文化体育生活</w:t>
            </w:r>
          </w:p>
        </w:tc>
        <w:tc>
          <w:tcPr>
            <w:tcW w:w="1177" w:type="dxa"/>
            <w:shd w:val="clear" w:color="auto" w:fill="auto"/>
            <w:vAlign w:val="center"/>
          </w:tcPr>
          <w:p w14:paraId="208F5BB3">
            <w:pPr>
              <w:jc w:val="center"/>
            </w:pPr>
            <w:r>
              <w:rPr>
                <w:rFonts w:ascii="宋体" w:hAnsi="宋体"/>
                <w:sz w:val="18"/>
              </w:rPr>
              <w:t>有效活跃</w:t>
            </w:r>
          </w:p>
        </w:tc>
        <w:tc>
          <w:tcPr>
            <w:tcW w:w="1177" w:type="dxa"/>
            <w:shd w:val="clear" w:color="auto" w:fill="auto"/>
            <w:vAlign w:val="center"/>
          </w:tcPr>
          <w:p w14:paraId="36BDB307">
            <w:pPr>
              <w:jc w:val="center"/>
            </w:pPr>
            <w:r>
              <w:rPr>
                <w:rFonts w:ascii="宋体" w:hAnsi="宋体"/>
                <w:sz w:val="18"/>
              </w:rPr>
              <w:t>完全达到预期效果</w:t>
            </w:r>
          </w:p>
        </w:tc>
        <w:tc>
          <w:tcPr>
            <w:tcW w:w="707" w:type="dxa"/>
            <w:gridSpan w:val="2"/>
            <w:shd w:val="clear" w:color="auto" w:fill="auto"/>
            <w:vAlign w:val="center"/>
          </w:tcPr>
          <w:p w14:paraId="2689D495">
            <w:pPr>
              <w:jc w:val="center"/>
            </w:pPr>
            <w:r>
              <w:rPr>
                <w:rFonts w:ascii="宋体" w:hAnsi="宋体"/>
                <w:sz w:val="18"/>
              </w:rPr>
              <w:t>20</w:t>
            </w:r>
          </w:p>
        </w:tc>
        <w:tc>
          <w:tcPr>
            <w:tcW w:w="690" w:type="dxa"/>
            <w:gridSpan w:val="2"/>
            <w:shd w:val="clear" w:color="auto" w:fill="auto"/>
            <w:vAlign w:val="center"/>
          </w:tcPr>
          <w:p w14:paraId="10AD2515">
            <w:pPr>
              <w:jc w:val="center"/>
            </w:pPr>
            <w:r>
              <w:rPr>
                <w:rFonts w:ascii="宋体" w:hAnsi="宋体"/>
                <w:sz w:val="18"/>
              </w:rPr>
              <w:t>20</w:t>
            </w:r>
          </w:p>
        </w:tc>
        <w:tc>
          <w:tcPr>
            <w:tcW w:w="2051" w:type="dxa"/>
            <w:gridSpan w:val="2"/>
            <w:shd w:val="clear" w:color="auto" w:fill="auto"/>
            <w:vAlign w:val="center"/>
          </w:tcPr>
          <w:p w14:paraId="5D745F02">
            <w:pPr>
              <w:jc w:val="center"/>
            </w:pPr>
          </w:p>
        </w:tc>
      </w:tr>
      <w:tr w14:paraId="442654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598" w:type="dxa"/>
            <w:vMerge w:val="continue"/>
            <w:vAlign w:val="center"/>
          </w:tcPr>
          <w:p w14:paraId="10BB1292">
            <w:pPr>
              <w:widowControl/>
              <w:jc w:val="left"/>
              <w:rPr>
                <w:rFonts w:hint="eastAsia" w:ascii="宋体" w:hAnsi="宋体" w:cs="宋体"/>
                <w:color w:val="000000"/>
                <w:kern w:val="0"/>
                <w:sz w:val="18"/>
                <w:szCs w:val="18"/>
              </w:rPr>
            </w:pPr>
          </w:p>
        </w:tc>
        <w:tc>
          <w:tcPr>
            <w:tcW w:w="707" w:type="dxa"/>
            <w:shd w:val="clear" w:color="auto" w:fill="auto"/>
            <w:vAlign w:val="center"/>
          </w:tcPr>
          <w:p w14:paraId="73C42EB2">
            <w:pPr>
              <w:jc w:val="center"/>
            </w:pPr>
            <w:r>
              <w:rPr>
                <w:rFonts w:ascii="宋体" w:hAnsi="宋体"/>
                <w:sz w:val="18"/>
              </w:rPr>
              <w:t>满意度指标</w:t>
            </w:r>
          </w:p>
        </w:tc>
        <w:tc>
          <w:tcPr>
            <w:tcW w:w="718" w:type="dxa"/>
            <w:shd w:val="clear" w:color="auto" w:fill="auto"/>
            <w:vAlign w:val="center"/>
          </w:tcPr>
          <w:p w14:paraId="484063B1">
            <w:pPr>
              <w:jc w:val="center"/>
            </w:pPr>
            <w:r>
              <w:rPr>
                <w:rFonts w:ascii="宋体" w:hAnsi="宋体"/>
                <w:sz w:val="18"/>
              </w:rPr>
              <w:t>满意度指标</w:t>
            </w:r>
          </w:p>
        </w:tc>
        <w:tc>
          <w:tcPr>
            <w:tcW w:w="1857" w:type="dxa"/>
            <w:gridSpan w:val="2"/>
            <w:shd w:val="clear" w:color="auto" w:fill="auto"/>
            <w:noWrap/>
            <w:vAlign w:val="center"/>
          </w:tcPr>
          <w:p w14:paraId="693D4F0C">
            <w:pPr>
              <w:jc w:val="center"/>
            </w:pPr>
            <w:r>
              <w:rPr>
                <w:rFonts w:ascii="宋体" w:hAnsi="宋体"/>
                <w:sz w:val="18"/>
              </w:rPr>
              <w:t>群众满意度</w:t>
            </w:r>
          </w:p>
        </w:tc>
        <w:tc>
          <w:tcPr>
            <w:tcW w:w="1177" w:type="dxa"/>
            <w:shd w:val="clear" w:color="auto" w:fill="auto"/>
            <w:vAlign w:val="center"/>
          </w:tcPr>
          <w:p w14:paraId="700E5FB7">
            <w:pPr>
              <w:jc w:val="center"/>
            </w:pPr>
            <w:r>
              <w:rPr>
                <w:rFonts w:ascii="宋体" w:hAnsi="宋体"/>
                <w:sz w:val="18"/>
              </w:rPr>
              <w:t>&gt;=95%</w:t>
            </w:r>
          </w:p>
        </w:tc>
        <w:tc>
          <w:tcPr>
            <w:tcW w:w="1177" w:type="dxa"/>
            <w:shd w:val="clear" w:color="auto" w:fill="auto"/>
            <w:vAlign w:val="center"/>
          </w:tcPr>
          <w:p w14:paraId="727ADFF2">
            <w:pPr>
              <w:jc w:val="center"/>
            </w:pPr>
            <w:r>
              <w:rPr>
                <w:rFonts w:ascii="宋体" w:hAnsi="宋体"/>
                <w:sz w:val="18"/>
              </w:rPr>
              <w:t>95%</w:t>
            </w:r>
          </w:p>
        </w:tc>
        <w:tc>
          <w:tcPr>
            <w:tcW w:w="707" w:type="dxa"/>
            <w:gridSpan w:val="2"/>
            <w:shd w:val="clear" w:color="auto" w:fill="auto"/>
            <w:vAlign w:val="center"/>
          </w:tcPr>
          <w:p w14:paraId="6EEE397A">
            <w:pPr>
              <w:jc w:val="center"/>
            </w:pPr>
            <w:r>
              <w:rPr>
                <w:rFonts w:ascii="宋体" w:hAnsi="宋体"/>
                <w:sz w:val="18"/>
              </w:rPr>
              <w:t>10</w:t>
            </w:r>
          </w:p>
        </w:tc>
        <w:tc>
          <w:tcPr>
            <w:tcW w:w="690" w:type="dxa"/>
            <w:gridSpan w:val="2"/>
            <w:shd w:val="clear" w:color="auto" w:fill="auto"/>
            <w:vAlign w:val="center"/>
          </w:tcPr>
          <w:p w14:paraId="441FF32F">
            <w:pPr>
              <w:jc w:val="center"/>
            </w:pPr>
            <w:r>
              <w:rPr>
                <w:rFonts w:ascii="宋体" w:hAnsi="宋体"/>
                <w:sz w:val="18"/>
              </w:rPr>
              <w:t>10</w:t>
            </w:r>
          </w:p>
        </w:tc>
        <w:tc>
          <w:tcPr>
            <w:tcW w:w="2051" w:type="dxa"/>
            <w:gridSpan w:val="2"/>
            <w:shd w:val="clear" w:color="auto" w:fill="auto"/>
            <w:vAlign w:val="center"/>
          </w:tcPr>
          <w:p w14:paraId="18C12147">
            <w:pPr>
              <w:jc w:val="center"/>
            </w:pPr>
          </w:p>
        </w:tc>
      </w:tr>
      <w:tr w14:paraId="0D6DDC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0" w:hRule="atLeast"/>
        </w:trPr>
        <w:tc>
          <w:tcPr>
            <w:tcW w:w="6234" w:type="dxa"/>
            <w:gridSpan w:val="7"/>
            <w:shd w:val="clear" w:color="auto" w:fill="auto"/>
            <w:vAlign w:val="center"/>
          </w:tcPr>
          <w:p w14:paraId="0D730D21">
            <w:pPr>
              <w:jc w:val="center"/>
            </w:pPr>
            <w:r>
              <w:rPr>
                <w:rFonts w:ascii="宋体" w:hAnsi="宋体"/>
                <w:sz w:val="18"/>
              </w:rPr>
              <w:t>总分</w:t>
            </w:r>
          </w:p>
        </w:tc>
        <w:tc>
          <w:tcPr>
            <w:tcW w:w="707" w:type="dxa"/>
            <w:gridSpan w:val="2"/>
            <w:shd w:val="clear" w:color="auto" w:fill="auto"/>
            <w:vAlign w:val="center"/>
          </w:tcPr>
          <w:p w14:paraId="11CB6A61">
            <w:pPr>
              <w:jc w:val="center"/>
            </w:pPr>
            <w:r>
              <w:rPr>
                <w:rFonts w:ascii="宋体" w:hAnsi="宋体"/>
                <w:sz w:val="18"/>
              </w:rPr>
              <w:t>100</w:t>
            </w:r>
          </w:p>
        </w:tc>
        <w:tc>
          <w:tcPr>
            <w:tcW w:w="690" w:type="dxa"/>
            <w:gridSpan w:val="2"/>
            <w:shd w:val="clear" w:color="auto" w:fill="auto"/>
            <w:vAlign w:val="center"/>
          </w:tcPr>
          <w:p w14:paraId="43BCD857">
            <w:pPr>
              <w:jc w:val="center"/>
            </w:pPr>
            <w:r>
              <w:rPr>
                <w:rFonts w:ascii="宋体" w:hAnsi="宋体"/>
                <w:sz w:val="18"/>
              </w:rPr>
              <w:t>85.80分</w:t>
            </w:r>
          </w:p>
        </w:tc>
        <w:tc>
          <w:tcPr>
            <w:tcW w:w="2051" w:type="dxa"/>
            <w:gridSpan w:val="2"/>
            <w:shd w:val="clear" w:color="auto" w:fill="auto"/>
            <w:vAlign w:val="center"/>
          </w:tcPr>
          <w:p w14:paraId="3EC457EC">
            <w:pPr>
              <w:jc w:val="center"/>
            </w:pPr>
          </w:p>
        </w:tc>
      </w:tr>
      <w:bookmarkEnd w:id="31"/>
    </w:tbl>
    <w:p w14:paraId="7569B34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35998A03">
      <w:pPr>
        <w:ind w:firstLine="640" w:firstLineChars="200"/>
        <w:jc w:val="left"/>
        <w:rPr>
          <w:rFonts w:hint="eastAsia" w:ascii="仿宋_GB2312" w:hAnsi="仿宋_GB2312" w:eastAsia="仿宋_GB2312" w:cs="仿宋_GB2312"/>
          <w:kern w:val="0"/>
          <w:sz w:val="32"/>
          <w:szCs w:val="32"/>
        </w:rPr>
      </w:pPr>
      <w:bookmarkStart w:id="32" w:name="_Hlk178000334"/>
      <w:r>
        <w:rPr>
          <w:rFonts w:hint="eastAsia" w:ascii="仿宋_GB2312" w:hAnsi="仿宋_GB2312" w:eastAsia="仿宋_GB2312" w:cs="仿宋_GB2312"/>
          <w:kern w:val="0"/>
          <w:sz w:val="32"/>
          <w:szCs w:val="32"/>
        </w:rPr>
        <w:t>我单位本年资金紧张未购买办公用品及设备。因此政府采购金额支出为0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万元。其中授予中小企业合同金额、授予小微企业合同金额为0</w:t>
      </w:r>
      <w:r>
        <w:rPr>
          <w:rFonts w:ascii="仿宋_GB2312" w:hAnsi="仿宋_GB2312" w:eastAsia="仿宋_GB2312" w:cs="仿宋_GB2312"/>
          <w:kern w:val="0"/>
          <w:sz w:val="32"/>
          <w:szCs w:val="32"/>
        </w:rPr>
        <w:t>.00</w:t>
      </w:r>
      <w:r>
        <w:rPr>
          <w:rFonts w:hint="eastAsia" w:ascii="仿宋_GB2312" w:hAnsi="仿宋_GB2312" w:eastAsia="仿宋_GB2312" w:cs="仿宋_GB2312"/>
          <w:kern w:val="0"/>
          <w:sz w:val="32"/>
          <w:szCs w:val="32"/>
        </w:rPr>
        <w:t>万元</w:t>
      </w:r>
      <w:bookmarkEnd w:id="32"/>
      <w:r>
        <w:rPr>
          <w:rFonts w:hint="eastAsia" w:ascii="仿宋_GB2312" w:hAnsi="仿宋_GB2312" w:eastAsia="仿宋_GB2312" w:cs="仿宋_GB2312"/>
          <w:kern w:val="0"/>
          <w:sz w:val="32"/>
          <w:szCs w:val="32"/>
        </w:rPr>
        <w:t>。</w:t>
      </w:r>
    </w:p>
    <w:p w14:paraId="5E506FD4">
      <w:pPr>
        <w:jc w:val="center"/>
        <w:outlineLvl w:val="0"/>
        <w:rPr>
          <w:rFonts w:hint="eastAsia" w:ascii="黑体" w:hAnsi="黑体" w:eastAsia="黑体"/>
          <w:sz w:val="32"/>
          <w:szCs w:val="32"/>
        </w:rPr>
      </w:pPr>
      <w:bookmarkStart w:id="33" w:name="_Toc3250"/>
      <w:bookmarkStart w:id="34" w:name="_Toc24143"/>
      <w:r>
        <w:rPr>
          <w:rFonts w:hint="eastAsia" w:ascii="黑体" w:hAnsi="黑体" w:eastAsia="黑体"/>
          <w:sz w:val="32"/>
          <w:szCs w:val="32"/>
        </w:rPr>
        <w:br w:type="page"/>
      </w:r>
      <w:r>
        <w:rPr>
          <w:rFonts w:hint="eastAsia" w:ascii="黑体" w:hAnsi="黑体" w:eastAsia="黑体"/>
          <w:sz w:val="32"/>
          <w:szCs w:val="32"/>
        </w:rPr>
        <w:t>第三部分 专业名词解释</w:t>
      </w:r>
      <w:bookmarkEnd w:id="33"/>
      <w:bookmarkEnd w:id="34"/>
    </w:p>
    <w:p w14:paraId="4EDEF09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59C0526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422718A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70EAB96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7D89237">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4A6E3F7E">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028693D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7FE1D15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5286EE5">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4B32F67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7D264B08">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4119724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08412DAA">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7818483">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4EC56071">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0511BA80">
      <w:pPr>
        <w:ind w:firstLine="640" w:firstLineChars="200"/>
        <w:outlineLvl w:val="1"/>
        <w:rPr>
          <w:rFonts w:hint="eastAsia" w:ascii="黑体" w:hAnsi="黑体" w:eastAsia="仿宋_GB2312" w:cs="宋体"/>
          <w:bCs/>
          <w:kern w:val="0"/>
          <w:sz w:val="32"/>
          <w:szCs w:val="32"/>
        </w:rPr>
      </w:pPr>
      <w:bookmarkStart w:id="35" w:name="_Toc6062"/>
      <w:bookmarkStart w:id="36" w:name="_Toc2183"/>
      <w:r>
        <w:rPr>
          <w:rFonts w:hint="eastAsia" w:ascii="黑体" w:hAnsi="黑体" w:eastAsia="仿宋_GB2312" w:cs="宋体"/>
          <w:bCs/>
          <w:kern w:val="0"/>
          <w:sz w:val="32"/>
          <w:szCs w:val="32"/>
        </w:rPr>
        <w:t>一、《收入支出决算总表》</w:t>
      </w:r>
      <w:bookmarkEnd w:id="35"/>
      <w:bookmarkEnd w:id="36"/>
    </w:p>
    <w:p w14:paraId="142C861D">
      <w:pPr>
        <w:ind w:firstLine="640" w:firstLineChars="200"/>
        <w:outlineLvl w:val="1"/>
        <w:rPr>
          <w:rFonts w:hint="eastAsia" w:ascii="黑体" w:hAnsi="黑体" w:eastAsia="仿宋_GB2312" w:cs="宋体"/>
          <w:bCs/>
          <w:kern w:val="0"/>
          <w:sz w:val="32"/>
          <w:szCs w:val="32"/>
        </w:rPr>
      </w:pPr>
      <w:bookmarkStart w:id="37" w:name="_Toc24532"/>
      <w:bookmarkStart w:id="38" w:name="_Toc30364"/>
      <w:r>
        <w:rPr>
          <w:rFonts w:hint="eastAsia" w:ascii="黑体" w:hAnsi="黑体" w:eastAsia="仿宋_GB2312" w:cs="宋体"/>
          <w:bCs/>
          <w:kern w:val="0"/>
          <w:sz w:val="32"/>
          <w:szCs w:val="32"/>
        </w:rPr>
        <w:t>二、《收入决算表》</w:t>
      </w:r>
      <w:bookmarkEnd w:id="37"/>
      <w:bookmarkEnd w:id="38"/>
    </w:p>
    <w:p w14:paraId="0B21B033">
      <w:pPr>
        <w:ind w:firstLine="640" w:firstLineChars="200"/>
        <w:outlineLvl w:val="1"/>
        <w:rPr>
          <w:rFonts w:hint="eastAsia" w:ascii="黑体" w:hAnsi="黑体" w:eastAsia="仿宋_GB2312" w:cs="宋体"/>
          <w:bCs/>
          <w:kern w:val="0"/>
          <w:sz w:val="32"/>
          <w:szCs w:val="32"/>
        </w:rPr>
      </w:pPr>
      <w:bookmarkStart w:id="39" w:name="_Toc32434"/>
      <w:bookmarkStart w:id="40" w:name="_Toc21304"/>
      <w:r>
        <w:rPr>
          <w:rFonts w:hint="eastAsia" w:ascii="黑体" w:hAnsi="黑体" w:eastAsia="仿宋_GB2312" w:cs="宋体"/>
          <w:bCs/>
          <w:kern w:val="0"/>
          <w:sz w:val="32"/>
          <w:szCs w:val="32"/>
        </w:rPr>
        <w:t>三、《支出决算表》</w:t>
      </w:r>
      <w:bookmarkEnd w:id="39"/>
      <w:bookmarkEnd w:id="40"/>
    </w:p>
    <w:p w14:paraId="267147B5">
      <w:pPr>
        <w:ind w:firstLine="640" w:firstLineChars="200"/>
        <w:outlineLvl w:val="1"/>
        <w:rPr>
          <w:rFonts w:hint="eastAsia" w:ascii="黑体" w:hAnsi="黑体" w:eastAsia="仿宋_GB2312" w:cs="宋体"/>
          <w:bCs/>
          <w:kern w:val="0"/>
          <w:sz w:val="32"/>
          <w:szCs w:val="32"/>
        </w:rPr>
      </w:pPr>
      <w:bookmarkStart w:id="41" w:name="_Toc14238"/>
      <w:bookmarkStart w:id="42" w:name="_Toc28786"/>
      <w:r>
        <w:rPr>
          <w:rFonts w:hint="eastAsia" w:ascii="黑体" w:hAnsi="黑体" w:eastAsia="仿宋_GB2312" w:cs="宋体"/>
          <w:bCs/>
          <w:kern w:val="0"/>
          <w:sz w:val="32"/>
          <w:szCs w:val="32"/>
        </w:rPr>
        <w:t>四、《财政拨款收入支出决算总表》</w:t>
      </w:r>
      <w:bookmarkEnd w:id="41"/>
      <w:bookmarkEnd w:id="42"/>
    </w:p>
    <w:p w14:paraId="62D8A08D">
      <w:pPr>
        <w:ind w:firstLine="640" w:firstLineChars="200"/>
        <w:outlineLvl w:val="1"/>
        <w:rPr>
          <w:rFonts w:hint="eastAsia" w:ascii="黑体" w:hAnsi="黑体" w:eastAsia="仿宋_GB2312" w:cs="宋体"/>
          <w:bCs/>
          <w:kern w:val="0"/>
          <w:sz w:val="32"/>
          <w:szCs w:val="32"/>
        </w:rPr>
      </w:pPr>
      <w:bookmarkStart w:id="43" w:name="_Toc10347"/>
      <w:bookmarkStart w:id="44" w:name="_Toc14869"/>
      <w:r>
        <w:rPr>
          <w:rFonts w:hint="eastAsia" w:ascii="黑体" w:hAnsi="黑体" w:eastAsia="仿宋_GB2312" w:cs="宋体"/>
          <w:bCs/>
          <w:kern w:val="0"/>
          <w:sz w:val="32"/>
          <w:szCs w:val="32"/>
        </w:rPr>
        <w:t>五、《一般公共预算财政拨款支出决算表》</w:t>
      </w:r>
      <w:bookmarkEnd w:id="43"/>
      <w:bookmarkEnd w:id="44"/>
    </w:p>
    <w:p w14:paraId="2B942B19">
      <w:pPr>
        <w:ind w:firstLine="640" w:firstLineChars="200"/>
        <w:outlineLvl w:val="1"/>
        <w:rPr>
          <w:rFonts w:hint="eastAsia" w:ascii="黑体" w:hAnsi="黑体" w:eastAsia="仿宋_GB2312" w:cs="宋体"/>
          <w:bCs/>
          <w:kern w:val="0"/>
          <w:sz w:val="32"/>
          <w:szCs w:val="32"/>
        </w:rPr>
      </w:pPr>
      <w:bookmarkStart w:id="45" w:name="_Toc5626"/>
      <w:bookmarkStart w:id="46" w:name="_Toc8884"/>
      <w:r>
        <w:rPr>
          <w:rFonts w:hint="eastAsia" w:ascii="黑体" w:hAnsi="黑体" w:eastAsia="仿宋_GB2312" w:cs="宋体"/>
          <w:bCs/>
          <w:kern w:val="0"/>
          <w:sz w:val="32"/>
          <w:szCs w:val="32"/>
        </w:rPr>
        <w:t>六、《一般公共预算财政拨款基本支出决算表》</w:t>
      </w:r>
      <w:bookmarkEnd w:id="45"/>
      <w:bookmarkEnd w:id="46"/>
    </w:p>
    <w:p w14:paraId="6E462ACE">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7" w:name="_Toc32663"/>
      <w:bookmarkStart w:id="48" w:name="_Toc29106"/>
      <w:r>
        <w:rPr>
          <w:rFonts w:hint="eastAsia" w:ascii="黑体" w:hAnsi="黑体" w:eastAsia="仿宋_GB2312" w:cs="宋体"/>
          <w:bCs/>
          <w:kern w:val="0"/>
          <w:sz w:val="32"/>
          <w:szCs w:val="32"/>
        </w:rPr>
        <w:t>《财政拨款“三公”经费支出决算表》</w:t>
      </w:r>
      <w:bookmarkEnd w:id="47"/>
      <w:bookmarkEnd w:id="48"/>
    </w:p>
    <w:p w14:paraId="14E5210B">
      <w:pPr>
        <w:ind w:firstLine="640" w:firstLineChars="200"/>
        <w:outlineLvl w:val="1"/>
        <w:rPr>
          <w:rFonts w:hint="eastAsia" w:ascii="黑体" w:hAnsi="黑体" w:eastAsia="仿宋_GB2312" w:cs="宋体"/>
          <w:bCs/>
          <w:kern w:val="0"/>
          <w:sz w:val="32"/>
          <w:szCs w:val="32"/>
        </w:rPr>
      </w:pPr>
      <w:bookmarkStart w:id="49" w:name="_Toc5453"/>
      <w:bookmarkStart w:id="50" w:name="_Toc7643"/>
      <w:r>
        <w:rPr>
          <w:rFonts w:hint="eastAsia" w:ascii="黑体" w:hAnsi="黑体" w:eastAsia="仿宋_GB2312" w:cs="宋体"/>
          <w:bCs/>
          <w:kern w:val="0"/>
          <w:sz w:val="32"/>
          <w:szCs w:val="32"/>
        </w:rPr>
        <w:t>八、《政府性基金预算财政拨款收入支出决算表》</w:t>
      </w:r>
      <w:bookmarkEnd w:id="49"/>
      <w:bookmarkEnd w:id="50"/>
    </w:p>
    <w:p w14:paraId="35314E6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3F98BF99">
      <w:pPr>
        <w:ind w:firstLine="640" w:firstLineChars="200"/>
        <w:rPr>
          <w:rFonts w:ascii="仿宋_GB2312" w:eastAsia="仿宋_GB2312"/>
          <w:sz w:val="32"/>
          <w:szCs w:val="32"/>
        </w:rPr>
      </w:pPr>
    </w:p>
    <w:p w14:paraId="61FB1AAF">
      <w:pPr>
        <w:ind w:firstLine="640" w:firstLineChars="200"/>
        <w:outlineLvl w:val="1"/>
        <w:rPr>
          <w:rFonts w:hint="eastAsia" w:ascii="黑体" w:hAnsi="黑体" w:eastAsia="黑体" w:cs="宋体"/>
          <w:bCs/>
          <w:kern w:val="0"/>
          <w:sz w:val="32"/>
          <w:szCs w:val="32"/>
        </w:rPr>
      </w:pPr>
    </w:p>
    <w:bookmarkEnd w:id="51"/>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119EEB">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89BE7A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789BE7AE">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3064AB"/>
    <w:rsid w:val="00213C59"/>
    <w:rsid w:val="003064AB"/>
    <w:rsid w:val="003210CE"/>
    <w:rsid w:val="00351657"/>
    <w:rsid w:val="004F2926"/>
    <w:rsid w:val="0063001C"/>
    <w:rsid w:val="006B1BBE"/>
    <w:rsid w:val="007C0BCD"/>
    <w:rsid w:val="008E10F5"/>
    <w:rsid w:val="00A35FA7"/>
    <w:rsid w:val="00B70D59"/>
    <w:rsid w:val="00D016D5"/>
    <w:rsid w:val="00EC7DB3"/>
    <w:rsid w:val="00F52A8D"/>
    <w:rsid w:val="00FC49C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4FB059A"/>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17</Pages>
  <Words>1305</Words>
  <Characters>7442</Characters>
  <Lines>62</Lines>
  <Paragraphs>17</Paragraphs>
  <TotalTime>29</TotalTime>
  <ScaleCrop>false</ScaleCrop>
  <LinksUpToDate>false</LinksUpToDate>
  <CharactersWithSpaces>8730</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Young.</cp:lastModifiedBy>
  <dcterms:modified xsi:type="dcterms:W3CDTF">2024-11-19T10:29:09Z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