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9EF7D8" w14:textId="77777777" w:rsidR="0040651A" w:rsidRDefault="0040651A">
      <w:pPr>
        <w:rPr>
          <w:rFonts w:ascii="黑体" w:eastAsia="黑体" w:hAnsi="黑体" w:hint="eastAsia"/>
          <w:sz w:val="32"/>
          <w:szCs w:val="32"/>
        </w:rPr>
      </w:pPr>
    </w:p>
    <w:p w14:paraId="5F96D004" w14:textId="77777777" w:rsidR="0040651A" w:rsidRDefault="0040651A">
      <w:pPr>
        <w:jc w:val="center"/>
        <w:rPr>
          <w:rFonts w:ascii="方正小标宋_GBK" w:eastAsia="方正小标宋_GBK" w:hAnsi="宋体" w:hint="eastAsia"/>
          <w:sz w:val="44"/>
          <w:szCs w:val="44"/>
        </w:rPr>
      </w:pPr>
    </w:p>
    <w:p w14:paraId="37B70C49" w14:textId="77777777" w:rsidR="0040651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乌鲁木齐市米东区文化馆</w:t>
      </w:r>
    </w:p>
    <w:p w14:paraId="045F1667" w14:textId="77777777" w:rsidR="0040651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 xml:space="preserve"> 2023年度部门决算</w:t>
      </w:r>
    </w:p>
    <w:p w14:paraId="4EEB24A4" w14:textId="77777777" w:rsidR="0040651A"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2DE97C66" w14:textId="77777777" w:rsidR="0040651A"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71562035" w14:textId="77777777" w:rsidR="0040651A"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101E7237" w14:textId="77777777" w:rsidR="0040651A"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0651A">
          <w:rPr>
            <w:rFonts w:ascii="仿宋_GB2312" w:eastAsia="仿宋_GB2312" w:hAnsi="仿宋_GB2312" w:cs="仿宋_GB2312" w:hint="eastAsia"/>
            <w:b/>
            <w:bCs/>
            <w:sz w:val="32"/>
            <w:szCs w:val="32"/>
          </w:rPr>
          <w:t>第一部分 单位概况</w:t>
        </w:r>
      </w:hyperlink>
    </w:p>
    <w:p w14:paraId="7B105D40" w14:textId="77777777" w:rsidR="0040651A" w:rsidRDefault="0040651A">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3DD66613" w14:textId="77777777" w:rsidR="0040651A" w:rsidRDefault="0040651A">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516AA43" w14:textId="77777777" w:rsidR="0040651A" w:rsidRDefault="0040651A">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18EB17F" w14:textId="77777777" w:rsidR="0040651A" w:rsidRDefault="0040651A">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A3C10DB" w14:textId="77777777" w:rsidR="0040651A" w:rsidRDefault="0040651A">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D5F727A" w14:textId="77777777" w:rsidR="0040651A" w:rsidRDefault="0040651A">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51B7B91E" w14:textId="77777777" w:rsidR="0040651A" w:rsidRDefault="0040651A">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1045850D" w14:textId="77777777" w:rsidR="0040651A" w:rsidRDefault="0040651A">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60DEC55" w14:textId="77777777" w:rsidR="0040651A" w:rsidRDefault="0040651A">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6F3063F3" w14:textId="77777777" w:rsidR="0040651A" w:rsidRDefault="0040651A">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2E7750C6" w14:textId="77777777" w:rsidR="0040651A" w:rsidRDefault="0040651A">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32627A32" w14:textId="77777777" w:rsidR="0040651A" w:rsidRDefault="0040651A">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06F6A7D5" w14:textId="77777777" w:rsidR="0040651A" w:rsidRDefault="0040651A">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3F915DC9" w14:textId="77777777" w:rsidR="0040651A" w:rsidRDefault="0040651A">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46C7C5D4" w14:textId="77777777" w:rsidR="0040651A" w:rsidRDefault="0040651A">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78FD3FBC" w14:textId="77777777" w:rsidR="0040651A" w:rsidRDefault="0040651A">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26831AD1" w14:textId="77777777" w:rsidR="0040651A" w:rsidRDefault="0040651A">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EA87FCC" w14:textId="77777777" w:rsidR="0040651A"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713B6D9A" w14:textId="77777777" w:rsidR="0040651A" w:rsidRDefault="0040651A">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FE8AB81" w14:textId="77777777" w:rsidR="0040651A" w:rsidRDefault="0040651A">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C081F65" w14:textId="77777777" w:rsidR="0040651A" w:rsidRDefault="0040651A">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0EA953FD" w14:textId="77777777" w:rsidR="0040651A" w:rsidRDefault="0040651A">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1107D2C6" w14:textId="77777777" w:rsidR="0040651A" w:rsidRDefault="0040651A">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742DC2CE" w14:textId="77777777" w:rsidR="0040651A" w:rsidRDefault="0040651A">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1A97409D" w14:textId="77777777" w:rsidR="0040651A" w:rsidRDefault="0040651A">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3796908A" w14:textId="77777777" w:rsidR="0040651A" w:rsidRDefault="0040651A">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2633DF3E" w14:textId="77777777" w:rsidR="0040651A" w:rsidRDefault="0040651A">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2F081096" w14:textId="77777777" w:rsidR="0040651A" w:rsidRDefault="0040651A">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37113C5" w14:textId="77777777" w:rsidR="0040651A"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04105F23" w14:textId="77777777" w:rsidR="0040651A" w:rsidRDefault="00000000">
      <w:r>
        <w:rPr>
          <w:rFonts w:ascii="仿宋_GB2312" w:eastAsia="仿宋_GB2312" w:hAnsi="仿宋_GB2312" w:cs="仿宋_GB2312" w:hint="eastAsia"/>
          <w:sz w:val="32"/>
          <w:szCs w:val="32"/>
        </w:rPr>
        <w:fldChar w:fldCharType="end"/>
      </w:r>
    </w:p>
    <w:p w14:paraId="031E6AC8" w14:textId="77777777" w:rsidR="0040651A" w:rsidRDefault="00000000">
      <w:pPr>
        <w:rPr>
          <w:rFonts w:ascii="仿宋_GB2312" w:eastAsia="仿宋_GB2312"/>
          <w:sz w:val="32"/>
          <w:szCs w:val="32"/>
        </w:rPr>
      </w:pPr>
      <w:r>
        <w:rPr>
          <w:rFonts w:ascii="仿宋_GB2312" w:eastAsia="仿宋_GB2312" w:hint="eastAsia"/>
          <w:sz w:val="32"/>
          <w:szCs w:val="32"/>
        </w:rPr>
        <w:br w:type="page"/>
      </w:r>
    </w:p>
    <w:p w14:paraId="40F31C73" w14:textId="77777777" w:rsidR="0040651A"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49973E8C" w14:textId="77777777" w:rsidR="0040651A"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2FB927C2" w14:textId="77777777" w:rsidR="00C04CCF" w:rsidRPr="00C04CCF" w:rsidRDefault="00C04CCF" w:rsidP="00C82F7B">
      <w:pPr>
        <w:ind w:firstLineChars="200" w:firstLine="640"/>
        <w:rPr>
          <w:rFonts w:ascii="仿宋_GB2312" w:eastAsia="仿宋_GB2312"/>
          <w:sz w:val="32"/>
          <w:szCs w:val="32"/>
        </w:rPr>
      </w:pPr>
      <w:r w:rsidRPr="00C04CCF">
        <w:rPr>
          <w:rFonts w:ascii="仿宋_GB2312" w:eastAsia="仿宋_GB2312" w:hint="eastAsia"/>
          <w:sz w:val="32"/>
          <w:szCs w:val="32"/>
        </w:rPr>
        <w:t>（一）负责实施“国民艺术教育推进工程”，推动文学、戏剧、音乐、舞蹈、曲艺、雕塑、绘画、工艺品、风俗、技艺等文艺艺术工作的发展。</w:t>
      </w:r>
    </w:p>
    <w:p w14:paraId="6D3715F7" w14:textId="77777777" w:rsidR="00C04CCF" w:rsidRPr="00C04CCF" w:rsidRDefault="00C04CCF" w:rsidP="00C82F7B">
      <w:pPr>
        <w:ind w:firstLineChars="200" w:firstLine="640"/>
        <w:rPr>
          <w:rFonts w:ascii="仿宋_GB2312" w:eastAsia="仿宋_GB2312"/>
          <w:sz w:val="32"/>
          <w:szCs w:val="32"/>
        </w:rPr>
      </w:pPr>
      <w:r w:rsidRPr="00C04CCF">
        <w:rPr>
          <w:rFonts w:ascii="仿宋_GB2312" w:eastAsia="仿宋_GB2312" w:hint="eastAsia"/>
          <w:sz w:val="32"/>
          <w:szCs w:val="32"/>
        </w:rPr>
        <w:t>（二）负责推进文化创新，促进文化交流活动。传播先进文化，普及社会美育，培训群众文艺骨干。保护非物质遗产。</w:t>
      </w:r>
    </w:p>
    <w:p w14:paraId="7552926C" w14:textId="6986C2E2" w:rsidR="00C04CCF" w:rsidRPr="00C04CCF" w:rsidRDefault="00C04CCF" w:rsidP="00C82F7B">
      <w:pPr>
        <w:ind w:firstLineChars="200" w:firstLine="640"/>
        <w:rPr>
          <w:rFonts w:ascii="仿宋_GB2312" w:eastAsia="仿宋_GB2312"/>
          <w:sz w:val="32"/>
          <w:szCs w:val="32"/>
        </w:rPr>
      </w:pPr>
      <w:r w:rsidRPr="00C04CCF">
        <w:rPr>
          <w:rFonts w:ascii="仿宋_GB2312" w:eastAsia="仿宋_GB2312" w:hint="eastAsia"/>
          <w:sz w:val="32"/>
          <w:szCs w:val="32"/>
        </w:rPr>
        <w:t>（三）负责对节日文艺活动的指导及大型艺术活动的策划</w:t>
      </w:r>
      <w:r>
        <w:rPr>
          <w:rFonts w:ascii="仿宋_GB2312" w:eastAsia="仿宋_GB2312" w:hint="eastAsia"/>
          <w:sz w:val="32"/>
          <w:szCs w:val="32"/>
        </w:rPr>
        <w:t>。</w:t>
      </w:r>
    </w:p>
    <w:p w14:paraId="7BC83670" w14:textId="77777777" w:rsidR="00C04CCF" w:rsidRPr="00C04CCF" w:rsidRDefault="00C04CCF" w:rsidP="00C82F7B">
      <w:pPr>
        <w:ind w:firstLineChars="200" w:firstLine="640"/>
        <w:rPr>
          <w:rFonts w:ascii="仿宋_GB2312" w:eastAsia="仿宋_GB2312"/>
          <w:sz w:val="32"/>
          <w:szCs w:val="32"/>
        </w:rPr>
      </w:pPr>
      <w:r w:rsidRPr="00C04CCF">
        <w:rPr>
          <w:rFonts w:ascii="仿宋_GB2312" w:eastAsia="仿宋_GB2312" w:hint="eastAsia"/>
          <w:sz w:val="32"/>
          <w:szCs w:val="32"/>
        </w:rPr>
        <w:t>（四）负责对乡镇、街道文化站的业务指导和对群众艺术团队的组织管理。</w:t>
      </w:r>
    </w:p>
    <w:p w14:paraId="4A475860" w14:textId="4ADD549B" w:rsidR="0040651A" w:rsidRDefault="00C04CCF" w:rsidP="00C82F7B">
      <w:pPr>
        <w:ind w:firstLineChars="200" w:firstLine="640"/>
        <w:rPr>
          <w:rFonts w:ascii="仿宋_GB2312" w:eastAsia="仿宋_GB2312"/>
          <w:sz w:val="32"/>
          <w:szCs w:val="32"/>
        </w:rPr>
      </w:pPr>
      <w:r w:rsidRPr="00C04CCF">
        <w:rPr>
          <w:rFonts w:ascii="仿宋_GB2312" w:eastAsia="仿宋_GB2312" w:hint="eastAsia"/>
          <w:sz w:val="32"/>
          <w:szCs w:val="32"/>
        </w:rPr>
        <w:t>（五）开展文化理论的学习和研究</w:t>
      </w:r>
      <w:r>
        <w:rPr>
          <w:rFonts w:ascii="仿宋_GB2312" w:eastAsia="仿宋_GB2312" w:hint="eastAsia"/>
          <w:sz w:val="32"/>
          <w:szCs w:val="32"/>
        </w:rPr>
        <w:t>。</w:t>
      </w:r>
    </w:p>
    <w:p w14:paraId="2E163AB6" w14:textId="77777777" w:rsidR="0040651A"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25D717CF" w14:textId="77777777" w:rsidR="0040651A" w:rsidRDefault="00000000" w:rsidP="00C82F7B">
      <w:pPr>
        <w:ind w:firstLineChars="200" w:firstLine="640"/>
        <w:rPr>
          <w:rFonts w:ascii="仿宋_GB2312" w:eastAsia="仿宋_GB2312" w:hAnsi="仿宋_GB2312" w:cs="仿宋_GB2312" w:hint="eastAsia"/>
          <w:b/>
          <w:sz w:val="32"/>
          <w:szCs w:val="32"/>
        </w:rPr>
      </w:pPr>
      <w:r>
        <w:rPr>
          <w:rFonts w:ascii="仿宋_GB2312" w:eastAsia="仿宋_GB2312" w:hint="eastAsia"/>
          <w:sz w:val="32"/>
          <w:szCs w:val="32"/>
        </w:rPr>
        <w:t>乌鲁木齐市米东区文化馆2023年度，实有人数</w:t>
      </w:r>
      <w:r>
        <w:rPr>
          <w:rFonts w:ascii="仿宋_GB2312" w:eastAsia="仿宋_GB2312" w:hint="eastAsia"/>
          <w:sz w:val="32"/>
          <w:szCs w:val="32"/>
          <w:lang w:val="zh-CN"/>
        </w:rPr>
        <w:t>17</w:t>
      </w:r>
      <w:r>
        <w:rPr>
          <w:rFonts w:ascii="仿宋_GB2312" w:eastAsia="仿宋_GB2312" w:hint="eastAsia"/>
          <w:sz w:val="32"/>
          <w:szCs w:val="32"/>
        </w:rPr>
        <w:t>人，其中：在职人员</w:t>
      </w:r>
      <w:r>
        <w:rPr>
          <w:rFonts w:ascii="仿宋_GB2312" w:eastAsia="仿宋_GB2312" w:hint="eastAsia"/>
          <w:sz w:val="32"/>
          <w:szCs w:val="32"/>
          <w:lang w:val="zh-CN"/>
        </w:rPr>
        <w:t>11</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6</w:t>
      </w:r>
      <w:r>
        <w:rPr>
          <w:rFonts w:ascii="仿宋_GB2312" w:eastAsia="仿宋_GB2312" w:hint="eastAsia"/>
          <w:sz w:val="32"/>
          <w:szCs w:val="32"/>
        </w:rPr>
        <w:t>人。</w:t>
      </w:r>
    </w:p>
    <w:p w14:paraId="1F0FA011" w14:textId="0FBA8E44" w:rsidR="0040651A" w:rsidRDefault="00000000" w:rsidP="00C82F7B">
      <w:pPr>
        <w:ind w:firstLineChars="200" w:firstLine="640"/>
        <w:rPr>
          <w:rFonts w:ascii="仿宋_GB2312" w:eastAsia="仿宋_GB2312" w:hAnsi="宋体" w:cs="宋体" w:hint="eastAsia"/>
          <w:kern w:val="0"/>
          <w:sz w:val="32"/>
          <w:szCs w:val="32"/>
        </w:rPr>
        <w:sectPr w:rsidR="0040651A">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C04CCF">
        <w:rPr>
          <w:rFonts w:ascii="仿宋_GB2312" w:eastAsia="仿宋_GB2312" w:hint="eastAsia"/>
          <w:sz w:val="32"/>
          <w:szCs w:val="32"/>
        </w:rPr>
        <w:t>4</w:t>
      </w:r>
      <w:r>
        <w:rPr>
          <w:rFonts w:ascii="仿宋_GB2312" w:eastAsia="仿宋_GB2312" w:hAnsi="黑体" w:cs="宋体" w:hint="eastAsia"/>
          <w:bCs/>
          <w:kern w:val="0"/>
          <w:sz w:val="32"/>
          <w:szCs w:val="32"/>
        </w:rPr>
        <w:t>个处室，分别是：</w:t>
      </w:r>
      <w:r w:rsidR="00C04CCF">
        <w:rPr>
          <w:rFonts w:ascii="仿宋_GB2312" w:eastAsia="仿宋_GB2312" w:hAnsi="仿宋_GB2312" w:hint="eastAsia"/>
          <w:kern w:val="0"/>
          <w:sz w:val="32"/>
        </w:rPr>
        <w:t>财务室、非遗室、书画室、行政办公室</w:t>
      </w:r>
      <w:r>
        <w:rPr>
          <w:rFonts w:ascii="仿宋_GB2312" w:eastAsia="仿宋_GB2312" w:hAnsi="宋体" w:cs="宋体" w:hint="eastAsia"/>
          <w:kern w:val="0"/>
          <w:sz w:val="32"/>
          <w:szCs w:val="32"/>
        </w:rPr>
        <w:t>。</w:t>
      </w:r>
    </w:p>
    <w:p w14:paraId="357C6F63" w14:textId="77777777" w:rsidR="0040651A"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01CA002F" w14:textId="77777777" w:rsidR="0040651A"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3D75CF09" w14:textId="77777777" w:rsidR="0040651A" w:rsidRDefault="00000000" w:rsidP="00C82F7B">
      <w:pPr>
        <w:ind w:firstLineChars="200" w:firstLine="640"/>
        <w:rPr>
          <w:rFonts w:ascii="仿宋_GB2312" w:eastAsia="仿宋_GB2312"/>
          <w:sz w:val="32"/>
          <w:szCs w:val="32"/>
        </w:rPr>
      </w:pPr>
      <w:r>
        <w:rPr>
          <w:rFonts w:ascii="仿宋_GB2312" w:eastAsia="仿宋_GB2312" w:hint="eastAsia"/>
          <w:sz w:val="32"/>
          <w:szCs w:val="32"/>
        </w:rPr>
        <w:t>2023年度收入总计251.11万元，其中：本年收入合计226.33万元，使用非财政拨款结余0.00万元，年初结转和结余24.78万元。</w:t>
      </w:r>
    </w:p>
    <w:p w14:paraId="6B945C71" w14:textId="77777777" w:rsidR="0040651A" w:rsidRDefault="00000000" w:rsidP="00C82F7B">
      <w:pPr>
        <w:ind w:firstLineChars="200" w:firstLine="640"/>
        <w:rPr>
          <w:rFonts w:ascii="仿宋_GB2312" w:eastAsia="仿宋_GB2312"/>
          <w:sz w:val="32"/>
          <w:szCs w:val="32"/>
        </w:rPr>
      </w:pPr>
      <w:r>
        <w:rPr>
          <w:rFonts w:ascii="仿宋_GB2312" w:eastAsia="仿宋_GB2312" w:hint="eastAsia"/>
          <w:sz w:val="32"/>
          <w:szCs w:val="32"/>
        </w:rPr>
        <w:t>2023年度支出总计251.11万元，其中：本年支出合计236.75万元，结余分配0.00万元，年末结转和结余14.37万元。</w:t>
      </w:r>
    </w:p>
    <w:p w14:paraId="35AB5988" w14:textId="27CC2675" w:rsidR="0040651A" w:rsidRDefault="00000000" w:rsidP="00C82F7B">
      <w:pPr>
        <w:ind w:firstLineChars="200" w:firstLine="640"/>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增加35.80万元</w:t>
      </w:r>
      <w:r>
        <w:rPr>
          <w:rFonts w:ascii="仿宋_GB2312" w:eastAsia="仿宋_GB2312" w:hint="eastAsia"/>
          <w:sz w:val="32"/>
          <w:szCs w:val="32"/>
        </w:rPr>
        <w:t>，增长16.63%，主要原因是：</w:t>
      </w:r>
      <w:r w:rsidR="00C04CCF" w:rsidRPr="00C04CCF">
        <w:rPr>
          <w:rFonts w:ascii="仿宋_GB2312" w:eastAsia="仿宋_GB2312" w:hAnsi="仿宋_GB2312" w:cs="仿宋_GB2312" w:hint="eastAsia"/>
          <w:sz w:val="32"/>
          <w:szCs w:val="32"/>
          <w:lang w:val="zh-CN"/>
        </w:rPr>
        <w:t>单位本年人员正常晋升，相应人员工资、津贴补贴、奖金等人员经费增加</w:t>
      </w:r>
      <w:r>
        <w:rPr>
          <w:rFonts w:ascii="仿宋_GB2312" w:eastAsia="仿宋_GB2312" w:hint="eastAsia"/>
          <w:sz w:val="32"/>
          <w:szCs w:val="32"/>
        </w:rPr>
        <w:t>。</w:t>
      </w:r>
    </w:p>
    <w:p w14:paraId="09968143" w14:textId="77777777" w:rsidR="0040651A"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6DE9AC6C" w14:textId="77777777" w:rsidR="0040651A"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本年收入226.33万元，其中：财政拨款收入</w:t>
      </w:r>
      <w:r>
        <w:rPr>
          <w:rFonts w:ascii="仿宋_GB2312" w:eastAsia="仿宋_GB2312" w:hint="eastAsia"/>
          <w:sz w:val="32"/>
          <w:szCs w:val="32"/>
          <w:lang w:val="zh-CN"/>
        </w:rPr>
        <w:t>226.33</w:t>
      </w:r>
      <w:r>
        <w:rPr>
          <w:rFonts w:ascii="仿宋_GB2312" w:eastAsia="仿宋_GB2312" w:hint="eastAsia"/>
          <w:sz w:val="32"/>
          <w:szCs w:val="32"/>
        </w:rPr>
        <w:t>万元，占</w:t>
      </w:r>
      <w:r>
        <w:rPr>
          <w:rFonts w:ascii="仿宋_GB2312" w:eastAsia="仿宋_GB2312" w:hint="eastAsia"/>
          <w:sz w:val="32"/>
          <w:szCs w:val="32"/>
          <w:lang w:val="zh-CN"/>
        </w:rPr>
        <w:t>100.00%</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w:t>
      </w:r>
    </w:p>
    <w:p w14:paraId="38889735" w14:textId="77777777" w:rsidR="0040651A"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6B1D9C5A" w14:textId="77777777" w:rsidR="0040651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本年支出236.75万元，其中：基本支出222.08万元，占93.80%；项目支出14.67万元，占6.20%；上缴上级支出0.00万元，占0.00%；经营支出0.00万元，占0.00%；对附属单位补助支出0.00万元，占0.00%。</w:t>
      </w:r>
    </w:p>
    <w:p w14:paraId="6A040933" w14:textId="77777777" w:rsidR="0040651A"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37E1E7EF" w14:textId="77777777" w:rsidR="0040651A" w:rsidRDefault="00000000" w:rsidP="00C82F7B">
      <w:pPr>
        <w:ind w:firstLineChars="200" w:firstLine="640"/>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250.60</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24.27</w:t>
      </w:r>
      <w:r>
        <w:rPr>
          <w:rFonts w:ascii="仿宋_GB2312" w:eastAsia="仿宋_GB2312" w:hint="eastAsia"/>
          <w:sz w:val="32"/>
          <w:szCs w:val="32"/>
        </w:rPr>
        <w:t>万元，本年财政拨款收入</w:t>
      </w:r>
      <w:r>
        <w:rPr>
          <w:rFonts w:ascii="仿宋_GB2312" w:eastAsia="仿宋_GB2312" w:hint="eastAsia"/>
          <w:sz w:val="32"/>
          <w:szCs w:val="32"/>
          <w:lang w:val="zh-CN"/>
        </w:rPr>
        <w:t>226.33</w:t>
      </w:r>
      <w:r>
        <w:rPr>
          <w:rFonts w:ascii="仿宋_GB2312" w:eastAsia="仿宋_GB2312" w:hint="eastAsia"/>
          <w:sz w:val="32"/>
          <w:szCs w:val="32"/>
        </w:rPr>
        <w:t>万元。财政拨款支出总计</w:t>
      </w:r>
      <w:r>
        <w:rPr>
          <w:rFonts w:ascii="仿宋_GB2312" w:eastAsia="仿宋_GB2312" w:hint="eastAsia"/>
          <w:sz w:val="32"/>
          <w:szCs w:val="32"/>
          <w:lang w:val="zh-CN"/>
        </w:rPr>
        <w:t>250.60</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13.85</w:t>
      </w:r>
      <w:r>
        <w:rPr>
          <w:rFonts w:ascii="仿宋_GB2312" w:eastAsia="仿宋_GB2312" w:hint="eastAsia"/>
          <w:sz w:val="32"/>
          <w:szCs w:val="32"/>
        </w:rPr>
        <w:t>万元，本年财政拨款支出</w:t>
      </w:r>
      <w:r>
        <w:rPr>
          <w:rFonts w:ascii="仿宋_GB2312" w:eastAsia="仿宋_GB2312" w:hint="eastAsia"/>
          <w:sz w:val="32"/>
          <w:szCs w:val="32"/>
          <w:lang w:val="zh-CN"/>
        </w:rPr>
        <w:t>236.75</w:t>
      </w:r>
      <w:r>
        <w:rPr>
          <w:rFonts w:ascii="仿宋_GB2312" w:eastAsia="仿宋_GB2312" w:hint="eastAsia"/>
          <w:sz w:val="32"/>
          <w:szCs w:val="32"/>
        </w:rPr>
        <w:t>万元。</w:t>
      </w:r>
    </w:p>
    <w:p w14:paraId="708B7FB5" w14:textId="082B4B90" w:rsidR="0040651A" w:rsidRDefault="00000000" w:rsidP="00C82F7B">
      <w:pPr>
        <w:ind w:firstLineChars="200" w:firstLine="640"/>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增加35.85万元</w:t>
      </w:r>
      <w:r>
        <w:rPr>
          <w:rFonts w:ascii="仿宋_GB2312" w:eastAsia="仿宋_GB2312" w:hint="eastAsia"/>
          <w:sz w:val="32"/>
          <w:szCs w:val="32"/>
        </w:rPr>
        <w:t>，增长16.69%,主要原因是：</w:t>
      </w:r>
      <w:r w:rsidR="00C04CCF" w:rsidRPr="00C04CCF">
        <w:rPr>
          <w:rFonts w:ascii="仿宋_GB2312" w:eastAsia="仿宋_GB2312" w:hAnsi="仿宋_GB2312" w:cs="仿宋_GB2312" w:hint="eastAsia"/>
          <w:sz w:val="32"/>
          <w:szCs w:val="32"/>
          <w:lang w:val="zh-CN"/>
        </w:rPr>
        <w:t>单位本年人员正常晋升，相应人员工资、津贴补贴、奖金等人员经费增加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193.76</w:t>
      </w:r>
      <w:r>
        <w:rPr>
          <w:rFonts w:ascii="仿宋_GB2312" w:eastAsia="仿宋_GB2312" w:hint="eastAsia"/>
          <w:sz w:val="32"/>
          <w:szCs w:val="32"/>
        </w:rPr>
        <w:t>万元，决算数</w:t>
      </w:r>
      <w:r>
        <w:rPr>
          <w:rFonts w:ascii="仿宋_GB2312" w:eastAsia="仿宋_GB2312" w:hint="eastAsia"/>
          <w:sz w:val="32"/>
          <w:szCs w:val="32"/>
          <w:lang w:val="zh-CN"/>
        </w:rPr>
        <w:t>250.60</w:t>
      </w:r>
      <w:r>
        <w:rPr>
          <w:rFonts w:ascii="仿宋_GB2312" w:eastAsia="仿宋_GB2312" w:hint="eastAsia"/>
          <w:sz w:val="32"/>
          <w:szCs w:val="32"/>
        </w:rPr>
        <w:t>万元，预决算差异率29.34%，主要原因是：</w:t>
      </w:r>
      <w:r w:rsidR="00C04CCF">
        <w:rPr>
          <w:rFonts w:ascii="仿宋_GB2312" w:eastAsia="仿宋_GB2312" w:hint="eastAsia"/>
          <w:sz w:val="32"/>
          <w:szCs w:val="32"/>
        </w:rPr>
        <w:t>年中追加</w:t>
      </w:r>
      <w:r w:rsidR="00C04CCF" w:rsidRPr="00C04CCF">
        <w:rPr>
          <w:rFonts w:ascii="仿宋_GB2312" w:eastAsia="仿宋_GB2312" w:hAnsi="仿宋_GB2312" w:cs="仿宋_GB2312" w:hint="eastAsia"/>
          <w:sz w:val="32"/>
          <w:szCs w:val="32"/>
          <w:lang w:val="zh-CN"/>
        </w:rPr>
        <w:t>自治区非物质文化遗产保护专项</w:t>
      </w:r>
      <w:r w:rsidR="00C82F7B">
        <w:rPr>
          <w:rFonts w:ascii="仿宋_GB2312" w:eastAsia="仿宋_GB2312" w:hAnsi="仿宋_GB2312" w:cs="仿宋_GB2312" w:hint="eastAsia"/>
          <w:sz w:val="32"/>
          <w:szCs w:val="32"/>
          <w:lang w:val="zh-CN"/>
        </w:rPr>
        <w:t>项目经费</w:t>
      </w:r>
      <w:r>
        <w:rPr>
          <w:rFonts w:ascii="仿宋_GB2312" w:eastAsia="仿宋_GB2312" w:hint="eastAsia"/>
          <w:sz w:val="32"/>
          <w:szCs w:val="32"/>
        </w:rPr>
        <w:t>。</w:t>
      </w:r>
    </w:p>
    <w:p w14:paraId="32AF3253" w14:textId="77777777" w:rsidR="0040651A" w:rsidRDefault="00000000">
      <w:pPr>
        <w:ind w:firstLineChars="200" w:firstLine="640"/>
        <w:jc w:val="left"/>
        <w:outlineLvl w:val="1"/>
        <w:rPr>
          <w:rFonts w:ascii="黑体" w:eastAsia="黑体" w:hAnsi="黑体" w:cs="宋体" w:hint="eastAsia"/>
          <w:bCs/>
          <w:kern w:val="0"/>
          <w:sz w:val="32"/>
          <w:szCs w:val="32"/>
        </w:rPr>
      </w:pPr>
      <w:bookmarkStart w:id="16" w:name="_Toc20360"/>
      <w:bookmarkStart w:id="17" w:name="_Toc13833"/>
      <w:r>
        <w:rPr>
          <w:rFonts w:ascii="黑体" w:eastAsia="黑体" w:hAnsi="黑体" w:cs="宋体" w:hint="eastAsia"/>
          <w:bCs/>
          <w:kern w:val="0"/>
          <w:sz w:val="32"/>
          <w:szCs w:val="32"/>
        </w:rPr>
        <w:t>五、一般公共预算财政拨款支出决算情况说明</w:t>
      </w:r>
      <w:bookmarkEnd w:id="16"/>
      <w:bookmarkEnd w:id="17"/>
    </w:p>
    <w:p w14:paraId="062A5F77" w14:textId="77777777" w:rsidR="0040651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229D0C62" w14:textId="2BC85A47" w:rsidR="0040651A" w:rsidRDefault="00000000" w:rsidP="00C82F7B">
      <w:pPr>
        <w:ind w:firstLineChars="200" w:firstLine="640"/>
        <w:rPr>
          <w:rFonts w:ascii="仿宋_GB2312" w:eastAsia="仿宋_GB2312"/>
          <w:sz w:val="32"/>
          <w:szCs w:val="32"/>
        </w:rPr>
      </w:pPr>
      <w:r>
        <w:rPr>
          <w:rFonts w:ascii="仿宋_GB2312" w:eastAsia="仿宋_GB2312" w:hint="eastAsia"/>
          <w:sz w:val="32"/>
          <w:szCs w:val="32"/>
        </w:rPr>
        <w:t>2023年度一般公共预算财政拨款支出236.75万元，占本年支出合计的</w:t>
      </w:r>
      <w:r>
        <w:rPr>
          <w:rFonts w:ascii="仿宋_GB2312" w:eastAsia="仿宋_GB2312" w:hint="eastAsia"/>
          <w:sz w:val="32"/>
          <w:szCs w:val="32"/>
          <w:lang w:val="zh-CN"/>
        </w:rPr>
        <w:t>100.00%</w:t>
      </w:r>
      <w:r>
        <w:rPr>
          <w:rFonts w:ascii="仿宋_GB2312" w:eastAsia="仿宋_GB2312" w:hint="eastAsia"/>
          <w:sz w:val="32"/>
          <w:szCs w:val="32"/>
        </w:rPr>
        <w:t>。与上年相比，</w:t>
      </w:r>
      <w:r>
        <w:rPr>
          <w:rFonts w:ascii="仿宋_GB2312" w:eastAsia="仿宋_GB2312" w:hint="eastAsia"/>
          <w:sz w:val="32"/>
          <w:szCs w:val="32"/>
          <w:lang w:val="zh-CN"/>
        </w:rPr>
        <w:t>增加46.27万元</w:t>
      </w:r>
      <w:r>
        <w:rPr>
          <w:rFonts w:ascii="仿宋_GB2312" w:eastAsia="仿宋_GB2312" w:hint="eastAsia"/>
          <w:sz w:val="32"/>
          <w:szCs w:val="32"/>
        </w:rPr>
        <w:t>，增长24.29%,主要原因是：</w:t>
      </w:r>
      <w:r w:rsidR="00C04CCF" w:rsidRPr="00C04CCF">
        <w:rPr>
          <w:rFonts w:ascii="仿宋_GB2312" w:eastAsia="仿宋_GB2312" w:hAnsi="仿宋_GB2312" w:cs="仿宋_GB2312" w:hint="eastAsia"/>
          <w:sz w:val="32"/>
          <w:szCs w:val="32"/>
          <w:lang w:val="zh-CN"/>
        </w:rPr>
        <w:t>单位本年人员正常晋升，相应人员工资、津贴补贴、奖金等人员经费增加</w:t>
      </w:r>
      <w:r>
        <w:rPr>
          <w:rFonts w:ascii="仿宋_GB2312" w:eastAsia="仿宋_GB2312" w:hint="eastAsia"/>
          <w:sz w:val="32"/>
          <w:szCs w:val="32"/>
        </w:rPr>
        <w:t>。与年初预算相比，年初预算数</w:t>
      </w:r>
      <w:r>
        <w:rPr>
          <w:rFonts w:ascii="仿宋_GB2312" w:eastAsia="仿宋_GB2312" w:hint="eastAsia"/>
          <w:sz w:val="32"/>
          <w:szCs w:val="32"/>
          <w:lang w:val="zh-CN"/>
        </w:rPr>
        <w:t>193.76</w:t>
      </w:r>
      <w:r>
        <w:rPr>
          <w:rFonts w:ascii="仿宋_GB2312" w:eastAsia="仿宋_GB2312" w:hint="eastAsia"/>
          <w:sz w:val="32"/>
          <w:szCs w:val="32"/>
        </w:rPr>
        <w:t>万元，决算数</w:t>
      </w:r>
      <w:r>
        <w:rPr>
          <w:rFonts w:ascii="仿宋_GB2312" w:eastAsia="仿宋_GB2312" w:hint="eastAsia"/>
          <w:sz w:val="32"/>
          <w:szCs w:val="32"/>
          <w:lang w:val="zh-CN"/>
        </w:rPr>
        <w:t>236.75</w:t>
      </w:r>
      <w:r>
        <w:rPr>
          <w:rFonts w:ascii="仿宋_GB2312" w:eastAsia="仿宋_GB2312" w:hint="eastAsia"/>
          <w:sz w:val="32"/>
          <w:szCs w:val="32"/>
        </w:rPr>
        <w:t>万元，预决算差异率</w:t>
      </w:r>
      <w:r>
        <w:rPr>
          <w:rFonts w:ascii="仿宋_GB2312" w:eastAsia="仿宋_GB2312" w:hint="eastAsia"/>
          <w:sz w:val="32"/>
          <w:szCs w:val="32"/>
          <w:lang w:val="zh-CN"/>
        </w:rPr>
        <w:t>22.19%</w:t>
      </w:r>
      <w:r>
        <w:rPr>
          <w:rFonts w:ascii="仿宋_GB2312" w:eastAsia="仿宋_GB2312" w:hint="eastAsia"/>
          <w:sz w:val="32"/>
          <w:szCs w:val="32"/>
        </w:rPr>
        <w:t>，主要原因是：</w:t>
      </w:r>
      <w:r w:rsidR="00C04CCF">
        <w:rPr>
          <w:rFonts w:ascii="仿宋_GB2312" w:eastAsia="仿宋_GB2312" w:hint="eastAsia"/>
          <w:sz w:val="32"/>
          <w:szCs w:val="32"/>
        </w:rPr>
        <w:t>年中追加</w:t>
      </w:r>
      <w:r w:rsidR="00C04CCF" w:rsidRPr="00C04CCF">
        <w:rPr>
          <w:rFonts w:ascii="仿宋_GB2312" w:eastAsia="仿宋_GB2312" w:hAnsi="仿宋_GB2312" w:cs="仿宋_GB2312" w:hint="eastAsia"/>
          <w:sz w:val="32"/>
          <w:szCs w:val="32"/>
          <w:lang w:val="zh-CN"/>
        </w:rPr>
        <w:t>自治区非物质文化遗产保护专项</w:t>
      </w:r>
      <w:r w:rsidR="00C82F7B">
        <w:rPr>
          <w:rFonts w:ascii="仿宋_GB2312" w:eastAsia="仿宋_GB2312" w:hAnsi="仿宋_GB2312" w:cs="仿宋_GB2312" w:hint="eastAsia"/>
          <w:sz w:val="32"/>
          <w:szCs w:val="32"/>
          <w:lang w:val="zh-CN"/>
        </w:rPr>
        <w:t>项目经费</w:t>
      </w:r>
      <w:r>
        <w:rPr>
          <w:rFonts w:ascii="仿宋_GB2312" w:eastAsia="仿宋_GB2312" w:hint="eastAsia"/>
          <w:sz w:val="32"/>
          <w:szCs w:val="32"/>
        </w:rPr>
        <w:t>。</w:t>
      </w:r>
    </w:p>
    <w:p w14:paraId="7DF0CF42" w14:textId="77777777" w:rsidR="0040651A"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一般公共预算财政拨款支出决算结构情况</w:t>
      </w:r>
    </w:p>
    <w:p w14:paraId="244613A8" w14:textId="5FE8C33B" w:rsidR="0040651A" w:rsidRDefault="00B03E2C">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lastRenderedPageBreak/>
        <w:t>1</w:t>
      </w:r>
      <w:r>
        <w:rPr>
          <w:rFonts w:ascii="仿宋_GB2312" w:eastAsia="仿宋_GB2312"/>
          <w:kern w:val="2"/>
          <w:sz w:val="32"/>
          <w:szCs w:val="32"/>
          <w:lang w:val="zh-CN"/>
        </w:rPr>
        <w:t>.文化旅游体育与传媒支出（类）</w:t>
      </w:r>
      <w:r>
        <w:rPr>
          <w:rFonts w:ascii="仿宋_GB2312" w:eastAsia="仿宋_GB2312" w:hint="eastAsia"/>
          <w:kern w:val="2"/>
          <w:sz w:val="32"/>
          <w:szCs w:val="32"/>
          <w:lang w:val="zh-CN"/>
        </w:rPr>
        <w:t>216.17</w:t>
      </w:r>
      <w:r>
        <w:rPr>
          <w:rFonts w:ascii="仿宋_GB2312" w:eastAsia="仿宋_GB2312"/>
          <w:kern w:val="2"/>
          <w:sz w:val="32"/>
          <w:szCs w:val="32"/>
          <w:lang w:val="zh-CN"/>
        </w:rPr>
        <w:t>万元，占</w:t>
      </w:r>
      <w:r>
        <w:rPr>
          <w:rFonts w:ascii="仿宋_GB2312" w:eastAsia="仿宋_GB2312" w:hint="eastAsia"/>
          <w:kern w:val="2"/>
          <w:sz w:val="32"/>
          <w:szCs w:val="32"/>
          <w:lang w:val="zh-CN"/>
        </w:rPr>
        <w:t>91.31%</w:t>
      </w:r>
      <w:r>
        <w:rPr>
          <w:rFonts w:ascii="仿宋_GB2312" w:eastAsia="仿宋_GB2312"/>
          <w:kern w:val="2"/>
          <w:sz w:val="32"/>
          <w:szCs w:val="32"/>
          <w:lang w:val="zh-CN"/>
        </w:rPr>
        <w:t>；</w:t>
      </w:r>
    </w:p>
    <w:p w14:paraId="2F6CE362" w14:textId="48ADD4F3" w:rsidR="0040651A" w:rsidRDefault="00B03E2C">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20.58</w:t>
      </w:r>
      <w:r>
        <w:rPr>
          <w:rFonts w:ascii="仿宋_GB2312" w:eastAsia="仿宋_GB2312"/>
          <w:kern w:val="2"/>
          <w:sz w:val="32"/>
          <w:szCs w:val="32"/>
          <w:lang w:val="zh-CN"/>
        </w:rPr>
        <w:t>万元，占</w:t>
      </w:r>
      <w:r>
        <w:rPr>
          <w:rFonts w:ascii="仿宋_GB2312" w:eastAsia="仿宋_GB2312" w:hint="eastAsia"/>
          <w:kern w:val="2"/>
          <w:sz w:val="32"/>
          <w:szCs w:val="32"/>
          <w:lang w:val="zh-CN"/>
        </w:rPr>
        <w:t>8.69%。</w:t>
      </w:r>
    </w:p>
    <w:p w14:paraId="65E5062F" w14:textId="77777777" w:rsidR="0040651A"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1E2B22A7" w14:textId="061B4750" w:rsidR="0040651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1.文化旅游体育与传媒支出（类）文化和旅游（款）文化创作与保护（项）:支出决算数为14.67万元，比上年决算增加14.67万元，增长100%，主要原因是：</w:t>
      </w:r>
      <w:r w:rsidR="00C82F7B">
        <w:rPr>
          <w:rFonts w:ascii="仿宋_GB2312" w:eastAsia="仿宋_GB2312" w:hAnsi="仿宋_GB2312" w:cs="仿宋_GB2312" w:hint="eastAsia"/>
          <w:sz w:val="32"/>
          <w:szCs w:val="32"/>
          <w:lang w:val="zh-CN"/>
        </w:rPr>
        <w:t>单位本年</w:t>
      </w:r>
      <w:r w:rsidR="00C04CCF" w:rsidRPr="00C04CCF">
        <w:rPr>
          <w:rFonts w:ascii="仿宋_GB2312" w:eastAsia="仿宋_GB2312" w:hAnsi="仿宋_GB2312" w:cs="仿宋_GB2312" w:hint="eastAsia"/>
          <w:sz w:val="32"/>
          <w:szCs w:val="32"/>
          <w:lang w:val="zh-CN"/>
        </w:rPr>
        <w:t>自治区非物质文化遗产保护专项</w:t>
      </w:r>
      <w:r w:rsidR="00C04CCF">
        <w:rPr>
          <w:rFonts w:ascii="仿宋_GB2312" w:eastAsia="仿宋_GB2312" w:hAnsi="仿宋_GB2312" w:cs="仿宋_GB2312" w:hint="eastAsia"/>
          <w:sz w:val="32"/>
          <w:szCs w:val="32"/>
          <w:lang w:val="zh-CN"/>
        </w:rPr>
        <w:t>资金较上年增加</w:t>
      </w:r>
      <w:r>
        <w:rPr>
          <w:rFonts w:ascii="仿宋_GB2312" w:eastAsia="仿宋_GB2312" w:hAnsi="仿宋_GB2312" w:cs="仿宋_GB2312" w:hint="eastAsia"/>
          <w:sz w:val="32"/>
          <w:szCs w:val="32"/>
          <w:lang w:val="zh-CN"/>
        </w:rPr>
        <w:t>。</w:t>
      </w:r>
    </w:p>
    <w:p w14:paraId="77DD1185" w14:textId="27319D2A" w:rsidR="0040651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2.文化旅游体育与传媒支出（类）文化和旅游（款）群众文化（项）:支出决算数为201.50万元，比上年决算增加24.13万元，增长13.60%，主要原因是：</w:t>
      </w:r>
      <w:r w:rsidR="00C04CCF" w:rsidRPr="00C04CCF">
        <w:rPr>
          <w:rFonts w:ascii="仿宋_GB2312" w:eastAsia="仿宋_GB2312" w:hAnsi="仿宋_GB2312" w:cs="仿宋_GB2312" w:hint="eastAsia"/>
          <w:sz w:val="32"/>
          <w:szCs w:val="32"/>
          <w:lang w:val="zh-CN"/>
        </w:rPr>
        <w:t>单位本年人员正常晋升，相应人员工资、津贴补贴、奖金等人员经费增加</w:t>
      </w:r>
      <w:r>
        <w:rPr>
          <w:rFonts w:ascii="仿宋_GB2312" w:eastAsia="仿宋_GB2312" w:hAnsi="仿宋_GB2312" w:cs="仿宋_GB2312" w:hint="eastAsia"/>
          <w:sz w:val="32"/>
          <w:szCs w:val="32"/>
          <w:lang w:val="zh-CN"/>
        </w:rPr>
        <w:t>。</w:t>
      </w:r>
    </w:p>
    <w:p w14:paraId="76F605A3" w14:textId="56527E41" w:rsidR="0040651A"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3.社会保障和就业支出（类）行政事业单位养老支出（款）机关事业单位基本养老保险缴费支出（项）:支出决算数为20.58万元，比上年决算增加7.47万元，增长56.98%，主要原因是：</w:t>
      </w:r>
      <w:r w:rsidR="00C04CCF" w:rsidRPr="00C04CCF">
        <w:rPr>
          <w:rFonts w:ascii="仿宋_GB2312" w:eastAsia="仿宋_GB2312" w:hAnsi="仿宋_GB2312" w:cs="仿宋_GB2312" w:hint="eastAsia"/>
          <w:sz w:val="32"/>
          <w:szCs w:val="32"/>
          <w:lang w:val="zh-CN"/>
        </w:rPr>
        <w:t>本年单位社保缴费基数调增，人员养老保险缴费增加</w:t>
      </w:r>
      <w:r>
        <w:rPr>
          <w:rFonts w:ascii="仿宋_GB2312" w:eastAsia="仿宋_GB2312" w:hAnsi="仿宋_GB2312" w:cs="仿宋_GB2312" w:hint="eastAsia"/>
          <w:sz w:val="32"/>
          <w:szCs w:val="32"/>
          <w:lang w:val="zh-CN"/>
        </w:rPr>
        <w:t>。</w:t>
      </w:r>
    </w:p>
    <w:p w14:paraId="574334D3" w14:textId="77777777" w:rsidR="0040651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484E712C" w14:textId="7F969262" w:rsidR="0040651A"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222.08万元，其中：人员经费217.71万元，包括：基本工资、津贴补贴、奖金、绩效工资、机关事业单位基本养老保险缴费、职工基本医疗保险缴费、公务员医疗补助缴费、其他社会保障缴费、</w:t>
      </w:r>
      <w:r>
        <w:rPr>
          <w:rFonts w:ascii="仿宋_GB2312" w:eastAsia="仿宋_GB2312" w:hint="eastAsia"/>
          <w:sz w:val="32"/>
          <w:szCs w:val="32"/>
        </w:rPr>
        <w:lastRenderedPageBreak/>
        <w:t>住房公积金、生活补助、奖励金。</w:t>
      </w:r>
    </w:p>
    <w:p w14:paraId="51905BA0" w14:textId="03E5B68E" w:rsidR="0040651A" w:rsidRDefault="00000000" w:rsidP="00B03E2C">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公用经费4.37万元，包括：办公费、维修（护）费、工会经费、福利费、其他商品和服务支出</w:t>
      </w:r>
      <w:r>
        <w:rPr>
          <w:rFonts w:ascii="仿宋_GB2312" w:eastAsia="仿宋_GB2312" w:hAnsi="宋体" w:cs="宋体" w:hint="eastAsia"/>
          <w:kern w:val="0"/>
          <w:sz w:val="32"/>
          <w:szCs w:val="32"/>
        </w:rPr>
        <w:t>。</w:t>
      </w:r>
    </w:p>
    <w:p w14:paraId="2A17F207" w14:textId="77777777" w:rsidR="0040651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73ACB568" w14:textId="7F6D1650" w:rsidR="0040651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“三公”经费支出0.00万元，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03E2C" w:rsidRPr="00B03E2C">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03E2C" w:rsidRPr="00B03E2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；公务用车购置及运行维护费支出0.00万元，占0.00%，比上年增加0.00万元，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03E2C" w:rsidRPr="00B03E2C">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B03E2C" w:rsidRPr="00B03E2C">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43B83FD5" w14:textId="77777777" w:rsidR="0040651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E759B55" w14:textId="70B3A0A6" w:rsidR="0040651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B03E2C" w:rsidRPr="00B03E2C">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。单位全年安排的因公出国（境）团组0个，因公出国（境）0人次。</w:t>
      </w:r>
    </w:p>
    <w:p w14:paraId="50D4D442" w14:textId="0946D0D2" w:rsidR="0040651A"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公务用车购置及运行维护费0.00万元，其中：公务用车购置费0.00万元，公务用车运行维护费0.00万元。公务用车运行维护费开支内容包括</w:t>
      </w:r>
      <w:r w:rsidR="00B03E2C" w:rsidRPr="00B03E2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。公务用车购置数0辆，公务用车保有量0辆。国有资产占用情况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0辆，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FB1A1D" w:rsidRPr="00FB1A1D">
        <w:rPr>
          <w:rFonts w:ascii="仿宋_GB2312" w:eastAsia="仿宋_GB2312" w:hint="eastAsia"/>
          <w:sz w:val="32"/>
          <w:szCs w:val="32"/>
          <w:lang w:val="zh-CN"/>
        </w:rPr>
        <w:t>国有资</w:t>
      </w:r>
      <w:r w:rsidR="00FB1A1D" w:rsidRPr="00FB1A1D">
        <w:rPr>
          <w:rFonts w:ascii="仿宋_GB2312" w:eastAsia="仿宋_GB2312" w:hint="eastAsia"/>
          <w:sz w:val="32"/>
          <w:szCs w:val="32"/>
          <w:lang w:val="zh-CN"/>
        </w:rPr>
        <w:lastRenderedPageBreak/>
        <w:t>产车辆与公务用车保有量无差异</w:t>
      </w:r>
      <w:r>
        <w:rPr>
          <w:rFonts w:ascii="仿宋_GB2312" w:eastAsia="仿宋_GB2312" w:hint="eastAsia"/>
          <w:sz w:val="32"/>
          <w:szCs w:val="32"/>
          <w:lang w:val="zh-CN"/>
        </w:rPr>
        <w:t>。</w:t>
      </w:r>
    </w:p>
    <w:p w14:paraId="0FDFD3A7" w14:textId="36D81EDD" w:rsidR="0040651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B03E2C" w:rsidRPr="00B03E2C">
        <w:rPr>
          <w:rFonts w:ascii="仿宋_GB2312" w:eastAsia="仿宋_GB2312" w:hint="eastAsia"/>
          <w:sz w:val="32"/>
          <w:szCs w:val="32"/>
          <w:lang w:val="zh-CN"/>
        </w:rPr>
        <w:t>单位本年无此项经费</w:t>
      </w:r>
      <w:r>
        <w:rPr>
          <w:rFonts w:ascii="仿宋_GB2312" w:eastAsia="仿宋_GB2312" w:hint="eastAsia"/>
          <w:sz w:val="32"/>
          <w:szCs w:val="32"/>
          <w:lang w:val="zh-CN"/>
        </w:rPr>
        <w:t>。单位全年安排的国内公务接待0批次，0人次。</w:t>
      </w:r>
    </w:p>
    <w:p w14:paraId="18C761D2" w14:textId="0E0FDA30" w:rsidR="0040651A"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03E2C" w:rsidRPr="00B03E2C">
        <w:rPr>
          <w:rFonts w:ascii="仿宋_GB2312" w:eastAsia="仿宋_GB2312" w:hint="eastAsia"/>
          <w:sz w:val="32"/>
          <w:szCs w:val="32"/>
          <w:lang w:val="zh-CN"/>
        </w:rPr>
        <w:t>单位本年无此项经费</w:t>
      </w:r>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B03E2C" w:rsidRPr="00B03E2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03E2C" w:rsidRPr="00B03E2C">
        <w:rPr>
          <w:rFonts w:ascii="仿宋_GB2312" w:eastAsia="仿宋_GB2312" w:hint="eastAsia"/>
          <w:sz w:val="32"/>
          <w:szCs w:val="32"/>
          <w:lang w:val="zh-CN"/>
        </w:rPr>
        <w:t>单位本年无此项经费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03E2C" w:rsidRPr="00B03E2C">
        <w:rPr>
          <w:rFonts w:ascii="仿宋_GB2312" w:eastAsia="仿宋_GB2312" w:hint="eastAsia"/>
          <w:sz w:val="32"/>
          <w:szCs w:val="32"/>
          <w:lang w:val="zh-CN"/>
        </w:rPr>
        <w:t>单位本年无此项经费</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B03E2C" w:rsidRPr="00B03E2C">
        <w:rPr>
          <w:rFonts w:ascii="仿宋_GB2312" w:eastAsia="仿宋_GB2312" w:hint="eastAsia"/>
          <w:sz w:val="32"/>
          <w:szCs w:val="32"/>
          <w:lang w:val="zh-CN"/>
        </w:rPr>
        <w:t>单位本年无此项经费</w:t>
      </w:r>
      <w:r>
        <w:rPr>
          <w:rFonts w:ascii="仿宋_GB2312" w:eastAsia="仿宋_GB2312" w:hint="eastAsia"/>
          <w:sz w:val="32"/>
          <w:szCs w:val="32"/>
          <w:lang w:val="zh-CN"/>
        </w:rPr>
        <w:t>。</w:t>
      </w:r>
    </w:p>
    <w:p w14:paraId="340078F3" w14:textId="77777777" w:rsidR="0040651A" w:rsidRDefault="00000000">
      <w:pPr>
        <w:ind w:firstLineChars="200" w:firstLine="640"/>
        <w:jc w:val="left"/>
        <w:outlineLvl w:val="1"/>
        <w:rPr>
          <w:rFonts w:ascii="黑体" w:eastAsia="黑体" w:hAnsi="黑体" w:cs="宋体" w:hint="eastAsia"/>
          <w:bCs/>
          <w:kern w:val="0"/>
          <w:sz w:val="32"/>
          <w:szCs w:val="32"/>
        </w:rPr>
      </w:pPr>
      <w:bookmarkStart w:id="18" w:name="_Toc5810"/>
      <w:bookmarkStart w:id="19" w:name="_Toc7927"/>
      <w:r>
        <w:rPr>
          <w:rFonts w:ascii="黑体" w:eastAsia="黑体" w:hAnsi="黑体" w:cs="宋体" w:hint="eastAsia"/>
          <w:bCs/>
          <w:kern w:val="0"/>
          <w:sz w:val="32"/>
          <w:szCs w:val="32"/>
        </w:rPr>
        <w:t>八、政府性基金预算财政拨款收入支出决算情况说明</w:t>
      </w:r>
      <w:bookmarkEnd w:id="18"/>
      <w:bookmarkEnd w:id="19"/>
    </w:p>
    <w:p w14:paraId="0124DB27" w14:textId="77777777" w:rsidR="0040651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306C7B73" w14:textId="77777777" w:rsidR="0040651A"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4DDDEB0D" w14:textId="77777777" w:rsidR="0040651A"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54275B7D" w14:textId="77777777" w:rsidR="0040651A" w:rsidRDefault="00000000">
      <w:pPr>
        <w:ind w:firstLineChars="200" w:firstLine="640"/>
        <w:jc w:val="left"/>
        <w:outlineLvl w:val="1"/>
        <w:rPr>
          <w:rFonts w:ascii="黑体" w:eastAsia="黑体" w:hAnsi="黑体" w:cs="宋体" w:hint="eastAsia"/>
          <w:bCs/>
          <w:kern w:val="0"/>
          <w:sz w:val="32"/>
          <w:szCs w:val="32"/>
        </w:rPr>
      </w:pPr>
      <w:bookmarkStart w:id="20" w:name="_Toc1235"/>
      <w:bookmarkStart w:id="21" w:name="_Toc7314"/>
      <w:r>
        <w:rPr>
          <w:rFonts w:ascii="黑体" w:eastAsia="黑体" w:hAnsi="黑体" w:cs="宋体" w:hint="eastAsia"/>
          <w:bCs/>
          <w:kern w:val="0"/>
          <w:sz w:val="32"/>
          <w:szCs w:val="32"/>
        </w:rPr>
        <w:lastRenderedPageBreak/>
        <w:t>十、其他重要事项的情况说明</w:t>
      </w:r>
      <w:bookmarkEnd w:id="20"/>
      <w:bookmarkEnd w:id="21"/>
    </w:p>
    <w:p w14:paraId="04EDB377" w14:textId="77777777" w:rsidR="0040651A" w:rsidRDefault="00000000">
      <w:pPr>
        <w:ind w:firstLineChars="200" w:firstLine="640"/>
        <w:jc w:val="left"/>
        <w:outlineLvl w:val="2"/>
        <w:rPr>
          <w:rFonts w:ascii="黑体" w:eastAsia="黑体" w:hAnsi="黑体" w:hint="eastAsia"/>
          <w:sz w:val="32"/>
          <w:szCs w:val="32"/>
        </w:rPr>
      </w:pPr>
      <w:bookmarkStart w:id="22" w:name="_Toc14519"/>
      <w:bookmarkStart w:id="23" w:name="_Toc13105"/>
      <w:r>
        <w:rPr>
          <w:rFonts w:ascii="黑体" w:eastAsia="黑体" w:hAnsi="黑体" w:hint="eastAsia"/>
          <w:sz w:val="32"/>
          <w:szCs w:val="32"/>
        </w:rPr>
        <w:t>（一）机关运行经费支出情况</w:t>
      </w:r>
      <w:bookmarkEnd w:id="22"/>
      <w:bookmarkEnd w:id="23"/>
    </w:p>
    <w:p w14:paraId="2E0A82AC" w14:textId="4C1D29FF" w:rsidR="0040651A" w:rsidRDefault="00000000">
      <w:pPr>
        <w:ind w:firstLineChars="200" w:firstLine="640"/>
        <w:rPr>
          <w:rFonts w:ascii="仿宋_GB2312" w:eastAsia="仿宋_GB2312" w:hAnsi="仿宋_GB2312" w:cs="仿宋_GB2312" w:hint="eastAsia"/>
          <w:sz w:val="32"/>
          <w:szCs w:val="32"/>
          <w:lang w:val="zh-CN"/>
        </w:rPr>
      </w:pPr>
      <w:bookmarkStart w:id="24" w:name="_Toc227"/>
      <w:bookmarkStart w:id="25"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乌鲁木齐市米东区文化馆（事业单位）公用经费支出4.37万元，</w:t>
      </w:r>
      <w:r>
        <w:rPr>
          <w:rFonts w:ascii="仿宋_GB2312" w:eastAsia="仿宋_GB2312" w:hAnsi="仿宋_GB2312" w:cs="仿宋_GB2312" w:hint="eastAsia"/>
          <w:sz w:val="32"/>
          <w:szCs w:val="32"/>
          <w:lang w:val="zh-CN"/>
        </w:rPr>
        <w:t>比上年增加3.15万元，增长258.20%，主要原因是：</w:t>
      </w:r>
      <w:r w:rsidR="00C82F7B">
        <w:rPr>
          <w:rFonts w:ascii="仿宋_GB2312" w:eastAsia="仿宋_GB2312" w:hAnsi="仿宋_GB2312" w:cs="仿宋_GB2312" w:hint="eastAsia"/>
          <w:sz w:val="32"/>
          <w:szCs w:val="32"/>
          <w:lang w:val="zh-CN"/>
        </w:rPr>
        <w:t>单位本年</w:t>
      </w:r>
      <w:r w:rsidR="00C04CCF">
        <w:rPr>
          <w:rFonts w:ascii="仿宋_GB2312" w:eastAsia="仿宋_GB2312" w:hint="eastAsia"/>
          <w:sz w:val="32"/>
          <w:szCs w:val="32"/>
        </w:rPr>
        <w:t>办公费、工会经费、福利费较上年增加</w:t>
      </w:r>
      <w:r w:rsidR="00C82F7B">
        <w:rPr>
          <w:rFonts w:ascii="仿宋_GB2312" w:eastAsia="仿宋_GB2312" w:hint="eastAsia"/>
          <w:sz w:val="32"/>
          <w:szCs w:val="32"/>
        </w:rPr>
        <w:t>。</w:t>
      </w:r>
    </w:p>
    <w:p w14:paraId="15670A04" w14:textId="77777777" w:rsidR="0040651A" w:rsidRDefault="00000000">
      <w:pPr>
        <w:ind w:firstLineChars="200" w:firstLine="640"/>
        <w:jc w:val="left"/>
        <w:rPr>
          <w:rFonts w:eastAsia="黑体"/>
          <w:sz w:val="32"/>
          <w:szCs w:val="30"/>
          <w:lang w:val="zh-CN"/>
        </w:rPr>
      </w:pPr>
      <w:r>
        <w:rPr>
          <w:rFonts w:eastAsia="黑体" w:hint="eastAsia"/>
          <w:sz w:val="32"/>
          <w:szCs w:val="30"/>
          <w:lang w:val="zh-CN"/>
        </w:rPr>
        <w:t>（二）政府采购情况</w:t>
      </w:r>
      <w:bookmarkEnd w:id="24"/>
      <w:bookmarkEnd w:id="25"/>
    </w:p>
    <w:p w14:paraId="2CF7EEDB" w14:textId="77777777" w:rsidR="0040651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2023年度政府采购支出总额0.00万元，其中：政府采购货物支出0.00万元、政府采购工程支出0.00万元、政府采购服务支出0.00万元。</w:t>
      </w:r>
    </w:p>
    <w:p w14:paraId="3E931243" w14:textId="77777777" w:rsidR="0040651A"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授予中小企业合同金额0.00万元，占政府采购支出总额的0.00%，其中：授予小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合同金额0.00万元，占政府采购支出总额的0.00%</w:t>
      </w:r>
      <w:r>
        <w:rPr>
          <w:rFonts w:ascii="仿宋_GB2312" w:eastAsia="仿宋_GB2312" w:hAnsi="仿宋_GB2312" w:cs="仿宋_GB2312" w:hint="eastAsia"/>
          <w:sz w:val="32"/>
          <w:szCs w:val="32"/>
        </w:rPr>
        <w:t>。</w:t>
      </w:r>
    </w:p>
    <w:p w14:paraId="2B3071DA" w14:textId="77777777" w:rsidR="0040651A" w:rsidRPr="00B03E2C" w:rsidRDefault="00000000">
      <w:pPr>
        <w:ind w:firstLineChars="200" w:firstLine="640"/>
        <w:jc w:val="left"/>
        <w:rPr>
          <w:rFonts w:eastAsia="黑体"/>
          <w:sz w:val="32"/>
          <w:szCs w:val="30"/>
          <w:lang w:val="zh-CN"/>
        </w:rPr>
      </w:pPr>
      <w:bookmarkStart w:id="26" w:name="_Toc4591"/>
      <w:bookmarkStart w:id="27" w:name="_Toc8391"/>
      <w:r w:rsidRPr="00B03E2C">
        <w:rPr>
          <w:rFonts w:eastAsia="黑体" w:hint="eastAsia"/>
          <w:sz w:val="32"/>
          <w:szCs w:val="30"/>
          <w:lang w:val="zh-CN"/>
        </w:rPr>
        <w:t>（三）国有资产占用情况说明</w:t>
      </w:r>
      <w:bookmarkEnd w:id="26"/>
      <w:bookmarkEnd w:id="27"/>
    </w:p>
    <w:p w14:paraId="7C8C860B" w14:textId="013014AF" w:rsidR="0040651A"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130.17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屋0.00平方米，价值0.00万元。车辆0辆，价值0.00万元，其中：副部（省）级及以上领导用车0辆、主要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用车0辆、其他用车0辆，其他用车主要是：</w:t>
      </w:r>
      <w:r w:rsidR="00C04CCF" w:rsidRPr="00C04CCF">
        <w:rPr>
          <w:rFonts w:ascii="仿宋_GB2312" w:eastAsia="仿宋_GB2312" w:hAnsi="仿宋_GB2312" w:cs="仿宋_GB2312" w:hint="eastAsia"/>
          <w:sz w:val="32"/>
          <w:szCs w:val="32"/>
          <w:lang w:val="zh-CN"/>
        </w:rPr>
        <w:t>单位无其他</w:t>
      </w:r>
      <w:r w:rsidR="00C82F7B">
        <w:rPr>
          <w:rFonts w:ascii="仿宋_GB2312" w:eastAsia="仿宋_GB2312" w:hAnsi="仿宋_GB2312" w:cs="仿宋_GB2312" w:hint="eastAsia"/>
          <w:sz w:val="32"/>
          <w:szCs w:val="32"/>
          <w:lang w:val="zh-CN"/>
        </w:rPr>
        <w:t>车辆</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5FF49A2" w14:textId="77777777" w:rsidR="0040651A" w:rsidRDefault="00000000">
      <w:pPr>
        <w:ind w:firstLineChars="200" w:firstLine="640"/>
        <w:jc w:val="left"/>
        <w:outlineLvl w:val="1"/>
        <w:rPr>
          <w:rFonts w:ascii="黑体" w:eastAsia="黑体" w:hAnsi="黑体" w:cs="宋体" w:hint="eastAsia"/>
          <w:bCs/>
          <w:kern w:val="0"/>
          <w:sz w:val="32"/>
          <w:szCs w:val="32"/>
        </w:rPr>
      </w:pPr>
      <w:bookmarkStart w:id="28" w:name="_Toc435"/>
      <w:bookmarkStart w:id="29" w:name="_Toc11283"/>
      <w:r>
        <w:rPr>
          <w:rFonts w:ascii="黑体" w:eastAsia="黑体" w:hAnsi="黑体" w:cs="宋体" w:hint="eastAsia"/>
          <w:bCs/>
          <w:kern w:val="0"/>
          <w:sz w:val="32"/>
          <w:szCs w:val="32"/>
        </w:rPr>
        <w:t>十一、预算绩效的情况说明</w:t>
      </w:r>
      <w:bookmarkEnd w:id="28"/>
      <w:bookmarkEnd w:id="29"/>
    </w:p>
    <w:p w14:paraId="1DB8AC96" w14:textId="359960F4" w:rsidR="0040651A" w:rsidRDefault="00000000" w:rsidP="00C82F7B">
      <w:pPr>
        <w:ind w:firstLineChars="200" w:firstLine="640"/>
        <w:rPr>
          <w:rFonts w:ascii="仿宋_GB2312" w:eastAsia="仿宋_GB2312"/>
          <w:sz w:val="32"/>
          <w:szCs w:val="32"/>
        </w:rPr>
      </w:pPr>
      <w:r>
        <w:rPr>
          <w:rFonts w:ascii="仿宋_GB2312" w:eastAsia="仿宋_GB2312" w:hint="eastAsia"/>
          <w:sz w:val="32"/>
          <w:szCs w:val="32"/>
        </w:rPr>
        <w:lastRenderedPageBreak/>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C04CCF" w:rsidRPr="00C04CCF">
        <w:rPr>
          <w:rFonts w:ascii="仿宋_GB2312" w:eastAsia="仿宋_GB2312"/>
          <w:sz w:val="32"/>
          <w:szCs w:val="32"/>
        </w:rPr>
        <w:t>251.11</w:t>
      </w:r>
      <w:r>
        <w:rPr>
          <w:rFonts w:ascii="仿宋_GB2312" w:eastAsia="仿宋_GB2312" w:hint="eastAsia"/>
          <w:sz w:val="32"/>
          <w:szCs w:val="32"/>
        </w:rPr>
        <w:t>万元，实际执行总额</w:t>
      </w:r>
      <w:r w:rsidR="00C04CCF" w:rsidRPr="00C04CCF">
        <w:rPr>
          <w:rFonts w:ascii="仿宋_GB2312" w:eastAsia="仿宋_GB2312"/>
          <w:sz w:val="32"/>
          <w:szCs w:val="32"/>
        </w:rPr>
        <w:t>236.75</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C04CCF">
        <w:rPr>
          <w:rFonts w:ascii="仿宋_GB2312" w:eastAsia="仿宋_GB2312" w:hint="eastAsia"/>
          <w:sz w:val="32"/>
          <w:szCs w:val="32"/>
        </w:rPr>
        <w:t>0</w:t>
      </w:r>
      <w:r>
        <w:rPr>
          <w:rFonts w:ascii="仿宋_GB2312" w:eastAsia="仿宋_GB2312" w:hint="eastAsia"/>
          <w:sz w:val="32"/>
          <w:szCs w:val="32"/>
        </w:rPr>
        <w:t>个，全年预算数</w:t>
      </w:r>
      <w:r w:rsidR="00C04CCF">
        <w:rPr>
          <w:rFonts w:ascii="仿宋_GB2312" w:eastAsia="仿宋_GB2312" w:hint="eastAsia"/>
          <w:sz w:val="32"/>
          <w:szCs w:val="32"/>
        </w:rPr>
        <w:t>0.00</w:t>
      </w:r>
      <w:r>
        <w:rPr>
          <w:rFonts w:ascii="仿宋_GB2312" w:eastAsia="仿宋_GB2312" w:hint="eastAsia"/>
          <w:sz w:val="32"/>
          <w:szCs w:val="32"/>
        </w:rPr>
        <w:t>万元，全年执行数</w:t>
      </w:r>
      <w:r w:rsidR="00C04CCF">
        <w:rPr>
          <w:rFonts w:ascii="仿宋_GB2312" w:eastAsia="仿宋_GB2312" w:hint="eastAsia"/>
          <w:sz w:val="32"/>
          <w:szCs w:val="32"/>
        </w:rPr>
        <w:t>0.00</w:t>
      </w:r>
      <w:r>
        <w:rPr>
          <w:rFonts w:ascii="仿宋_GB2312" w:eastAsia="仿宋_GB2312" w:hint="eastAsia"/>
          <w:sz w:val="32"/>
          <w:szCs w:val="32"/>
        </w:rPr>
        <w:t>万元。</w:t>
      </w:r>
      <w:r w:rsidR="00C04CCF" w:rsidRPr="00C04CCF">
        <w:rPr>
          <w:rFonts w:ascii="仿宋_GB2312" w:eastAsia="仿宋_GB2312" w:hint="eastAsia"/>
          <w:sz w:val="32"/>
          <w:szCs w:val="32"/>
        </w:rPr>
        <w:t>预算绩效管理取得的成效：一是制定明确清晰的工作目标和指标，更好的开展业务工作；二是加强绩效的监控、评估，确保绩效管理运营的顺畅和高效。发现的问题及原因：一是部分业务人员绩效管理意识有待增强，未能全面深入认识理解绩效管理工作的意义。绩效管理经验不足，预算绩效管理工作有待进一步落实</w:t>
      </w:r>
      <w:r w:rsidR="00C82F7B">
        <w:rPr>
          <w:rFonts w:ascii="仿宋_GB2312" w:eastAsia="仿宋_GB2312" w:hint="eastAsia"/>
          <w:sz w:val="32"/>
          <w:szCs w:val="32"/>
        </w:rPr>
        <w:t>；</w:t>
      </w:r>
      <w:r w:rsidR="00C04CCF" w:rsidRPr="00C04CCF">
        <w:rPr>
          <w:rFonts w:ascii="仿宋_GB2312" w:eastAsia="仿宋_GB2312" w:hint="eastAsia"/>
          <w:sz w:val="32"/>
          <w:szCs w:val="32"/>
        </w:rPr>
        <w:t>二是绩效指标的明确性、可衡量性、相关性还需进一步提升。预算精细化管理还需完善，预算编制管理水平仍有进一步提升的空间。下一步改进措施：一是继续完善预算绩效管理相关工作制度，建立全过程预算绩效管理链条，有效贯彻落实全面实施绩效管理的精神；二是继续完善绩效指标，提高整体绩效目标质量。提升预算精细化管理水平</w:t>
      </w:r>
      <w:r>
        <w:rPr>
          <w:rFonts w:ascii="仿宋_GB2312" w:eastAsia="仿宋_GB2312" w:hint="eastAsia"/>
          <w:sz w:val="32"/>
          <w:szCs w:val="32"/>
        </w:rPr>
        <w:t>。具体项目自评情况附绩效自评表及自评报告。</w:t>
      </w:r>
    </w:p>
    <w:p w14:paraId="206F214D" w14:textId="77777777" w:rsidR="00C04CCF" w:rsidRPr="00EB08A3" w:rsidRDefault="00C04CCF" w:rsidP="00C04CCF">
      <w:pPr>
        <w:jc w:val="center"/>
        <w:rPr>
          <w:rFonts w:ascii="宋体" w:hAnsi="宋体" w:cs="宋体" w:hint="eastAsia"/>
          <w:b/>
          <w:bCs/>
          <w:kern w:val="0"/>
          <w:sz w:val="28"/>
          <w:szCs w:val="28"/>
        </w:rPr>
      </w:pPr>
      <w:r w:rsidRPr="00EB08A3">
        <w:rPr>
          <w:rFonts w:ascii="宋体" w:hAnsi="宋体" w:cs="宋体" w:hint="eastAsia"/>
          <w:b/>
          <w:bCs/>
          <w:kern w:val="0"/>
          <w:sz w:val="28"/>
          <w:szCs w:val="28"/>
        </w:rPr>
        <w:t>部门（单位）整体支出绩效目标自评表</w:t>
      </w:r>
    </w:p>
    <w:p w14:paraId="625D592B" w14:textId="77777777" w:rsidR="00C04CCF" w:rsidRPr="00EB08A3" w:rsidRDefault="00C04CCF" w:rsidP="00C04CCF">
      <w:pPr>
        <w:jc w:val="center"/>
        <w:rPr>
          <w:rFonts w:ascii="宋体" w:hAnsi="宋体" w:cs="宋体" w:hint="eastAsia"/>
          <w:b/>
          <w:bCs/>
          <w:kern w:val="0"/>
          <w:sz w:val="18"/>
          <w:szCs w:val="18"/>
        </w:rPr>
      </w:pPr>
      <w:r w:rsidRPr="00EB08A3">
        <w:rPr>
          <w:rFonts w:ascii="宋体" w:hAnsi="宋体" w:cs="宋体" w:hint="eastAsia"/>
          <w:b/>
          <w:bCs/>
          <w:kern w:val="0"/>
          <w:sz w:val="18"/>
          <w:szCs w:val="18"/>
        </w:rPr>
        <w:t>（2023年度）</w:t>
      </w:r>
    </w:p>
    <w:tbl>
      <w:tblPr>
        <w:tblW w:w="9651"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tblGrid>
      <w:tr w:rsidR="00C82F7B" w:rsidRPr="008A51CD" w14:paraId="5E6E38DF" w14:textId="77777777" w:rsidTr="00C82F7B">
        <w:trPr>
          <w:trHeight w:val="660"/>
        </w:trPr>
        <w:tc>
          <w:tcPr>
            <w:tcW w:w="99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232AA6D"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shd w:val="clear" w:color="auto" w:fill="auto"/>
            <w:noWrap/>
            <w:vAlign w:val="center"/>
            <w:hideMark/>
          </w:tcPr>
          <w:p w14:paraId="5CC0EF56" w14:textId="77777777" w:rsidR="00C82F7B" w:rsidRDefault="00C82F7B" w:rsidP="00BA7817">
            <w:pPr>
              <w:jc w:val="center"/>
            </w:pPr>
            <w:r>
              <w:rPr>
                <w:rFonts w:ascii="宋体" w:hAnsi="宋体"/>
                <w:sz w:val="18"/>
              </w:rPr>
              <w:t>米东区文化馆</w:t>
            </w:r>
          </w:p>
        </w:tc>
      </w:tr>
      <w:tr w:rsidR="00C82F7B" w:rsidRPr="008A51CD" w14:paraId="4A63A10E" w14:textId="77777777" w:rsidTr="00C82F7B">
        <w:trPr>
          <w:trHeight w:val="57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588AD2F"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shd w:val="clear" w:color="auto" w:fill="auto"/>
            <w:vAlign w:val="center"/>
            <w:hideMark/>
          </w:tcPr>
          <w:p w14:paraId="2768CCAD"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shd w:val="clear" w:color="auto" w:fill="auto"/>
            <w:vAlign w:val="center"/>
            <w:hideMark/>
          </w:tcPr>
          <w:p w14:paraId="7A80D233"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shd w:val="clear" w:color="auto" w:fill="auto"/>
            <w:vAlign w:val="center"/>
            <w:hideMark/>
          </w:tcPr>
          <w:p w14:paraId="3B0CE810"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shd w:val="clear" w:color="auto" w:fill="auto"/>
            <w:vAlign w:val="center"/>
            <w:hideMark/>
          </w:tcPr>
          <w:p w14:paraId="792F7943"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shd w:val="clear" w:color="auto" w:fill="auto"/>
            <w:vAlign w:val="center"/>
            <w:hideMark/>
          </w:tcPr>
          <w:p w14:paraId="2D4BFC2C"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shd w:val="clear" w:color="auto" w:fill="auto"/>
            <w:vAlign w:val="center"/>
            <w:hideMark/>
          </w:tcPr>
          <w:p w14:paraId="5715EF23"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shd w:val="clear" w:color="auto" w:fill="auto"/>
            <w:vAlign w:val="center"/>
            <w:hideMark/>
          </w:tcPr>
          <w:p w14:paraId="7F83F2AB"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C82F7B" w:rsidRPr="008A51CD" w14:paraId="45564D42" w14:textId="77777777" w:rsidTr="00C82F7B">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B266881" w14:textId="77777777" w:rsidR="00C82F7B" w:rsidRPr="008A51CD" w:rsidRDefault="00C82F7B" w:rsidP="00BA78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noWrap/>
            <w:vAlign w:val="center"/>
            <w:hideMark/>
          </w:tcPr>
          <w:p w14:paraId="3B841593"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shd w:val="clear" w:color="auto" w:fill="auto"/>
            <w:vAlign w:val="center"/>
          </w:tcPr>
          <w:p w14:paraId="553C73DB" w14:textId="77777777" w:rsidR="00C82F7B" w:rsidRDefault="00C82F7B" w:rsidP="00BA7817">
            <w:pPr>
              <w:jc w:val="center"/>
            </w:pPr>
            <w:r>
              <w:rPr>
                <w:rFonts w:ascii="宋体" w:hAnsi="宋体"/>
                <w:sz w:val="18"/>
              </w:rPr>
              <w:t>193.76</w:t>
            </w:r>
          </w:p>
        </w:tc>
        <w:tc>
          <w:tcPr>
            <w:tcW w:w="1134" w:type="dxa"/>
            <w:tcBorders>
              <w:top w:val="nil"/>
              <w:left w:val="nil"/>
              <w:bottom w:val="single" w:sz="4" w:space="0" w:color="auto"/>
              <w:right w:val="single" w:sz="4" w:space="0" w:color="auto"/>
            </w:tcBorders>
            <w:shd w:val="clear" w:color="auto" w:fill="auto"/>
            <w:vAlign w:val="center"/>
          </w:tcPr>
          <w:p w14:paraId="0B356F08" w14:textId="77777777" w:rsidR="00C82F7B" w:rsidRDefault="00C82F7B" w:rsidP="00BA7817">
            <w:pPr>
              <w:jc w:val="center"/>
            </w:pPr>
            <w:r>
              <w:rPr>
                <w:rFonts w:ascii="宋体" w:hAnsi="宋体"/>
                <w:sz w:val="18"/>
              </w:rPr>
              <w:t>251.11</w:t>
            </w:r>
          </w:p>
        </w:tc>
        <w:tc>
          <w:tcPr>
            <w:tcW w:w="2126" w:type="dxa"/>
            <w:tcBorders>
              <w:top w:val="nil"/>
              <w:left w:val="nil"/>
              <w:bottom w:val="single" w:sz="4" w:space="0" w:color="auto"/>
              <w:right w:val="single" w:sz="4" w:space="0" w:color="auto"/>
            </w:tcBorders>
            <w:shd w:val="clear" w:color="auto" w:fill="auto"/>
            <w:vAlign w:val="center"/>
          </w:tcPr>
          <w:p w14:paraId="1BF12A8C" w14:textId="77777777" w:rsidR="00C82F7B" w:rsidRDefault="00C82F7B" w:rsidP="00BA7817">
            <w:pPr>
              <w:jc w:val="center"/>
            </w:pPr>
            <w:r>
              <w:rPr>
                <w:rFonts w:ascii="宋体" w:hAnsi="宋体"/>
                <w:sz w:val="18"/>
              </w:rPr>
              <w:t>236.75</w:t>
            </w:r>
          </w:p>
        </w:tc>
        <w:tc>
          <w:tcPr>
            <w:tcW w:w="1004" w:type="dxa"/>
            <w:tcBorders>
              <w:top w:val="nil"/>
              <w:left w:val="nil"/>
              <w:bottom w:val="single" w:sz="4" w:space="0" w:color="auto"/>
              <w:right w:val="single" w:sz="4" w:space="0" w:color="auto"/>
            </w:tcBorders>
            <w:shd w:val="clear" w:color="auto" w:fill="auto"/>
            <w:vAlign w:val="center"/>
          </w:tcPr>
          <w:p w14:paraId="0DFA0FE2" w14:textId="77777777" w:rsidR="00C82F7B" w:rsidRDefault="00C82F7B" w:rsidP="00BA7817">
            <w:pPr>
              <w:jc w:val="center"/>
            </w:pPr>
            <w:r>
              <w:rPr>
                <w:rFonts w:ascii="宋体" w:hAnsi="宋体"/>
                <w:sz w:val="18"/>
              </w:rPr>
              <w:t>10</w:t>
            </w:r>
          </w:p>
        </w:tc>
        <w:tc>
          <w:tcPr>
            <w:tcW w:w="839" w:type="dxa"/>
            <w:tcBorders>
              <w:top w:val="nil"/>
              <w:left w:val="nil"/>
              <w:bottom w:val="single" w:sz="4" w:space="0" w:color="auto"/>
              <w:right w:val="single" w:sz="4" w:space="0" w:color="auto"/>
            </w:tcBorders>
            <w:shd w:val="clear" w:color="auto" w:fill="auto"/>
            <w:vAlign w:val="center"/>
          </w:tcPr>
          <w:p w14:paraId="4D400E78" w14:textId="77777777" w:rsidR="00C82F7B" w:rsidRDefault="00C82F7B" w:rsidP="00BA7817">
            <w:pPr>
              <w:jc w:val="center"/>
            </w:pPr>
            <w:r>
              <w:rPr>
                <w:rFonts w:ascii="宋体" w:hAnsi="宋体"/>
                <w:sz w:val="18"/>
              </w:rPr>
              <w:t>94.28%</w:t>
            </w:r>
          </w:p>
        </w:tc>
        <w:tc>
          <w:tcPr>
            <w:tcW w:w="720" w:type="dxa"/>
            <w:tcBorders>
              <w:top w:val="nil"/>
              <w:left w:val="nil"/>
              <w:bottom w:val="single" w:sz="4" w:space="0" w:color="auto"/>
              <w:right w:val="single" w:sz="4" w:space="0" w:color="auto"/>
            </w:tcBorders>
            <w:shd w:val="clear" w:color="auto" w:fill="auto"/>
            <w:vAlign w:val="center"/>
          </w:tcPr>
          <w:p w14:paraId="2D77E25E" w14:textId="77777777" w:rsidR="00C82F7B" w:rsidRDefault="00C82F7B" w:rsidP="00BA7817">
            <w:pPr>
              <w:jc w:val="center"/>
            </w:pPr>
            <w:r>
              <w:rPr>
                <w:rFonts w:ascii="宋体" w:hAnsi="宋体"/>
                <w:sz w:val="18"/>
              </w:rPr>
              <w:t>9.43</w:t>
            </w:r>
          </w:p>
        </w:tc>
      </w:tr>
      <w:tr w:rsidR="00C82F7B" w:rsidRPr="008A51CD" w14:paraId="4018E11B" w14:textId="77777777" w:rsidTr="00C82F7B">
        <w:trPr>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1ADEA43C" w14:textId="77777777" w:rsidR="00C82F7B" w:rsidRPr="008A51CD" w:rsidRDefault="00C82F7B" w:rsidP="00BA78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6A4F61AB"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shd w:val="clear" w:color="auto" w:fill="auto"/>
            <w:vAlign w:val="center"/>
          </w:tcPr>
          <w:p w14:paraId="0262CF17" w14:textId="77777777" w:rsidR="00C82F7B" w:rsidRDefault="00C82F7B" w:rsidP="00BA7817">
            <w:pPr>
              <w:jc w:val="center"/>
            </w:pPr>
            <w:r>
              <w:rPr>
                <w:rFonts w:ascii="宋体" w:hAnsi="宋体"/>
                <w:sz w:val="18"/>
              </w:rPr>
              <w:t>22.50</w:t>
            </w:r>
          </w:p>
        </w:tc>
        <w:tc>
          <w:tcPr>
            <w:tcW w:w="1134" w:type="dxa"/>
            <w:tcBorders>
              <w:top w:val="nil"/>
              <w:left w:val="nil"/>
              <w:bottom w:val="single" w:sz="4" w:space="0" w:color="auto"/>
              <w:right w:val="single" w:sz="4" w:space="0" w:color="auto"/>
            </w:tcBorders>
            <w:shd w:val="clear" w:color="auto" w:fill="auto"/>
            <w:vAlign w:val="center"/>
          </w:tcPr>
          <w:p w14:paraId="23AF6366" w14:textId="77777777" w:rsidR="00C82F7B" w:rsidRDefault="00C82F7B" w:rsidP="00BA7817">
            <w:pPr>
              <w:jc w:val="center"/>
            </w:pPr>
            <w:r>
              <w:rPr>
                <w:rFonts w:ascii="宋体" w:hAnsi="宋体"/>
                <w:sz w:val="18"/>
              </w:rPr>
              <w:t>4.67</w:t>
            </w:r>
          </w:p>
        </w:tc>
        <w:tc>
          <w:tcPr>
            <w:tcW w:w="2126" w:type="dxa"/>
            <w:tcBorders>
              <w:top w:val="nil"/>
              <w:left w:val="nil"/>
              <w:bottom w:val="single" w:sz="4" w:space="0" w:color="auto"/>
              <w:right w:val="single" w:sz="4" w:space="0" w:color="auto"/>
            </w:tcBorders>
            <w:shd w:val="clear" w:color="auto" w:fill="auto"/>
            <w:vAlign w:val="center"/>
          </w:tcPr>
          <w:p w14:paraId="1A8502D2" w14:textId="77777777" w:rsidR="00C82F7B" w:rsidRDefault="00C82F7B" w:rsidP="00BA7817">
            <w:pPr>
              <w:jc w:val="center"/>
            </w:pPr>
            <w:r>
              <w:rPr>
                <w:rFonts w:ascii="宋体" w:hAnsi="宋体"/>
                <w:sz w:val="18"/>
              </w:rPr>
              <w:t>4.67</w:t>
            </w:r>
          </w:p>
        </w:tc>
        <w:tc>
          <w:tcPr>
            <w:tcW w:w="1004" w:type="dxa"/>
            <w:tcBorders>
              <w:top w:val="nil"/>
              <w:left w:val="nil"/>
              <w:bottom w:val="single" w:sz="4" w:space="0" w:color="auto"/>
              <w:right w:val="single" w:sz="4" w:space="0" w:color="auto"/>
            </w:tcBorders>
            <w:shd w:val="clear" w:color="auto" w:fill="auto"/>
            <w:vAlign w:val="center"/>
          </w:tcPr>
          <w:p w14:paraId="7BC9F6B2" w14:textId="77777777" w:rsidR="00C82F7B" w:rsidRPr="008A51CD" w:rsidRDefault="00C82F7B" w:rsidP="00BA78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0E0A04A7" w14:textId="77777777" w:rsidR="00C82F7B" w:rsidRPr="008A51CD" w:rsidRDefault="00C82F7B" w:rsidP="00BA78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3161230E" w14:textId="77777777" w:rsidR="00C82F7B" w:rsidRPr="008A51CD" w:rsidRDefault="00C82F7B" w:rsidP="00BA7817">
            <w:pPr>
              <w:widowControl/>
              <w:jc w:val="center"/>
              <w:rPr>
                <w:rFonts w:ascii="宋体" w:hAnsi="宋体" w:cs="宋体" w:hint="eastAsia"/>
                <w:kern w:val="0"/>
                <w:sz w:val="18"/>
                <w:szCs w:val="18"/>
              </w:rPr>
            </w:pPr>
            <w:r w:rsidRPr="008A51CD">
              <w:rPr>
                <w:rFonts w:ascii="宋体" w:hAnsi="宋体" w:hint="eastAsia"/>
                <w:sz w:val="18"/>
                <w:szCs w:val="18"/>
              </w:rPr>
              <w:t>-</w:t>
            </w:r>
          </w:p>
        </w:tc>
      </w:tr>
      <w:tr w:rsidR="00C82F7B" w:rsidRPr="008A51CD" w14:paraId="33C02589" w14:textId="77777777" w:rsidTr="00C82F7B">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580AC64" w14:textId="77777777" w:rsidR="00C82F7B" w:rsidRPr="008A51CD" w:rsidRDefault="00C82F7B" w:rsidP="00BA78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tcPr>
          <w:p w14:paraId="04623B2B"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shd w:val="clear" w:color="auto" w:fill="auto"/>
            <w:vAlign w:val="center"/>
          </w:tcPr>
          <w:p w14:paraId="478494FF" w14:textId="77777777" w:rsidR="00C82F7B" w:rsidRDefault="00C82F7B" w:rsidP="00BA78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4454D334" w14:textId="77777777" w:rsidR="00C82F7B" w:rsidRDefault="00C82F7B" w:rsidP="00BA7817">
            <w:pPr>
              <w:jc w:val="center"/>
            </w:pPr>
            <w:r>
              <w:rPr>
                <w:rFonts w:ascii="宋体" w:hAnsi="宋体"/>
                <w:sz w:val="18"/>
              </w:rPr>
              <w:t>10.00</w:t>
            </w:r>
          </w:p>
        </w:tc>
        <w:tc>
          <w:tcPr>
            <w:tcW w:w="2126" w:type="dxa"/>
            <w:tcBorders>
              <w:top w:val="nil"/>
              <w:left w:val="nil"/>
              <w:bottom w:val="single" w:sz="4" w:space="0" w:color="auto"/>
              <w:right w:val="single" w:sz="4" w:space="0" w:color="auto"/>
            </w:tcBorders>
            <w:shd w:val="clear" w:color="auto" w:fill="auto"/>
            <w:vAlign w:val="center"/>
          </w:tcPr>
          <w:p w14:paraId="05374032" w14:textId="77777777" w:rsidR="00C82F7B" w:rsidRDefault="00C82F7B" w:rsidP="00BA7817">
            <w:pPr>
              <w:jc w:val="center"/>
            </w:pPr>
            <w:r>
              <w:rPr>
                <w:rFonts w:ascii="宋体" w:hAnsi="宋体"/>
                <w:sz w:val="18"/>
              </w:rPr>
              <w:t>10.00</w:t>
            </w:r>
          </w:p>
        </w:tc>
        <w:tc>
          <w:tcPr>
            <w:tcW w:w="1004" w:type="dxa"/>
            <w:tcBorders>
              <w:top w:val="nil"/>
              <w:left w:val="nil"/>
              <w:bottom w:val="single" w:sz="4" w:space="0" w:color="auto"/>
              <w:right w:val="single" w:sz="4" w:space="0" w:color="auto"/>
            </w:tcBorders>
            <w:shd w:val="clear" w:color="auto" w:fill="auto"/>
            <w:vAlign w:val="center"/>
          </w:tcPr>
          <w:p w14:paraId="33A66A86" w14:textId="77777777" w:rsidR="00C82F7B" w:rsidRPr="008A51CD" w:rsidRDefault="00C82F7B" w:rsidP="00BA78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shd w:val="clear" w:color="auto" w:fill="auto"/>
            <w:vAlign w:val="center"/>
          </w:tcPr>
          <w:p w14:paraId="12515E8A" w14:textId="77777777" w:rsidR="00C82F7B" w:rsidRPr="008A51CD" w:rsidRDefault="00C82F7B" w:rsidP="00BA7817">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shd w:val="clear" w:color="auto" w:fill="auto"/>
            <w:vAlign w:val="center"/>
          </w:tcPr>
          <w:p w14:paraId="56A48F07" w14:textId="77777777" w:rsidR="00C82F7B" w:rsidRPr="008A51CD" w:rsidRDefault="00C82F7B" w:rsidP="00BA7817">
            <w:pPr>
              <w:widowControl/>
              <w:jc w:val="center"/>
              <w:rPr>
                <w:rFonts w:ascii="宋体" w:hAnsi="宋体" w:cs="宋体" w:hint="eastAsia"/>
                <w:kern w:val="0"/>
                <w:sz w:val="18"/>
                <w:szCs w:val="18"/>
              </w:rPr>
            </w:pPr>
            <w:r w:rsidRPr="008A51CD">
              <w:rPr>
                <w:rFonts w:ascii="宋体" w:hAnsi="宋体" w:hint="eastAsia"/>
                <w:sz w:val="18"/>
                <w:szCs w:val="18"/>
              </w:rPr>
              <w:t>-</w:t>
            </w:r>
          </w:p>
        </w:tc>
      </w:tr>
      <w:tr w:rsidR="00C82F7B" w:rsidRPr="008A51CD" w14:paraId="585A5B54" w14:textId="77777777" w:rsidTr="00C82F7B">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D6CC5B9" w14:textId="77777777" w:rsidR="00C82F7B" w:rsidRPr="008A51CD" w:rsidRDefault="00C82F7B" w:rsidP="00BA78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00EA2998"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shd w:val="clear" w:color="auto" w:fill="auto"/>
            <w:vAlign w:val="center"/>
          </w:tcPr>
          <w:p w14:paraId="324A688A" w14:textId="77777777" w:rsidR="00C82F7B" w:rsidRDefault="00C82F7B" w:rsidP="00BA78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6B993213" w14:textId="77777777" w:rsidR="00C82F7B" w:rsidRDefault="00C82F7B" w:rsidP="00BA7817">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6F22F43B" w14:textId="77777777" w:rsidR="00C82F7B" w:rsidRDefault="00C82F7B" w:rsidP="00BA7817">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2B005E44" w14:textId="77777777" w:rsidR="00C82F7B" w:rsidRPr="008A51CD" w:rsidRDefault="00C82F7B" w:rsidP="00BA78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482D20A8" w14:textId="77777777" w:rsidR="00C82F7B" w:rsidRPr="008A51CD" w:rsidRDefault="00C82F7B" w:rsidP="00BA78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064AB197" w14:textId="77777777" w:rsidR="00C82F7B" w:rsidRPr="008A51CD" w:rsidRDefault="00C82F7B" w:rsidP="00BA78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C82F7B" w:rsidRPr="008A51CD" w14:paraId="2ACFB28F" w14:textId="77777777" w:rsidTr="00C82F7B">
        <w:trPr>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D6E82F4" w14:textId="77777777" w:rsidR="00C82F7B" w:rsidRPr="008A51CD" w:rsidRDefault="00C82F7B" w:rsidP="00BA78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33A29186"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shd w:val="clear" w:color="auto" w:fill="auto"/>
            <w:vAlign w:val="center"/>
          </w:tcPr>
          <w:p w14:paraId="7EB59512" w14:textId="77777777" w:rsidR="00C82F7B" w:rsidRDefault="00C82F7B" w:rsidP="00BA7817">
            <w:pPr>
              <w:jc w:val="center"/>
            </w:pPr>
            <w:r>
              <w:rPr>
                <w:rFonts w:ascii="宋体" w:hAnsi="宋体"/>
                <w:sz w:val="18"/>
              </w:rPr>
              <w:t>171.26</w:t>
            </w:r>
          </w:p>
        </w:tc>
        <w:tc>
          <w:tcPr>
            <w:tcW w:w="1134" w:type="dxa"/>
            <w:tcBorders>
              <w:top w:val="nil"/>
              <w:left w:val="nil"/>
              <w:bottom w:val="single" w:sz="4" w:space="0" w:color="auto"/>
              <w:right w:val="single" w:sz="4" w:space="0" w:color="auto"/>
            </w:tcBorders>
            <w:shd w:val="clear" w:color="auto" w:fill="auto"/>
            <w:vAlign w:val="center"/>
          </w:tcPr>
          <w:p w14:paraId="1724DA1D" w14:textId="77777777" w:rsidR="00C82F7B" w:rsidRDefault="00C82F7B" w:rsidP="00BA7817">
            <w:pPr>
              <w:jc w:val="center"/>
            </w:pPr>
            <w:r>
              <w:rPr>
                <w:rFonts w:ascii="宋体" w:hAnsi="宋体"/>
                <w:sz w:val="18"/>
              </w:rPr>
              <w:t>236.44</w:t>
            </w:r>
          </w:p>
        </w:tc>
        <w:tc>
          <w:tcPr>
            <w:tcW w:w="2126" w:type="dxa"/>
            <w:tcBorders>
              <w:top w:val="nil"/>
              <w:left w:val="nil"/>
              <w:bottom w:val="single" w:sz="4" w:space="0" w:color="auto"/>
              <w:right w:val="single" w:sz="4" w:space="0" w:color="auto"/>
            </w:tcBorders>
            <w:shd w:val="clear" w:color="auto" w:fill="auto"/>
            <w:vAlign w:val="center"/>
          </w:tcPr>
          <w:p w14:paraId="7BD046B3" w14:textId="77777777" w:rsidR="00C82F7B" w:rsidRDefault="00C82F7B" w:rsidP="00BA7817">
            <w:pPr>
              <w:jc w:val="center"/>
            </w:pPr>
            <w:r>
              <w:rPr>
                <w:rFonts w:ascii="宋体" w:hAnsi="宋体"/>
                <w:sz w:val="18"/>
              </w:rPr>
              <w:t>222.08</w:t>
            </w:r>
          </w:p>
        </w:tc>
        <w:tc>
          <w:tcPr>
            <w:tcW w:w="1004" w:type="dxa"/>
            <w:tcBorders>
              <w:top w:val="nil"/>
              <w:left w:val="nil"/>
              <w:bottom w:val="single" w:sz="4" w:space="0" w:color="auto"/>
              <w:right w:val="single" w:sz="4" w:space="0" w:color="auto"/>
            </w:tcBorders>
            <w:shd w:val="clear" w:color="auto" w:fill="auto"/>
            <w:vAlign w:val="center"/>
            <w:hideMark/>
          </w:tcPr>
          <w:p w14:paraId="00353BC4" w14:textId="77777777" w:rsidR="00C82F7B" w:rsidRPr="008A51CD" w:rsidRDefault="00C82F7B" w:rsidP="00BA78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15426FB3" w14:textId="77777777" w:rsidR="00C82F7B" w:rsidRPr="008A51CD" w:rsidRDefault="00C82F7B" w:rsidP="00BA78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30C3E0EC" w14:textId="77777777" w:rsidR="00C82F7B" w:rsidRPr="008A51CD" w:rsidRDefault="00C82F7B" w:rsidP="00BA78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C82F7B" w:rsidRPr="008A51CD" w14:paraId="127CFED0" w14:textId="77777777" w:rsidTr="00C82F7B">
        <w:trPr>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D01CFB1" w14:textId="77777777" w:rsidR="00C82F7B" w:rsidRPr="008A51CD" w:rsidRDefault="00C82F7B" w:rsidP="00BA7817">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shd w:val="clear" w:color="auto" w:fill="auto"/>
            <w:vAlign w:val="center"/>
            <w:hideMark/>
          </w:tcPr>
          <w:p w14:paraId="4989BEE6"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shd w:val="clear" w:color="auto" w:fill="auto"/>
            <w:vAlign w:val="center"/>
          </w:tcPr>
          <w:p w14:paraId="446D524C" w14:textId="77777777" w:rsidR="00C82F7B" w:rsidRDefault="00C82F7B" w:rsidP="00BA7817">
            <w:pPr>
              <w:jc w:val="center"/>
            </w:pPr>
            <w:r>
              <w:rPr>
                <w:rFonts w:ascii="宋体" w:hAnsi="宋体"/>
                <w:sz w:val="18"/>
              </w:rPr>
              <w:t>0.00</w:t>
            </w:r>
          </w:p>
        </w:tc>
        <w:tc>
          <w:tcPr>
            <w:tcW w:w="1134" w:type="dxa"/>
            <w:tcBorders>
              <w:top w:val="nil"/>
              <w:left w:val="nil"/>
              <w:bottom w:val="single" w:sz="4" w:space="0" w:color="auto"/>
              <w:right w:val="single" w:sz="4" w:space="0" w:color="auto"/>
            </w:tcBorders>
            <w:shd w:val="clear" w:color="auto" w:fill="auto"/>
            <w:vAlign w:val="center"/>
          </w:tcPr>
          <w:p w14:paraId="30FB1829" w14:textId="77777777" w:rsidR="00C82F7B" w:rsidRDefault="00C82F7B" w:rsidP="00BA7817">
            <w:pPr>
              <w:jc w:val="center"/>
            </w:pPr>
            <w:r>
              <w:rPr>
                <w:rFonts w:ascii="宋体" w:hAnsi="宋体"/>
                <w:sz w:val="18"/>
              </w:rPr>
              <w:t>0.00</w:t>
            </w:r>
          </w:p>
        </w:tc>
        <w:tc>
          <w:tcPr>
            <w:tcW w:w="2126" w:type="dxa"/>
            <w:tcBorders>
              <w:top w:val="nil"/>
              <w:left w:val="nil"/>
              <w:bottom w:val="single" w:sz="4" w:space="0" w:color="auto"/>
              <w:right w:val="single" w:sz="4" w:space="0" w:color="auto"/>
            </w:tcBorders>
            <w:shd w:val="clear" w:color="auto" w:fill="auto"/>
            <w:vAlign w:val="center"/>
          </w:tcPr>
          <w:p w14:paraId="2BDA9B9C" w14:textId="77777777" w:rsidR="00C82F7B" w:rsidRDefault="00C82F7B" w:rsidP="00BA7817">
            <w:pPr>
              <w:jc w:val="center"/>
            </w:pPr>
            <w:r>
              <w:rPr>
                <w:rFonts w:ascii="宋体" w:hAnsi="宋体"/>
                <w:sz w:val="18"/>
              </w:rPr>
              <w:t>0.00</w:t>
            </w:r>
          </w:p>
        </w:tc>
        <w:tc>
          <w:tcPr>
            <w:tcW w:w="1004" w:type="dxa"/>
            <w:tcBorders>
              <w:top w:val="nil"/>
              <w:left w:val="nil"/>
              <w:bottom w:val="single" w:sz="4" w:space="0" w:color="auto"/>
              <w:right w:val="single" w:sz="4" w:space="0" w:color="auto"/>
            </w:tcBorders>
            <w:shd w:val="clear" w:color="auto" w:fill="auto"/>
            <w:vAlign w:val="center"/>
            <w:hideMark/>
          </w:tcPr>
          <w:p w14:paraId="7C908AC8" w14:textId="77777777" w:rsidR="00C82F7B" w:rsidRPr="008A51CD" w:rsidRDefault="00C82F7B" w:rsidP="00BA78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shd w:val="clear" w:color="auto" w:fill="auto"/>
            <w:vAlign w:val="center"/>
            <w:hideMark/>
          </w:tcPr>
          <w:p w14:paraId="50291610" w14:textId="77777777" w:rsidR="00C82F7B" w:rsidRPr="008A51CD" w:rsidRDefault="00C82F7B" w:rsidP="00BA78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shd w:val="clear" w:color="auto" w:fill="auto"/>
            <w:vAlign w:val="center"/>
            <w:hideMark/>
          </w:tcPr>
          <w:p w14:paraId="534043F2" w14:textId="77777777" w:rsidR="00C82F7B" w:rsidRPr="008A51CD" w:rsidRDefault="00C82F7B" w:rsidP="00BA7817">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r>
      <w:tr w:rsidR="00C82F7B" w:rsidRPr="008A51CD" w14:paraId="34E082A6" w14:textId="77777777" w:rsidTr="00C82F7B">
        <w:trPr>
          <w:trHeight w:val="341"/>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4838E5"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shd w:val="clear" w:color="auto" w:fill="auto"/>
            <w:noWrap/>
            <w:vAlign w:val="center"/>
            <w:hideMark/>
          </w:tcPr>
          <w:p w14:paraId="4DBB8008"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shd w:val="clear" w:color="auto" w:fill="auto"/>
            <w:noWrap/>
            <w:vAlign w:val="center"/>
            <w:hideMark/>
          </w:tcPr>
          <w:p w14:paraId="2D2BA0C1"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r>
      <w:tr w:rsidR="00C82F7B" w:rsidRPr="008A51CD" w14:paraId="3ECB048B" w14:textId="77777777" w:rsidTr="00C82F7B">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400D979" w14:textId="77777777" w:rsidR="00C82F7B" w:rsidRPr="008A51CD" w:rsidRDefault="00C82F7B" w:rsidP="00BA7817">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shd w:val="clear" w:color="auto" w:fill="auto"/>
          </w:tcPr>
          <w:p w14:paraId="4FA3AF27" w14:textId="77777777" w:rsidR="00C82F7B" w:rsidRDefault="00C82F7B" w:rsidP="00BA7817">
            <w:pPr>
              <w:jc w:val="left"/>
            </w:pPr>
            <w:r>
              <w:rPr>
                <w:rFonts w:ascii="宋体" w:hAnsi="宋体"/>
                <w:sz w:val="18"/>
              </w:rPr>
              <w:t>1、加大免费开放服务工作力度。2、组建文艺小分队，打造形式多样的文艺作品，开展丰富多彩的惠民演出，建设乡村百姓大舞台。3、加强非物质文化遗产保护利用工作，举办“非物质文化遗产”项目艺术培训班。</w:t>
            </w:r>
          </w:p>
        </w:tc>
        <w:tc>
          <w:tcPr>
            <w:tcW w:w="4689" w:type="dxa"/>
            <w:gridSpan w:val="4"/>
            <w:tcBorders>
              <w:top w:val="single" w:sz="4" w:space="0" w:color="auto"/>
              <w:left w:val="nil"/>
              <w:bottom w:val="single" w:sz="4" w:space="0" w:color="auto"/>
              <w:right w:val="single" w:sz="4" w:space="0" w:color="auto"/>
            </w:tcBorders>
            <w:shd w:val="clear" w:color="auto" w:fill="auto"/>
          </w:tcPr>
          <w:p w14:paraId="55834DD9" w14:textId="77777777" w:rsidR="00C82F7B" w:rsidRDefault="00C82F7B" w:rsidP="00BA7817">
            <w:pPr>
              <w:jc w:val="left"/>
            </w:pPr>
            <w:r>
              <w:rPr>
                <w:rFonts w:ascii="宋体" w:hAnsi="宋体"/>
                <w:sz w:val="18"/>
              </w:rPr>
              <w:t>2023年米东区文化馆坚持以习近平新时代中国特色社会主义思想为指导，深入学习贯彻党的二十大精神，完整准确全面贯彻新时代党</w:t>
            </w:r>
            <w:proofErr w:type="gramStart"/>
            <w:r>
              <w:rPr>
                <w:rFonts w:ascii="宋体" w:hAnsi="宋体"/>
                <w:sz w:val="18"/>
              </w:rPr>
              <w:t>的治疆方略</w:t>
            </w:r>
            <w:proofErr w:type="gramEnd"/>
            <w:r>
              <w:rPr>
                <w:rFonts w:ascii="宋体" w:hAnsi="宋体"/>
                <w:sz w:val="18"/>
              </w:rPr>
              <w:t>，全面落实自治区党委、市委关于文化</w:t>
            </w:r>
            <w:proofErr w:type="gramStart"/>
            <w:r>
              <w:rPr>
                <w:rFonts w:ascii="宋体" w:hAnsi="宋体"/>
                <w:sz w:val="18"/>
              </w:rPr>
              <w:t>润疆工程进</w:t>
            </w:r>
            <w:proofErr w:type="gramEnd"/>
            <w:r>
              <w:rPr>
                <w:rFonts w:ascii="宋体" w:hAnsi="宋体"/>
                <w:sz w:val="18"/>
              </w:rPr>
              <w:t>基层的相关部署，在米东区文化体育广播电视和旅游局的领导下，持续夯实文化阵地建设，坚持以人民为主体、热在基层、乐在群众，以文化活动为主线，充分发挥文化培根铸魂、凝心聚力作用，不断健全现代公共文化服务体系，创新实施文化惠民工程，传承弘扬中华优秀传统文化，积极培育文艺骨干，激活基层文化资源，创新活动载体和活动内容，以高质量文化供给增强米东区各族群众的获得感和幸福感。1、推进公共文化事业发展，扎实做好免费开放工作。米东区文化馆现有免费开放场馆9间，面积480平米，各类文艺团队22支，积极配合助力文化馆惠民演出工作，全年开展文化惠民活动103场，惠及群众25.5万余人。2、非物质文化遗产活态化传承，助力乡村振兴。目前米东区国家级非物质文化遗产项目1项（新疆花儿），自治区级非</w:t>
            </w:r>
            <w:proofErr w:type="gramStart"/>
            <w:r>
              <w:rPr>
                <w:rFonts w:ascii="宋体" w:hAnsi="宋体"/>
                <w:sz w:val="18"/>
              </w:rPr>
              <w:t>遗项目</w:t>
            </w:r>
            <w:proofErr w:type="gramEnd"/>
            <w:r>
              <w:rPr>
                <w:rFonts w:ascii="宋体" w:hAnsi="宋体"/>
                <w:sz w:val="18"/>
              </w:rPr>
              <w:t>2项（汉族刺绣，回族刺绣），乌鲁木齐市级非</w:t>
            </w:r>
            <w:proofErr w:type="gramStart"/>
            <w:r>
              <w:rPr>
                <w:rFonts w:ascii="宋体" w:hAnsi="宋体"/>
                <w:sz w:val="18"/>
              </w:rPr>
              <w:t>遗项目</w:t>
            </w:r>
            <w:proofErr w:type="gramEnd"/>
            <w:r>
              <w:rPr>
                <w:rFonts w:ascii="宋体" w:hAnsi="宋体"/>
                <w:sz w:val="18"/>
              </w:rPr>
              <w:t>8项（铁尔麦、阿依特斯、回族服饰、哈萨克刺绣、社火、蛋雕、彩鞠艺术、葫芦雕刻），米东区级非</w:t>
            </w:r>
            <w:proofErr w:type="gramStart"/>
            <w:r>
              <w:rPr>
                <w:rFonts w:ascii="宋体" w:hAnsi="宋体"/>
                <w:sz w:val="18"/>
              </w:rPr>
              <w:t>遗项目</w:t>
            </w:r>
            <w:proofErr w:type="gramEnd"/>
            <w:r>
              <w:rPr>
                <w:rFonts w:ascii="宋体" w:hAnsi="宋体"/>
                <w:sz w:val="18"/>
              </w:rPr>
              <w:t>8项（肚脐外敷养生丸等）。3、2023年共举办2023年“深入学习贯彻落实党的二十大精神”书画作品展暨乡镇（街道）巡回展、“庆丰收促和美”中国农民丰收节展演活动“绘丰收”农民画展示、“百场书画展”等惠民展示活动37场次，出自米东区近百名书画家之手的书法、国画、农民画、年画、儿童画、雕塑等七大类5210幅美术作品在街道（乡镇）、社区（村）、企业和学校展览展示，作品充分展现新时代米东自然之美、人文之美的独特画卷，助力实施乡村振兴战略，以文艺形式学习宣传党的二十大精神，弘扬时代主旋律，展览惠及群众52600余人。2023年共举办书画培训班64期，国画培训班32期，学员160人次；书法培训班32期，学员120人次，通过培训使米东书画爱好者开阔了眼界，提高书画创作技能。4、积极“请进来”，主动“走出去”，开展</w:t>
            </w:r>
            <w:proofErr w:type="gramStart"/>
            <w:r>
              <w:rPr>
                <w:rFonts w:ascii="宋体" w:hAnsi="宋体"/>
                <w:sz w:val="18"/>
              </w:rPr>
              <w:t>研</w:t>
            </w:r>
            <w:proofErr w:type="gramEnd"/>
            <w:r>
              <w:rPr>
                <w:rFonts w:ascii="宋体" w:hAnsi="宋体"/>
                <w:sz w:val="18"/>
              </w:rPr>
              <w:t>学、人才培养、文化交流，加大文艺交流合作力度，为拓宽专业人员文化视野和业务素质搭建平台。建立与市艺术院团、疆内外艺术机构合作交流机制，组织举办大型音乐节、音乐会，引进音乐会、演唱</w:t>
            </w:r>
            <w:r>
              <w:rPr>
                <w:rFonts w:ascii="宋体" w:hAnsi="宋体"/>
                <w:sz w:val="18"/>
              </w:rPr>
              <w:lastRenderedPageBreak/>
              <w:t>会、歌舞剧、儿童剧等文化艺术剧目，依</w:t>
            </w:r>
            <w:proofErr w:type="gramStart"/>
            <w:r>
              <w:rPr>
                <w:rFonts w:ascii="宋体" w:hAnsi="宋体"/>
                <w:sz w:val="18"/>
              </w:rPr>
              <w:t>托盘龙</w:t>
            </w:r>
            <w:proofErr w:type="gramEnd"/>
            <w:r>
              <w:rPr>
                <w:rFonts w:ascii="宋体" w:hAnsi="宋体"/>
                <w:sz w:val="18"/>
              </w:rPr>
              <w:t>影院、</w:t>
            </w:r>
            <w:proofErr w:type="gramStart"/>
            <w:r>
              <w:rPr>
                <w:rFonts w:ascii="宋体" w:hAnsi="宋体"/>
                <w:sz w:val="18"/>
              </w:rPr>
              <w:t>吾悦广场</w:t>
            </w:r>
            <w:proofErr w:type="gramEnd"/>
            <w:r>
              <w:rPr>
                <w:rFonts w:ascii="宋体" w:hAnsi="宋体"/>
                <w:sz w:val="18"/>
              </w:rPr>
              <w:t>等场馆，引进“环球梦幻”马戏表演、儿童剧《冰雪奇缘》、《美人鱼》等以及木偶剧《神奇之旅》共计5部剧目，将丰富多彩的文化内容有机融入文艺演出，不断增强各民族对中华文化的认同，打造出贴近群众的米东特色文化品牌活动。</w:t>
            </w:r>
          </w:p>
        </w:tc>
      </w:tr>
      <w:tr w:rsidR="00C82F7B" w:rsidRPr="008A51CD" w14:paraId="5E39A810" w14:textId="77777777" w:rsidTr="00C82F7B">
        <w:trPr>
          <w:trHeight w:val="716"/>
        </w:trPr>
        <w:tc>
          <w:tcPr>
            <w:tcW w:w="99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7A1C92"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lastRenderedPageBreak/>
              <w:t>一级指标</w:t>
            </w:r>
          </w:p>
        </w:tc>
        <w:tc>
          <w:tcPr>
            <w:tcW w:w="1417" w:type="dxa"/>
            <w:tcBorders>
              <w:top w:val="nil"/>
              <w:left w:val="nil"/>
              <w:bottom w:val="single" w:sz="4" w:space="0" w:color="auto"/>
              <w:right w:val="single" w:sz="4" w:space="0" w:color="auto"/>
            </w:tcBorders>
            <w:shd w:val="clear" w:color="auto" w:fill="auto"/>
            <w:vAlign w:val="center"/>
            <w:hideMark/>
          </w:tcPr>
          <w:p w14:paraId="20A6B8E0"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shd w:val="clear" w:color="auto" w:fill="auto"/>
            <w:vAlign w:val="center"/>
            <w:hideMark/>
          </w:tcPr>
          <w:p w14:paraId="370F26D1"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shd w:val="clear" w:color="auto" w:fill="auto"/>
            <w:vAlign w:val="center"/>
            <w:hideMark/>
          </w:tcPr>
          <w:p w14:paraId="5B50F7AA"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shd w:val="clear" w:color="auto" w:fill="auto"/>
            <w:vAlign w:val="center"/>
            <w:hideMark/>
          </w:tcPr>
          <w:p w14:paraId="4C3A297F"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shd w:val="clear" w:color="auto" w:fill="auto"/>
            <w:vAlign w:val="center"/>
            <w:hideMark/>
          </w:tcPr>
          <w:p w14:paraId="6E56C6D3"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shd w:val="clear" w:color="auto" w:fill="auto"/>
            <w:vAlign w:val="center"/>
            <w:hideMark/>
          </w:tcPr>
          <w:p w14:paraId="121676C1"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shd w:val="clear" w:color="auto" w:fill="auto"/>
            <w:vAlign w:val="center"/>
            <w:hideMark/>
          </w:tcPr>
          <w:p w14:paraId="02D68563" w14:textId="77777777" w:rsidR="00C82F7B" w:rsidRPr="008A51CD" w:rsidRDefault="00C82F7B" w:rsidP="00BA7817">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r>
      <w:tr w:rsidR="00C82F7B" w:rsidRPr="008A51CD" w14:paraId="24464549" w14:textId="77777777" w:rsidTr="00C82F7B">
        <w:trPr>
          <w:trHeight w:val="740"/>
        </w:trPr>
        <w:tc>
          <w:tcPr>
            <w:tcW w:w="993"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14:paraId="64F153A3" w14:textId="77777777" w:rsidR="00C82F7B" w:rsidRDefault="00C82F7B" w:rsidP="00BA7817">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shd w:val="clear" w:color="auto" w:fill="auto"/>
            <w:noWrap/>
            <w:vAlign w:val="center"/>
          </w:tcPr>
          <w:p w14:paraId="19228EA6" w14:textId="77777777" w:rsidR="00C82F7B" w:rsidRDefault="00C82F7B" w:rsidP="00BA7817">
            <w:pPr>
              <w:jc w:val="center"/>
            </w:pPr>
            <w:r>
              <w:rPr>
                <w:rFonts w:ascii="宋体" w:hAnsi="宋体"/>
                <w:sz w:val="18"/>
              </w:rPr>
              <w:t>数量指标</w:t>
            </w:r>
          </w:p>
        </w:tc>
        <w:tc>
          <w:tcPr>
            <w:tcW w:w="1418" w:type="dxa"/>
            <w:tcBorders>
              <w:top w:val="nil"/>
              <w:left w:val="nil"/>
              <w:bottom w:val="single" w:sz="4" w:space="0" w:color="auto"/>
              <w:right w:val="single" w:sz="4" w:space="0" w:color="auto"/>
            </w:tcBorders>
            <w:shd w:val="clear" w:color="auto" w:fill="auto"/>
            <w:noWrap/>
            <w:vAlign w:val="center"/>
          </w:tcPr>
          <w:p w14:paraId="5DC74880" w14:textId="77777777" w:rsidR="00C82F7B" w:rsidRDefault="00C82F7B" w:rsidP="00BA7817">
            <w:pPr>
              <w:jc w:val="center"/>
            </w:pPr>
            <w:r>
              <w:rPr>
                <w:rFonts w:ascii="宋体" w:hAnsi="宋体"/>
                <w:sz w:val="18"/>
              </w:rPr>
              <w:t>全年开展惠民演出活动场次</w:t>
            </w:r>
          </w:p>
        </w:tc>
        <w:tc>
          <w:tcPr>
            <w:tcW w:w="1134" w:type="dxa"/>
            <w:tcBorders>
              <w:top w:val="nil"/>
              <w:left w:val="nil"/>
              <w:bottom w:val="single" w:sz="4" w:space="0" w:color="auto"/>
              <w:right w:val="single" w:sz="4" w:space="0" w:color="auto"/>
            </w:tcBorders>
            <w:shd w:val="clear" w:color="auto" w:fill="auto"/>
            <w:noWrap/>
            <w:vAlign w:val="center"/>
          </w:tcPr>
          <w:p w14:paraId="41353A4E" w14:textId="77777777" w:rsidR="00C82F7B" w:rsidRDefault="00C82F7B" w:rsidP="00BA7817">
            <w:pPr>
              <w:jc w:val="center"/>
            </w:pPr>
            <w:r>
              <w:rPr>
                <w:rFonts w:ascii="宋体" w:hAnsi="宋体"/>
                <w:sz w:val="18"/>
              </w:rPr>
              <w:t>&gt;=100场次</w:t>
            </w:r>
          </w:p>
        </w:tc>
        <w:tc>
          <w:tcPr>
            <w:tcW w:w="2126" w:type="dxa"/>
            <w:tcBorders>
              <w:top w:val="nil"/>
              <w:left w:val="nil"/>
              <w:bottom w:val="single" w:sz="4" w:space="0" w:color="auto"/>
              <w:right w:val="single" w:sz="4" w:space="0" w:color="auto"/>
            </w:tcBorders>
            <w:shd w:val="clear" w:color="auto" w:fill="auto"/>
            <w:noWrap/>
            <w:vAlign w:val="center"/>
          </w:tcPr>
          <w:p w14:paraId="320A9A14" w14:textId="77777777" w:rsidR="00C82F7B" w:rsidRDefault="00C82F7B" w:rsidP="00BA7817">
            <w:pPr>
              <w:jc w:val="center"/>
            </w:pPr>
            <w:r>
              <w:rPr>
                <w:rFonts w:ascii="宋体" w:hAnsi="宋体"/>
                <w:sz w:val="18"/>
              </w:rPr>
              <w:t>2023年工作计划</w:t>
            </w:r>
          </w:p>
        </w:tc>
        <w:tc>
          <w:tcPr>
            <w:tcW w:w="1004" w:type="dxa"/>
            <w:tcBorders>
              <w:top w:val="nil"/>
              <w:left w:val="nil"/>
              <w:bottom w:val="single" w:sz="4" w:space="0" w:color="auto"/>
              <w:right w:val="single" w:sz="4" w:space="0" w:color="auto"/>
            </w:tcBorders>
            <w:shd w:val="clear" w:color="auto" w:fill="auto"/>
            <w:noWrap/>
            <w:vAlign w:val="center"/>
          </w:tcPr>
          <w:p w14:paraId="5BC5BFA4" w14:textId="77777777" w:rsidR="00C82F7B" w:rsidRDefault="00C82F7B" w:rsidP="00BA7817">
            <w:pPr>
              <w:jc w:val="center"/>
            </w:pPr>
            <w:r>
              <w:rPr>
                <w:rFonts w:ascii="宋体" w:hAnsi="宋体"/>
                <w:sz w:val="18"/>
              </w:rPr>
              <w:t>103场次</w:t>
            </w:r>
          </w:p>
        </w:tc>
        <w:tc>
          <w:tcPr>
            <w:tcW w:w="839" w:type="dxa"/>
            <w:tcBorders>
              <w:top w:val="nil"/>
              <w:left w:val="nil"/>
              <w:bottom w:val="single" w:sz="4" w:space="0" w:color="auto"/>
              <w:right w:val="single" w:sz="4" w:space="0" w:color="auto"/>
            </w:tcBorders>
            <w:shd w:val="clear" w:color="auto" w:fill="auto"/>
            <w:noWrap/>
            <w:vAlign w:val="center"/>
          </w:tcPr>
          <w:p w14:paraId="4C55D044" w14:textId="77777777" w:rsidR="00C82F7B" w:rsidRDefault="00C82F7B" w:rsidP="00BA7817">
            <w:pPr>
              <w:jc w:val="center"/>
            </w:pPr>
            <w:r>
              <w:rPr>
                <w:rFonts w:ascii="宋体" w:hAnsi="宋体"/>
                <w:sz w:val="18"/>
              </w:rPr>
              <w:t>50</w:t>
            </w:r>
          </w:p>
        </w:tc>
        <w:tc>
          <w:tcPr>
            <w:tcW w:w="720" w:type="dxa"/>
            <w:tcBorders>
              <w:top w:val="nil"/>
              <w:left w:val="nil"/>
              <w:bottom w:val="single" w:sz="4" w:space="0" w:color="auto"/>
              <w:right w:val="single" w:sz="4" w:space="0" w:color="auto"/>
            </w:tcBorders>
            <w:shd w:val="clear" w:color="auto" w:fill="auto"/>
            <w:noWrap/>
            <w:vAlign w:val="center"/>
          </w:tcPr>
          <w:p w14:paraId="1323AACE" w14:textId="77777777" w:rsidR="00C82F7B" w:rsidRDefault="00C82F7B" w:rsidP="00BA7817">
            <w:pPr>
              <w:jc w:val="center"/>
            </w:pPr>
            <w:r>
              <w:rPr>
                <w:rFonts w:ascii="宋体" w:hAnsi="宋体"/>
                <w:sz w:val="18"/>
              </w:rPr>
              <w:t>50</w:t>
            </w:r>
          </w:p>
        </w:tc>
      </w:tr>
      <w:tr w:rsidR="00C82F7B" w:rsidRPr="008A51CD" w14:paraId="6E3F81B8" w14:textId="77777777" w:rsidTr="00C82F7B">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36DCD451" w14:textId="77777777" w:rsidR="00C82F7B" w:rsidRPr="008A51CD" w:rsidRDefault="00C82F7B" w:rsidP="00BA781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50C9F640" w14:textId="77777777" w:rsidR="00C82F7B" w:rsidRPr="008A51CD" w:rsidRDefault="00C82F7B" w:rsidP="00BA781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EF8D262" w14:textId="77777777" w:rsidR="00C82F7B" w:rsidRDefault="00C82F7B" w:rsidP="00BA7817">
            <w:pPr>
              <w:jc w:val="center"/>
            </w:pPr>
            <w:r>
              <w:rPr>
                <w:rFonts w:ascii="宋体" w:hAnsi="宋体"/>
                <w:sz w:val="18"/>
              </w:rPr>
              <w:t>举办“非物质文化遗产”项目培训班场次</w:t>
            </w:r>
          </w:p>
        </w:tc>
        <w:tc>
          <w:tcPr>
            <w:tcW w:w="1134" w:type="dxa"/>
            <w:tcBorders>
              <w:top w:val="nil"/>
              <w:left w:val="nil"/>
              <w:bottom w:val="single" w:sz="4" w:space="0" w:color="auto"/>
              <w:right w:val="single" w:sz="4" w:space="0" w:color="auto"/>
            </w:tcBorders>
            <w:shd w:val="clear" w:color="auto" w:fill="auto"/>
            <w:noWrap/>
            <w:vAlign w:val="center"/>
          </w:tcPr>
          <w:p w14:paraId="5AABF156" w14:textId="77777777" w:rsidR="00C82F7B" w:rsidRDefault="00C82F7B" w:rsidP="00BA7817">
            <w:pPr>
              <w:jc w:val="center"/>
            </w:pPr>
            <w:r>
              <w:rPr>
                <w:rFonts w:ascii="宋体" w:hAnsi="宋体"/>
                <w:sz w:val="18"/>
              </w:rPr>
              <w:t>&gt;=5场次</w:t>
            </w:r>
          </w:p>
        </w:tc>
        <w:tc>
          <w:tcPr>
            <w:tcW w:w="2126" w:type="dxa"/>
            <w:tcBorders>
              <w:top w:val="nil"/>
              <w:left w:val="nil"/>
              <w:bottom w:val="single" w:sz="4" w:space="0" w:color="auto"/>
              <w:right w:val="single" w:sz="4" w:space="0" w:color="auto"/>
            </w:tcBorders>
            <w:shd w:val="clear" w:color="auto" w:fill="auto"/>
            <w:noWrap/>
            <w:vAlign w:val="center"/>
          </w:tcPr>
          <w:p w14:paraId="11565446" w14:textId="77777777" w:rsidR="00C82F7B" w:rsidRDefault="00C82F7B" w:rsidP="00BA7817">
            <w:pPr>
              <w:jc w:val="center"/>
            </w:pPr>
            <w:r>
              <w:rPr>
                <w:rFonts w:ascii="宋体" w:hAnsi="宋体"/>
                <w:sz w:val="18"/>
              </w:rPr>
              <w:t>2023年工作计划</w:t>
            </w:r>
          </w:p>
        </w:tc>
        <w:tc>
          <w:tcPr>
            <w:tcW w:w="1004" w:type="dxa"/>
            <w:tcBorders>
              <w:top w:val="nil"/>
              <w:left w:val="nil"/>
              <w:bottom w:val="single" w:sz="4" w:space="0" w:color="auto"/>
              <w:right w:val="single" w:sz="4" w:space="0" w:color="auto"/>
            </w:tcBorders>
            <w:shd w:val="clear" w:color="auto" w:fill="auto"/>
            <w:noWrap/>
            <w:vAlign w:val="center"/>
          </w:tcPr>
          <w:p w14:paraId="37EBC7B7" w14:textId="77777777" w:rsidR="00C82F7B" w:rsidRDefault="00C82F7B" w:rsidP="00BA7817">
            <w:pPr>
              <w:jc w:val="center"/>
            </w:pPr>
            <w:r>
              <w:rPr>
                <w:rFonts w:ascii="宋体" w:hAnsi="宋体"/>
                <w:sz w:val="18"/>
              </w:rPr>
              <w:t>10场次</w:t>
            </w:r>
          </w:p>
        </w:tc>
        <w:tc>
          <w:tcPr>
            <w:tcW w:w="839" w:type="dxa"/>
            <w:tcBorders>
              <w:top w:val="nil"/>
              <w:left w:val="nil"/>
              <w:bottom w:val="single" w:sz="4" w:space="0" w:color="auto"/>
              <w:right w:val="single" w:sz="4" w:space="0" w:color="auto"/>
            </w:tcBorders>
            <w:shd w:val="clear" w:color="auto" w:fill="auto"/>
            <w:noWrap/>
            <w:vAlign w:val="center"/>
          </w:tcPr>
          <w:p w14:paraId="6B59797D" w14:textId="77777777" w:rsidR="00C82F7B" w:rsidRDefault="00C82F7B" w:rsidP="00BA7817">
            <w:pPr>
              <w:jc w:val="center"/>
            </w:pPr>
            <w:r>
              <w:rPr>
                <w:rFonts w:ascii="宋体" w:hAnsi="宋体"/>
                <w:sz w:val="18"/>
              </w:rPr>
              <w:t>30</w:t>
            </w:r>
          </w:p>
        </w:tc>
        <w:tc>
          <w:tcPr>
            <w:tcW w:w="720" w:type="dxa"/>
            <w:tcBorders>
              <w:top w:val="nil"/>
              <w:left w:val="nil"/>
              <w:bottom w:val="single" w:sz="4" w:space="0" w:color="auto"/>
              <w:right w:val="single" w:sz="4" w:space="0" w:color="auto"/>
            </w:tcBorders>
            <w:shd w:val="clear" w:color="auto" w:fill="auto"/>
            <w:noWrap/>
            <w:vAlign w:val="center"/>
          </w:tcPr>
          <w:p w14:paraId="6296B196" w14:textId="77777777" w:rsidR="00C82F7B" w:rsidRDefault="00C82F7B" w:rsidP="00BA7817">
            <w:pPr>
              <w:jc w:val="center"/>
            </w:pPr>
            <w:r>
              <w:rPr>
                <w:rFonts w:ascii="宋体" w:hAnsi="宋体"/>
                <w:sz w:val="18"/>
              </w:rPr>
              <w:t>30</w:t>
            </w:r>
          </w:p>
        </w:tc>
      </w:tr>
      <w:tr w:rsidR="00C82F7B" w:rsidRPr="008A51CD" w14:paraId="63572D8B" w14:textId="77777777" w:rsidTr="00C82F7B">
        <w:trPr>
          <w:trHeight w:val="740"/>
        </w:trPr>
        <w:tc>
          <w:tcPr>
            <w:tcW w:w="993" w:type="dxa"/>
            <w:vMerge/>
            <w:tcBorders>
              <w:top w:val="single" w:sz="4" w:space="0" w:color="auto"/>
              <w:left w:val="single" w:sz="4" w:space="0" w:color="auto"/>
              <w:bottom w:val="single" w:sz="4" w:space="0" w:color="auto"/>
              <w:right w:val="single" w:sz="4" w:space="0" w:color="auto"/>
            </w:tcBorders>
            <w:shd w:val="clear" w:color="auto" w:fill="auto"/>
            <w:noWrap/>
            <w:vAlign w:val="center"/>
          </w:tcPr>
          <w:p w14:paraId="1560694E" w14:textId="77777777" w:rsidR="00C82F7B" w:rsidRPr="008A51CD" w:rsidRDefault="00C82F7B" w:rsidP="00BA7817">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shd w:val="clear" w:color="auto" w:fill="auto"/>
            <w:noWrap/>
            <w:vAlign w:val="center"/>
          </w:tcPr>
          <w:p w14:paraId="2EB499BF" w14:textId="77777777" w:rsidR="00C82F7B" w:rsidRPr="008A51CD" w:rsidRDefault="00C82F7B" w:rsidP="00BA7817">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shd w:val="clear" w:color="auto" w:fill="auto"/>
            <w:noWrap/>
            <w:vAlign w:val="center"/>
          </w:tcPr>
          <w:p w14:paraId="617B0801" w14:textId="77777777" w:rsidR="00C82F7B" w:rsidRDefault="00C82F7B" w:rsidP="00BA7817">
            <w:pPr>
              <w:jc w:val="center"/>
            </w:pPr>
            <w:r>
              <w:rPr>
                <w:rFonts w:ascii="宋体" w:hAnsi="宋体"/>
                <w:sz w:val="18"/>
              </w:rPr>
              <w:t>举办“非遗展”活动场次</w:t>
            </w:r>
          </w:p>
        </w:tc>
        <w:tc>
          <w:tcPr>
            <w:tcW w:w="1134" w:type="dxa"/>
            <w:tcBorders>
              <w:top w:val="nil"/>
              <w:left w:val="nil"/>
              <w:bottom w:val="single" w:sz="4" w:space="0" w:color="auto"/>
              <w:right w:val="single" w:sz="4" w:space="0" w:color="auto"/>
            </w:tcBorders>
            <w:shd w:val="clear" w:color="auto" w:fill="auto"/>
            <w:noWrap/>
            <w:vAlign w:val="center"/>
          </w:tcPr>
          <w:p w14:paraId="47EF037A" w14:textId="77777777" w:rsidR="00C82F7B" w:rsidRDefault="00C82F7B" w:rsidP="00BA7817">
            <w:pPr>
              <w:jc w:val="center"/>
            </w:pPr>
            <w:r>
              <w:rPr>
                <w:rFonts w:ascii="宋体" w:hAnsi="宋体"/>
                <w:sz w:val="18"/>
              </w:rPr>
              <w:t>&gt;=1场次</w:t>
            </w:r>
          </w:p>
        </w:tc>
        <w:tc>
          <w:tcPr>
            <w:tcW w:w="2126" w:type="dxa"/>
            <w:tcBorders>
              <w:top w:val="nil"/>
              <w:left w:val="nil"/>
              <w:bottom w:val="single" w:sz="4" w:space="0" w:color="auto"/>
              <w:right w:val="single" w:sz="4" w:space="0" w:color="auto"/>
            </w:tcBorders>
            <w:shd w:val="clear" w:color="auto" w:fill="auto"/>
            <w:noWrap/>
            <w:vAlign w:val="center"/>
          </w:tcPr>
          <w:p w14:paraId="3765357D" w14:textId="77777777" w:rsidR="00C82F7B" w:rsidRDefault="00C82F7B" w:rsidP="00BA7817">
            <w:pPr>
              <w:jc w:val="center"/>
            </w:pPr>
            <w:r>
              <w:rPr>
                <w:rFonts w:ascii="宋体" w:hAnsi="宋体"/>
                <w:sz w:val="18"/>
              </w:rPr>
              <w:t>2023年工作计划</w:t>
            </w:r>
          </w:p>
        </w:tc>
        <w:tc>
          <w:tcPr>
            <w:tcW w:w="1004" w:type="dxa"/>
            <w:tcBorders>
              <w:top w:val="nil"/>
              <w:left w:val="nil"/>
              <w:bottom w:val="single" w:sz="4" w:space="0" w:color="auto"/>
              <w:right w:val="single" w:sz="4" w:space="0" w:color="auto"/>
            </w:tcBorders>
            <w:shd w:val="clear" w:color="auto" w:fill="auto"/>
            <w:noWrap/>
            <w:vAlign w:val="center"/>
          </w:tcPr>
          <w:p w14:paraId="40C1D1E7" w14:textId="77777777" w:rsidR="00C82F7B" w:rsidRDefault="00C82F7B" w:rsidP="00BA7817">
            <w:pPr>
              <w:jc w:val="center"/>
            </w:pPr>
            <w:r>
              <w:rPr>
                <w:rFonts w:ascii="宋体" w:hAnsi="宋体"/>
                <w:sz w:val="18"/>
              </w:rPr>
              <w:t>13场次</w:t>
            </w:r>
          </w:p>
        </w:tc>
        <w:tc>
          <w:tcPr>
            <w:tcW w:w="839" w:type="dxa"/>
            <w:tcBorders>
              <w:top w:val="nil"/>
              <w:left w:val="nil"/>
              <w:bottom w:val="single" w:sz="4" w:space="0" w:color="auto"/>
              <w:right w:val="single" w:sz="4" w:space="0" w:color="auto"/>
            </w:tcBorders>
            <w:shd w:val="clear" w:color="auto" w:fill="auto"/>
            <w:noWrap/>
            <w:vAlign w:val="center"/>
          </w:tcPr>
          <w:p w14:paraId="669E6E6C" w14:textId="77777777" w:rsidR="00C82F7B" w:rsidRDefault="00C82F7B" w:rsidP="00BA7817">
            <w:pPr>
              <w:jc w:val="center"/>
            </w:pPr>
            <w:r>
              <w:rPr>
                <w:rFonts w:ascii="宋体" w:hAnsi="宋体"/>
                <w:sz w:val="18"/>
              </w:rPr>
              <w:t>10</w:t>
            </w:r>
          </w:p>
        </w:tc>
        <w:tc>
          <w:tcPr>
            <w:tcW w:w="720" w:type="dxa"/>
            <w:tcBorders>
              <w:top w:val="nil"/>
              <w:left w:val="nil"/>
              <w:bottom w:val="single" w:sz="4" w:space="0" w:color="auto"/>
              <w:right w:val="single" w:sz="4" w:space="0" w:color="auto"/>
            </w:tcBorders>
            <w:shd w:val="clear" w:color="auto" w:fill="auto"/>
            <w:noWrap/>
            <w:vAlign w:val="center"/>
          </w:tcPr>
          <w:p w14:paraId="66FF0777" w14:textId="77777777" w:rsidR="00C82F7B" w:rsidRDefault="00C82F7B" w:rsidP="00BA7817">
            <w:pPr>
              <w:jc w:val="center"/>
            </w:pPr>
            <w:r>
              <w:rPr>
                <w:rFonts w:ascii="宋体" w:hAnsi="宋体"/>
                <w:sz w:val="18"/>
              </w:rPr>
              <w:t>10</w:t>
            </w:r>
          </w:p>
        </w:tc>
      </w:tr>
      <w:tr w:rsidR="00C82F7B" w:rsidRPr="008A51CD" w14:paraId="68ED9E5A" w14:textId="77777777" w:rsidTr="00C82F7B">
        <w:trPr>
          <w:trHeight w:val="740"/>
        </w:trPr>
        <w:tc>
          <w:tcPr>
            <w:tcW w:w="8092" w:type="dxa"/>
            <w:gridSpan w:val="6"/>
            <w:tcBorders>
              <w:top w:val="single" w:sz="4" w:space="0" w:color="auto"/>
              <w:left w:val="single" w:sz="4" w:space="0" w:color="auto"/>
              <w:bottom w:val="single" w:sz="4" w:space="0" w:color="auto"/>
              <w:right w:val="single" w:sz="4" w:space="0" w:color="auto"/>
            </w:tcBorders>
            <w:shd w:val="clear" w:color="auto" w:fill="auto"/>
            <w:noWrap/>
            <w:vAlign w:val="center"/>
          </w:tcPr>
          <w:p w14:paraId="227B25AF" w14:textId="77777777" w:rsidR="00C82F7B" w:rsidRDefault="00C82F7B" w:rsidP="00BA7817">
            <w:pPr>
              <w:jc w:val="center"/>
            </w:pPr>
            <w:r>
              <w:rPr>
                <w:rFonts w:ascii="宋体" w:hAnsi="宋体"/>
                <w:sz w:val="18"/>
              </w:rPr>
              <w:t>总分</w:t>
            </w:r>
          </w:p>
        </w:tc>
        <w:tc>
          <w:tcPr>
            <w:tcW w:w="839" w:type="dxa"/>
            <w:tcBorders>
              <w:top w:val="nil"/>
              <w:left w:val="nil"/>
              <w:bottom w:val="single" w:sz="4" w:space="0" w:color="auto"/>
              <w:right w:val="single" w:sz="4" w:space="0" w:color="auto"/>
            </w:tcBorders>
            <w:shd w:val="clear" w:color="auto" w:fill="auto"/>
            <w:noWrap/>
            <w:vAlign w:val="center"/>
          </w:tcPr>
          <w:p w14:paraId="69616B89" w14:textId="77777777" w:rsidR="00C82F7B" w:rsidRDefault="00C82F7B" w:rsidP="00BA7817">
            <w:pPr>
              <w:jc w:val="center"/>
            </w:pPr>
            <w:r>
              <w:rPr>
                <w:rFonts w:ascii="宋体" w:hAnsi="宋体"/>
                <w:sz w:val="18"/>
              </w:rPr>
              <w:t>100</w:t>
            </w:r>
          </w:p>
        </w:tc>
        <w:tc>
          <w:tcPr>
            <w:tcW w:w="720" w:type="dxa"/>
            <w:tcBorders>
              <w:top w:val="nil"/>
              <w:left w:val="nil"/>
              <w:bottom w:val="single" w:sz="4" w:space="0" w:color="auto"/>
              <w:right w:val="single" w:sz="4" w:space="0" w:color="auto"/>
            </w:tcBorders>
            <w:shd w:val="clear" w:color="auto" w:fill="auto"/>
            <w:noWrap/>
            <w:vAlign w:val="center"/>
          </w:tcPr>
          <w:p w14:paraId="5967531D" w14:textId="77777777" w:rsidR="00C82F7B" w:rsidRDefault="00C82F7B" w:rsidP="00BA7817">
            <w:pPr>
              <w:jc w:val="center"/>
            </w:pPr>
            <w:r>
              <w:rPr>
                <w:rFonts w:ascii="宋体" w:hAnsi="宋体"/>
                <w:sz w:val="18"/>
              </w:rPr>
              <w:t>99.43分</w:t>
            </w:r>
          </w:p>
        </w:tc>
      </w:tr>
    </w:tbl>
    <w:p w14:paraId="337F5FCA" w14:textId="77777777" w:rsidR="0040651A"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388A92B6" w14:textId="28E1DFB8" w:rsidR="0040651A" w:rsidRDefault="00B03E2C" w:rsidP="00C82F7B">
      <w:pPr>
        <w:ind w:firstLineChars="200" w:firstLine="640"/>
        <w:rPr>
          <w:rFonts w:ascii="仿宋_GB2312" w:eastAsia="仿宋_GB2312" w:hAnsi="仿宋_GB2312" w:cs="仿宋_GB2312" w:hint="eastAsia"/>
          <w:kern w:val="0"/>
          <w:sz w:val="32"/>
          <w:szCs w:val="32"/>
        </w:rPr>
      </w:pPr>
      <w:r w:rsidRPr="00B03E2C">
        <w:rPr>
          <w:rFonts w:ascii="仿宋_GB2312" w:eastAsia="仿宋_GB2312" w:hAnsi="仿宋_GB2312" w:cs="仿宋_GB2312" w:hint="eastAsia"/>
          <w:kern w:val="0"/>
          <w:sz w:val="32"/>
          <w:szCs w:val="32"/>
        </w:rPr>
        <w:t>我单位本年资金紧张未购买办公用品及设备。因此政府采购金额支出为0.00万元。其中授予中小企业合同金额、授予小</w:t>
      </w:r>
      <w:proofErr w:type="gramStart"/>
      <w:r w:rsidRPr="00B03E2C">
        <w:rPr>
          <w:rFonts w:ascii="仿宋_GB2312" w:eastAsia="仿宋_GB2312" w:hAnsi="仿宋_GB2312" w:cs="仿宋_GB2312" w:hint="eastAsia"/>
          <w:kern w:val="0"/>
          <w:sz w:val="32"/>
          <w:szCs w:val="32"/>
        </w:rPr>
        <w:t>微企业</w:t>
      </w:r>
      <w:proofErr w:type="gramEnd"/>
      <w:r w:rsidRPr="00B03E2C">
        <w:rPr>
          <w:rFonts w:ascii="仿宋_GB2312" w:eastAsia="仿宋_GB2312" w:hAnsi="仿宋_GB2312" w:cs="仿宋_GB2312" w:hint="eastAsia"/>
          <w:kern w:val="0"/>
          <w:sz w:val="32"/>
          <w:szCs w:val="32"/>
        </w:rPr>
        <w:t>合同金额为0.00万元。</w:t>
      </w:r>
    </w:p>
    <w:p w14:paraId="0F096144" w14:textId="77777777" w:rsidR="0040651A" w:rsidRDefault="00000000">
      <w:pPr>
        <w:jc w:val="center"/>
        <w:outlineLvl w:val="0"/>
        <w:rPr>
          <w:rFonts w:ascii="黑体" w:eastAsia="黑体" w:hAnsi="黑体" w:hint="eastAsia"/>
          <w:sz w:val="32"/>
          <w:szCs w:val="32"/>
        </w:rPr>
      </w:pPr>
      <w:bookmarkStart w:id="30" w:name="_Toc3250"/>
      <w:bookmarkStart w:id="31"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0"/>
      <w:bookmarkEnd w:id="31"/>
    </w:p>
    <w:p w14:paraId="75E514BD" w14:textId="77777777" w:rsidR="0040651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705988D9" w14:textId="77777777" w:rsidR="0040651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35E3E624" w14:textId="77777777" w:rsidR="0040651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0300CFEB" w14:textId="77777777" w:rsidR="0040651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51351FDF" w14:textId="77777777" w:rsidR="0040651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7E147C03" w14:textId="77777777" w:rsidR="0040651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72E6734D" w14:textId="77777777" w:rsidR="0040651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0DE246B0" w14:textId="77777777" w:rsidR="0040651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CBE8F33" w14:textId="77777777" w:rsidR="0040651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75887961" w14:textId="77777777" w:rsidR="0040651A"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0FA586FC" w14:textId="77777777" w:rsidR="0040651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5C38380E" w14:textId="77777777" w:rsidR="0040651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73CB4800" w14:textId="77777777" w:rsidR="0040651A"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58961CD0" w14:textId="77777777" w:rsidR="0040651A"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11DC384C" w14:textId="77777777" w:rsidR="0040651A"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48688231" w14:textId="77777777" w:rsidR="0040651A" w:rsidRDefault="00000000">
      <w:pPr>
        <w:ind w:firstLineChars="200" w:firstLine="640"/>
        <w:outlineLvl w:val="1"/>
        <w:rPr>
          <w:rFonts w:ascii="黑体" w:eastAsia="仿宋_GB2312" w:hAnsi="黑体" w:cs="宋体" w:hint="eastAsia"/>
          <w:bCs/>
          <w:kern w:val="0"/>
          <w:sz w:val="32"/>
          <w:szCs w:val="32"/>
        </w:rPr>
      </w:pPr>
      <w:bookmarkStart w:id="32" w:name="_Toc6062"/>
      <w:bookmarkStart w:id="33" w:name="_Toc2183"/>
      <w:r>
        <w:rPr>
          <w:rFonts w:ascii="黑体" w:eastAsia="仿宋_GB2312" w:hAnsi="黑体" w:cs="宋体" w:hint="eastAsia"/>
          <w:bCs/>
          <w:kern w:val="0"/>
          <w:sz w:val="32"/>
          <w:szCs w:val="32"/>
        </w:rPr>
        <w:t>一、《收入支出决算总表》</w:t>
      </w:r>
      <w:bookmarkEnd w:id="32"/>
      <w:bookmarkEnd w:id="33"/>
    </w:p>
    <w:p w14:paraId="6C576FAF" w14:textId="77777777" w:rsidR="0040651A" w:rsidRDefault="00000000">
      <w:pPr>
        <w:ind w:firstLineChars="200" w:firstLine="640"/>
        <w:outlineLvl w:val="1"/>
        <w:rPr>
          <w:rFonts w:ascii="黑体" w:eastAsia="仿宋_GB2312" w:hAnsi="黑体" w:cs="宋体" w:hint="eastAsia"/>
          <w:bCs/>
          <w:kern w:val="0"/>
          <w:sz w:val="32"/>
          <w:szCs w:val="32"/>
        </w:rPr>
      </w:pPr>
      <w:bookmarkStart w:id="34" w:name="_Toc24532"/>
      <w:bookmarkStart w:id="35" w:name="_Toc30364"/>
      <w:r>
        <w:rPr>
          <w:rFonts w:ascii="黑体" w:eastAsia="仿宋_GB2312" w:hAnsi="黑体" w:cs="宋体" w:hint="eastAsia"/>
          <w:bCs/>
          <w:kern w:val="0"/>
          <w:sz w:val="32"/>
          <w:szCs w:val="32"/>
        </w:rPr>
        <w:t>二、《收入决算表》</w:t>
      </w:r>
      <w:bookmarkEnd w:id="34"/>
      <w:bookmarkEnd w:id="35"/>
    </w:p>
    <w:p w14:paraId="71647D44" w14:textId="77777777" w:rsidR="0040651A" w:rsidRDefault="00000000">
      <w:pPr>
        <w:ind w:firstLineChars="200" w:firstLine="640"/>
        <w:outlineLvl w:val="1"/>
        <w:rPr>
          <w:rFonts w:ascii="黑体" w:eastAsia="仿宋_GB2312" w:hAnsi="黑体" w:cs="宋体" w:hint="eastAsia"/>
          <w:bCs/>
          <w:kern w:val="0"/>
          <w:sz w:val="32"/>
          <w:szCs w:val="32"/>
        </w:rPr>
      </w:pPr>
      <w:bookmarkStart w:id="36" w:name="_Toc32434"/>
      <w:bookmarkStart w:id="37" w:name="_Toc21304"/>
      <w:r>
        <w:rPr>
          <w:rFonts w:ascii="黑体" w:eastAsia="仿宋_GB2312" w:hAnsi="黑体" w:cs="宋体" w:hint="eastAsia"/>
          <w:bCs/>
          <w:kern w:val="0"/>
          <w:sz w:val="32"/>
          <w:szCs w:val="32"/>
        </w:rPr>
        <w:t>三、《支出决算表》</w:t>
      </w:r>
      <w:bookmarkEnd w:id="36"/>
      <w:bookmarkEnd w:id="37"/>
    </w:p>
    <w:p w14:paraId="37267ABC" w14:textId="77777777" w:rsidR="0040651A" w:rsidRDefault="00000000">
      <w:pPr>
        <w:ind w:firstLineChars="200" w:firstLine="640"/>
        <w:outlineLvl w:val="1"/>
        <w:rPr>
          <w:rFonts w:ascii="黑体" w:eastAsia="仿宋_GB2312" w:hAnsi="黑体" w:cs="宋体" w:hint="eastAsia"/>
          <w:bCs/>
          <w:kern w:val="0"/>
          <w:sz w:val="32"/>
          <w:szCs w:val="32"/>
        </w:rPr>
      </w:pPr>
      <w:bookmarkStart w:id="38" w:name="_Toc14238"/>
      <w:bookmarkStart w:id="39" w:name="_Toc28786"/>
      <w:r>
        <w:rPr>
          <w:rFonts w:ascii="黑体" w:eastAsia="仿宋_GB2312" w:hAnsi="黑体" w:cs="宋体" w:hint="eastAsia"/>
          <w:bCs/>
          <w:kern w:val="0"/>
          <w:sz w:val="32"/>
          <w:szCs w:val="32"/>
        </w:rPr>
        <w:t>四、《财政拨款收入支出决算总表》</w:t>
      </w:r>
      <w:bookmarkEnd w:id="38"/>
      <w:bookmarkEnd w:id="39"/>
    </w:p>
    <w:p w14:paraId="5A3F60D4" w14:textId="77777777" w:rsidR="0040651A" w:rsidRDefault="00000000">
      <w:pPr>
        <w:ind w:firstLineChars="200" w:firstLine="640"/>
        <w:outlineLvl w:val="1"/>
        <w:rPr>
          <w:rFonts w:ascii="黑体" w:eastAsia="仿宋_GB2312" w:hAnsi="黑体" w:cs="宋体" w:hint="eastAsia"/>
          <w:bCs/>
          <w:kern w:val="0"/>
          <w:sz w:val="32"/>
          <w:szCs w:val="32"/>
        </w:rPr>
      </w:pPr>
      <w:bookmarkStart w:id="40" w:name="_Toc10347"/>
      <w:bookmarkStart w:id="41" w:name="_Toc14869"/>
      <w:r>
        <w:rPr>
          <w:rFonts w:ascii="黑体" w:eastAsia="仿宋_GB2312" w:hAnsi="黑体" w:cs="宋体" w:hint="eastAsia"/>
          <w:bCs/>
          <w:kern w:val="0"/>
          <w:sz w:val="32"/>
          <w:szCs w:val="32"/>
        </w:rPr>
        <w:t>五、《一般公共预算财政拨款支出决算表》</w:t>
      </w:r>
      <w:bookmarkEnd w:id="40"/>
      <w:bookmarkEnd w:id="41"/>
    </w:p>
    <w:p w14:paraId="4C727962" w14:textId="77777777" w:rsidR="0040651A" w:rsidRDefault="00000000">
      <w:pPr>
        <w:ind w:firstLineChars="200" w:firstLine="640"/>
        <w:outlineLvl w:val="1"/>
        <w:rPr>
          <w:rFonts w:ascii="黑体" w:eastAsia="仿宋_GB2312" w:hAnsi="黑体" w:cs="宋体" w:hint="eastAsia"/>
          <w:bCs/>
          <w:kern w:val="0"/>
          <w:sz w:val="32"/>
          <w:szCs w:val="32"/>
        </w:rPr>
      </w:pPr>
      <w:bookmarkStart w:id="42" w:name="_Toc5626"/>
      <w:bookmarkStart w:id="43" w:name="_Toc8884"/>
      <w:r>
        <w:rPr>
          <w:rFonts w:ascii="黑体" w:eastAsia="仿宋_GB2312" w:hAnsi="黑体" w:cs="宋体" w:hint="eastAsia"/>
          <w:bCs/>
          <w:kern w:val="0"/>
          <w:sz w:val="32"/>
          <w:szCs w:val="32"/>
        </w:rPr>
        <w:t>六、《一般公共预算财政拨款基本支出决算表》</w:t>
      </w:r>
      <w:bookmarkEnd w:id="42"/>
      <w:bookmarkEnd w:id="43"/>
    </w:p>
    <w:p w14:paraId="5EA792AB" w14:textId="77777777" w:rsidR="0040651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44" w:name="_Toc32663"/>
      <w:bookmarkStart w:id="45" w:name="_Toc29106"/>
      <w:r>
        <w:rPr>
          <w:rFonts w:ascii="黑体" w:eastAsia="仿宋_GB2312" w:hAnsi="黑体" w:cs="宋体" w:hint="eastAsia"/>
          <w:bCs/>
          <w:kern w:val="0"/>
          <w:sz w:val="32"/>
          <w:szCs w:val="32"/>
        </w:rPr>
        <w:t>《财政拨款“三公”经费支出决算表》</w:t>
      </w:r>
      <w:bookmarkEnd w:id="44"/>
      <w:bookmarkEnd w:id="45"/>
    </w:p>
    <w:p w14:paraId="5DB2A3CE" w14:textId="77777777" w:rsidR="0040651A" w:rsidRDefault="00000000">
      <w:pPr>
        <w:ind w:firstLineChars="200" w:firstLine="640"/>
        <w:outlineLvl w:val="1"/>
        <w:rPr>
          <w:rFonts w:ascii="黑体" w:eastAsia="仿宋_GB2312" w:hAnsi="黑体" w:cs="宋体" w:hint="eastAsia"/>
          <w:bCs/>
          <w:kern w:val="0"/>
          <w:sz w:val="32"/>
          <w:szCs w:val="32"/>
        </w:rPr>
      </w:pPr>
      <w:bookmarkStart w:id="46" w:name="_Toc5453"/>
      <w:bookmarkStart w:id="47" w:name="_Toc7643"/>
      <w:r>
        <w:rPr>
          <w:rFonts w:ascii="黑体" w:eastAsia="仿宋_GB2312" w:hAnsi="黑体" w:cs="宋体" w:hint="eastAsia"/>
          <w:bCs/>
          <w:kern w:val="0"/>
          <w:sz w:val="32"/>
          <w:szCs w:val="32"/>
        </w:rPr>
        <w:t>八、《政府性基金预算财政拨款收入支出决算表》</w:t>
      </w:r>
      <w:bookmarkEnd w:id="46"/>
      <w:bookmarkEnd w:id="47"/>
    </w:p>
    <w:p w14:paraId="2942EF14" w14:textId="77777777" w:rsidR="0040651A"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7DA928F" w14:textId="77777777" w:rsidR="0040651A" w:rsidRDefault="0040651A">
      <w:pPr>
        <w:ind w:firstLineChars="200" w:firstLine="640"/>
        <w:rPr>
          <w:rFonts w:ascii="仿宋_GB2312" w:eastAsia="仿宋_GB2312"/>
          <w:sz w:val="32"/>
          <w:szCs w:val="32"/>
        </w:rPr>
      </w:pPr>
    </w:p>
    <w:p w14:paraId="67352594" w14:textId="77777777" w:rsidR="0040651A" w:rsidRDefault="0040651A">
      <w:pPr>
        <w:ind w:firstLineChars="200" w:firstLine="640"/>
        <w:outlineLvl w:val="1"/>
        <w:rPr>
          <w:rFonts w:ascii="黑体" w:eastAsia="黑体" w:hAnsi="黑体" w:cs="宋体" w:hint="eastAsia"/>
          <w:bCs/>
          <w:kern w:val="0"/>
          <w:sz w:val="32"/>
          <w:szCs w:val="32"/>
        </w:rPr>
      </w:pPr>
    </w:p>
    <w:sectPr w:rsidR="0040651A">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6282DE4" w14:textId="77777777" w:rsidR="00CB3749" w:rsidRDefault="00CB3749">
      <w:r>
        <w:separator/>
      </w:r>
    </w:p>
  </w:endnote>
  <w:endnote w:type="continuationSeparator" w:id="0">
    <w:p w14:paraId="59B96238" w14:textId="77777777" w:rsidR="00CB3749" w:rsidRDefault="00CB3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CD1FFD" w14:textId="77777777" w:rsidR="0040651A" w:rsidRDefault="00000000">
    <w:pPr>
      <w:pStyle w:val="a4"/>
    </w:pPr>
    <w:r>
      <w:rPr>
        <w:noProof/>
      </w:rPr>
      <mc:AlternateContent>
        <mc:Choice Requires="wps">
          <w:drawing>
            <wp:anchor distT="0" distB="0" distL="114300" distR="114300" simplePos="0" relativeHeight="251659264" behindDoc="0" locked="0" layoutInCell="1" allowOverlap="1" wp14:anchorId="6E7A3365" wp14:editId="61128B3F">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F74DCE9" w14:textId="77777777" w:rsidR="0040651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6E7A3365"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1F74DCE9" w14:textId="77777777" w:rsidR="0040651A"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2FA995" w14:textId="77777777" w:rsidR="00CB3749" w:rsidRDefault="00CB3749">
      <w:r>
        <w:separator/>
      </w:r>
    </w:p>
  </w:footnote>
  <w:footnote w:type="continuationSeparator" w:id="0">
    <w:p w14:paraId="0108E392" w14:textId="77777777" w:rsidR="00CB3749" w:rsidRDefault="00CB37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3109863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40651A"/>
    <w:rsid w:val="001411D7"/>
    <w:rsid w:val="00213C59"/>
    <w:rsid w:val="00257234"/>
    <w:rsid w:val="00273816"/>
    <w:rsid w:val="003210CE"/>
    <w:rsid w:val="0040651A"/>
    <w:rsid w:val="005A2B01"/>
    <w:rsid w:val="008B72B4"/>
    <w:rsid w:val="009D5761"/>
    <w:rsid w:val="00A44E7A"/>
    <w:rsid w:val="00B03E2C"/>
    <w:rsid w:val="00B70D59"/>
    <w:rsid w:val="00BE5CA3"/>
    <w:rsid w:val="00C04CCF"/>
    <w:rsid w:val="00C82F7B"/>
    <w:rsid w:val="00CB3749"/>
    <w:rsid w:val="00E037F3"/>
    <w:rsid w:val="00F52A8D"/>
    <w:rsid w:val="00FB1A1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0EE3402"/>
  <w15:docId w15:val="{4AB3AA72-E0BF-487C-8131-524403857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 w:type="paragraph" w:styleId="a8">
    <w:name w:val="List Paragraph"/>
    <w:basedOn w:val="a"/>
    <w:uiPriority w:val="99"/>
    <w:unhideWhenUsed/>
    <w:qFormat/>
    <w:rsid w:val="00C04CCF"/>
    <w:pPr>
      <w:spacing w:after="160" w:line="278" w:lineRule="auto"/>
      <w:ind w:firstLineChars="200" w:firstLine="420"/>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16</Pages>
  <Words>1196</Words>
  <Characters>6823</Characters>
  <Application>Microsoft Office Word</Application>
  <DocSecurity>0</DocSecurity>
  <Lines>56</Lines>
  <Paragraphs>16</Paragraphs>
  <ScaleCrop>false</ScaleCrop>
  <Company/>
  <LinksUpToDate>false</LinksUpToDate>
  <CharactersWithSpaces>8003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cuiqi</cp:lastModifiedBy>
  <cp:revision>5</cp:revision>
  <dcterms:created xsi:type="dcterms:W3CDTF">2014-10-29T12:08:00Z</dcterms:created>
  <dcterms:modified xsi:type="dcterms:W3CDTF">2024-11-08T08:33:00Z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