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24D5D0">
      <w:pPr>
        <w:spacing w:after="0" w:line="240" w:lineRule="auto"/>
        <w:rPr>
          <w:rFonts w:hint="eastAsia" w:ascii="宋体" w:eastAsia="宋体"/>
          <w:sz w:val="32"/>
          <w:szCs w:val="32"/>
        </w:rPr>
      </w:pPr>
    </w:p>
    <w:p w14:paraId="092B90BD">
      <w:pPr>
        <w:spacing w:after="0" w:line="240" w:lineRule="auto"/>
        <w:rPr>
          <w:rFonts w:hint="eastAsia" w:ascii="宋体" w:eastAsia="宋体"/>
          <w:sz w:val="44"/>
          <w:szCs w:val="44"/>
        </w:rPr>
      </w:pPr>
    </w:p>
    <w:p w14:paraId="675C6605">
      <w:pPr>
        <w:spacing w:after="0" w:line="240" w:lineRule="auto"/>
        <w:rPr>
          <w:rFonts w:hint="eastAsia" w:ascii="宋体" w:eastAsia="宋体"/>
          <w:sz w:val="44"/>
          <w:szCs w:val="44"/>
        </w:rPr>
      </w:pPr>
    </w:p>
    <w:p w14:paraId="5EC2B2F8">
      <w:pPr>
        <w:spacing w:after="0" w:line="240" w:lineRule="auto"/>
        <w:rPr>
          <w:rFonts w:hint="eastAsia" w:ascii="宋体" w:eastAsia="宋体"/>
          <w:sz w:val="44"/>
          <w:szCs w:val="44"/>
        </w:rPr>
      </w:pPr>
    </w:p>
    <w:p w14:paraId="6E58B62C">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中共乌鲁木齐市米东区委员会办公室</w:t>
      </w:r>
    </w:p>
    <w:p w14:paraId="5C51AD45">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44711080">
      <w:pPr>
        <w:rPr>
          <w:rFonts w:hint="eastAsia"/>
          <w:lang w:eastAsia="zh-CN"/>
        </w:rPr>
      </w:pPr>
      <w:r>
        <w:rPr>
          <w:sz w:val="0"/>
          <w:szCs w:val="0"/>
          <w:lang w:eastAsia="zh-CN"/>
        </w:rPr>
        <w:br w:type="page"/>
      </w:r>
    </w:p>
    <w:p w14:paraId="4092CF93">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5B320268">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8933EFA">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3E3C594">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41F808E">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7938D7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2A806A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4314BD8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DB834C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ECE2B8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668EDCC">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277B2CE">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51360E1">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3785BA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B5FD25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614CC1D">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6E74816">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71C51568">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0D3376F">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2027285">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2F01FF3">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10679A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074F2D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1955542">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8F4AA6F">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D3B158C">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EB6A90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07F2D1D">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9F2748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56CFAFD">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0E5B298">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70166A2">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BCB209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AAEA64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292E1F67">
      <w:pPr>
        <w:rPr>
          <w:rFonts w:hint="eastAsia"/>
          <w:lang w:eastAsia="zh-CN"/>
        </w:rPr>
      </w:pPr>
      <w:r>
        <w:rPr>
          <w:sz w:val="0"/>
          <w:szCs w:val="0"/>
          <w:lang w:eastAsia="zh-CN"/>
        </w:rPr>
        <w:br w:type="page"/>
      </w:r>
    </w:p>
    <w:p w14:paraId="697786E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29807AD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1D1CD4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（一）负责区委日常工作的综合协调，承担与区委各议事协调机构办公室的协调工作。</w:t>
      </w:r>
    </w:p>
    <w:p w14:paraId="237FBD7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（二）负责区委日常文件的处理工作，承担区委、区委办公室文件文稿的草拟、修改、审核和制发、立卷、归档工作。</w:t>
      </w:r>
    </w:p>
    <w:p w14:paraId="254825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（三）负责全区重要信息的收集处理，及时向市委办公厅和区委报送信息。</w:t>
      </w:r>
    </w:p>
    <w:p w14:paraId="13A1B9A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（四）负责区委召开会议的筹备、组织和服务工作，负责区委领导同志的公务活动安排，负责自治区党委、市委和各地党委领导来米东区进行公务活动的接待服务。</w:t>
      </w:r>
    </w:p>
    <w:p w14:paraId="40F5087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（五）承办区委交办的其他事项。</w:t>
      </w:r>
    </w:p>
    <w:p w14:paraId="13524A7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700A36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中共乌鲁木齐市米东区委员会办公室2024年度，实有人数43人，其中：在职人员26人，增加3人；离休人员0人，较上年无变化；退休人员17人，较上年无变化</w:t>
      </w:r>
      <w:r>
        <w:rPr>
          <w:rFonts w:hint="eastAsia" w:ascii="仿宋_GB2312" w:eastAsia="仿宋_GB2312"/>
          <w:sz w:val="32"/>
          <w:szCs w:val="32"/>
          <w:lang w:eastAsia="zh-CN"/>
        </w:rPr>
        <w:t>。</w:t>
      </w:r>
    </w:p>
    <w:p w14:paraId="4E88B7C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中共乌鲁木齐市米东区委员会办公室无下属预算单位，下设</w:t>
      </w:r>
      <w:r>
        <w:rPr>
          <w:rFonts w:hint="eastAsia" w:ascii="仿宋_GB2312" w:eastAsia="仿宋_GB2312"/>
          <w:sz w:val="32"/>
          <w:szCs w:val="32"/>
          <w:lang w:eastAsia="zh-CN"/>
        </w:rPr>
        <w:t>1</w:t>
      </w:r>
      <w:r>
        <w:rPr>
          <w:rFonts w:ascii="仿宋_GB2312" w:eastAsia="仿宋_GB2312"/>
          <w:sz w:val="32"/>
          <w:szCs w:val="32"/>
          <w:lang w:eastAsia="zh-CN"/>
        </w:rPr>
        <w:t>个</w:t>
      </w:r>
      <w:r>
        <w:rPr>
          <w:rFonts w:hint="eastAsia" w:ascii="仿宋_GB2312" w:eastAsia="仿宋_GB2312"/>
          <w:sz w:val="32"/>
          <w:szCs w:val="32"/>
          <w:lang w:eastAsia="zh-CN"/>
        </w:rPr>
        <w:t>科室</w:t>
      </w:r>
      <w:r>
        <w:rPr>
          <w:rFonts w:ascii="仿宋_GB2312" w:eastAsia="仿宋_GB2312"/>
          <w:sz w:val="32"/>
          <w:szCs w:val="32"/>
          <w:lang w:eastAsia="zh-CN"/>
        </w:rPr>
        <w:t>，分别是：</w:t>
      </w:r>
      <w:r>
        <w:rPr>
          <w:rFonts w:hint="eastAsia" w:ascii="仿宋_GB2312" w:eastAsia="仿宋_GB2312"/>
          <w:sz w:val="32"/>
          <w:szCs w:val="32"/>
          <w:lang w:eastAsia="zh-CN"/>
        </w:rPr>
        <w:t>办公室</w:t>
      </w:r>
      <w:r>
        <w:rPr>
          <w:rFonts w:ascii="仿宋_GB2312" w:eastAsia="仿宋_GB2312"/>
          <w:sz w:val="32"/>
          <w:szCs w:val="32"/>
          <w:lang w:eastAsia="zh-CN"/>
        </w:rPr>
        <w:t>。</w:t>
      </w:r>
    </w:p>
    <w:p w14:paraId="6DFE0FB9">
      <w:pPr>
        <w:rPr>
          <w:rFonts w:hint="eastAsia"/>
          <w:lang w:eastAsia="zh-CN"/>
        </w:rPr>
      </w:pPr>
      <w:r>
        <w:rPr>
          <w:sz w:val="0"/>
          <w:szCs w:val="0"/>
          <w:lang w:eastAsia="zh-CN"/>
        </w:rPr>
        <w:br w:type="page"/>
      </w:r>
    </w:p>
    <w:p w14:paraId="46AE174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1FBFEE5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21282B0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2024年度收入总计486.45万元，其中：本年收入合计486.45万元，使用非财政拨款结余（含专用结余）0.00万元，年初结转和结余0.00万元。</w:t>
      </w:r>
    </w:p>
    <w:p w14:paraId="1D07325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2024年度支出总计486.45万元，其中：本年支出合计486.45万元，结余分配0.00万元，年末结转和结余0.00万元。</w:t>
      </w:r>
    </w:p>
    <w:p w14:paraId="3823E19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收入支出总体与上年相比，减少83.07万元，下降14.59%，主要原因是：</w:t>
      </w:r>
      <w:r>
        <w:rPr>
          <w:rFonts w:hint="eastAsia" w:ascii="仿宋_GB2312" w:eastAsia="仿宋_GB2312"/>
          <w:sz w:val="32"/>
          <w:szCs w:val="32"/>
          <w:lang w:eastAsia="zh-CN"/>
        </w:rPr>
        <w:t>本年援疆干部津贴奖金及援疆工作经费较上年减少</w:t>
      </w:r>
      <w:r>
        <w:rPr>
          <w:rFonts w:ascii="仿宋_GB2312" w:eastAsia="仿宋_GB2312"/>
          <w:sz w:val="32"/>
          <w:szCs w:val="32"/>
          <w:lang w:eastAsia="zh-CN"/>
        </w:rPr>
        <w:t>。</w:t>
      </w:r>
    </w:p>
    <w:p w14:paraId="539151F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90245D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本年收入486.45万元，其中：财政拨款收入486.45万元,占100.00%；上级补助收入0.00万元,占0.00%；事业收入0.00万元，占0.00%；经营收入0.00万元,占0.00%；附属单位上缴收入0.00万元，占0.00%；其他收入0.00万元，占0.00%。</w:t>
      </w:r>
    </w:p>
    <w:p w14:paraId="373E7CD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348D4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本年支出486.45万元，其中：基本支出460.75万元，占94.72%；项目支出25.70万元，占5.28%；上缴上级支出0.00万元，占0.00%；经营支出0.00万元，占0.00%；对附属单位补助支出0.00万元，占0.00%。</w:t>
      </w:r>
    </w:p>
    <w:p w14:paraId="4C0903A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0DEEDB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2024年度财政拨款收入总计486.45万元，其中：年初财政拨款结转和结余0.00万元，本年财政拨款收入486.45万元。财政拨款支出总计486.45万元，其中：年末财政拨款结转和结余0.00万元，本年财政拨款支出486.45万元。</w:t>
      </w:r>
    </w:p>
    <w:p w14:paraId="53529EE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财政拨款收入支出总体与上年相比，减少83.07万元，下降14.59%，主要原因是：</w:t>
      </w:r>
      <w:r>
        <w:rPr>
          <w:rFonts w:hint="eastAsia" w:ascii="仿宋_GB2312" w:eastAsia="仿宋_GB2312"/>
          <w:sz w:val="32"/>
          <w:szCs w:val="32"/>
          <w:lang w:eastAsia="zh-CN"/>
        </w:rPr>
        <w:t>本年援疆干部津贴奖金及援疆工作经费较上年减少</w:t>
      </w:r>
      <w:r>
        <w:rPr>
          <w:rFonts w:ascii="仿宋_GB2312" w:eastAsia="仿宋_GB2312"/>
          <w:sz w:val="32"/>
          <w:szCs w:val="32"/>
          <w:lang w:eastAsia="zh-CN"/>
        </w:rPr>
        <w:t>。与年初预算相比，年初预算数467.62万元，决算数486.45万元，预决算差异率4.03%，主要原因是：</w:t>
      </w:r>
      <w:r>
        <w:rPr>
          <w:rFonts w:hint="eastAsia" w:ascii="仿宋_GB2312" w:eastAsia="仿宋_GB2312"/>
          <w:sz w:val="32"/>
          <w:szCs w:val="32"/>
          <w:lang w:eastAsia="zh-CN"/>
        </w:rPr>
        <w:t>单位人员增加，年中追加</w:t>
      </w:r>
      <w:bookmarkStart w:id="0" w:name="_Hlk209026749"/>
      <w:r>
        <w:rPr>
          <w:rFonts w:hint="eastAsia" w:ascii="仿宋_GB2312" w:eastAsia="仿宋_GB2312"/>
          <w:sz w:val="32"/>
          <w:szCs w:val="32"/>
          <w:lang w:eastAsia="zh-CN"/>
        </w:rPr>
        <w:t>人员工资、津补贴等人员经费</w:t>
      </w:r>
      <w:bookmarkEnd w:id="0"/>
      <w:r>
        <w:rPr>
          <w:rFonts w:ascii="仿宋_GB2312" w:eastAsia="仿宋_GB2312"/>
          <w:sz w:val="32"/>
          <w:szCs w:val="32"/>
          <w:lang w:eastAsia="zh-CN"/>
        </w:rPr>
        <w:t>。</w:t>
      </w:r>
    </w:p>
    <w:p w14:paraId="23A810A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01941B6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29ED245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2024年度一般公共预算财政拨款支出486.45万元，占本年支出合计的100.00%。与上年相比，减少83.07万元，下降14.59%，主要原因是：</w:t>
      </w:r>
      <w:r>
        <w:rPr>
          <w:rFonts w:hint="eastAsia" w:ascii="仿宋_GB2312" w:eastAsia="仿宋_GB2312"/>
          <w:sz w:val="32"/>
          <w:szCs w:val="32"/>
          <w:lang w:eastAsia="zh-CN"/>
        </w:rPr>
        <w:t>本年援疆干部津贴奖金及援疆工作经费较上年减少</w:t>
      </w:r>
      <w:r>
        <w:rPr>
          <w:rFonts w:ascii="仿宋_GB2312" w:eastAsia="仿宋_GB2312"/>
          <w:sz w:val="32"/>
          <w:szCs w:val="32"/>
          <w:lang w:eastAsia="zh-CN"/>
        </w:rPr>
        <w:t>。与年初预算相比，年初预算数467.62万元，决算数486.45万元，预决算差异率4.03%，主要原因是：</w:t>
      </w:r>
      <w:r>
        <w:rPr>
          <w:rFonts w:hint="eastAsia" w:ascii="仿宋_GB2312" w:eastAsia="仿宋_GB2312"/>
          <w:sz w:val="32"/>
          <w:szCs w:val="32"/>
          <w:lang w:eastAsia="zh-CN"/>
        </w:rPr>
        <w:t>单位人员增加，年中追加人员工资、津补贴等人员经费</w:t>
      </w:r>
      <w:r>
        <w:rPr>
          <w:rFonts w:ascii="仿宋_GB2312" w:eastAsia="仿宋_GB2312"/>
          <w:sz w:val="32"/>
          <w:szCs w:val="32"/>
          <w:lang w:eastAsia="zh-CN"/>
        </w:rPr>
        <w:t>。</w:t>
      </w:r>
    </w:p>
    <w:p w14:paraId="09985EE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57E5AF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一般公共服务支出（类）427.70万元，占87.92%。</w:t>
      </w:r>
    </w:p>
    <w:p w14:paraId="4B75768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社会保障和就业支出（类）58.46万元，占12.02%。</w:t>
      </w:r>
    </w:p>
    <w:p w14:paraId="74514706">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其他支出（类）0.29万元，占0.06%。</w:t>
      </w:r>
    </w:p>
    <w:p w14:paraId="6D1EA88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C349D9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1、一般公共服务支出（类）党委办公厅（室）及相关机构事务（款）行政运行（项）：支出决算数为402.00万元，比上年决算减少114.87万元，下降22.22%，主要原因是：</w:t>
      </w:r>
      <w:r>
        <w:rPr>
          <w:rFonts w:hint="eastAsia" w:ascii="仿宋_GB2312" w:eastAsia="仿宋_GB2312"/>
          <w:sz w:val="32"/>
          <w:szCs w:val="32"/>
          <w:lang w:eastAsia="zh-CN"/>
        </w:rPr>
        <w:t>本年援疆干部津贴奖金及援疆工作经费较上年减少。</w:t>
      </w:r>
    </w:p>
    <w:p w14:paraId="198F3DA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2、一般公共服务支出（类）党委办公厅（室）及相关机构事务（款）一般行政管理事务（项）：支出决算数为25.70万元，比上年决算增加25.70万元，增长100.00%，主要原因是：</w:t>
      </w:r>
      <w:r>
        <w:rPr>
          <w:rFonts w:hint="eastAsia" w:ascii="仿宋_GB2312" w:eastAsia="仿宋_GB2312"/>
          <w:sz w:val="32"/>
          <w:szCs w:val="32"/>
          <w:lang w:eastAsia="zh-CN"/>
        </w:rPr>
        <w:t>本年单位增加办公业务工作经费及人员差旅费。</w:t>
      </w:r>
    </w:p>
    <w:p w14:paraId="273D945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3、社会保障和就业支出（类）行政事业单位养老支出（款）机关事业单位基本养老保险缴费支出（项）：支出决算数为44.04万元，比上年决算增加3.60万元，增长8.90%，主要原因是：</w:t>
      </w:r>
      <w:r>
        <w:rPr>
          <w:rFonts w:hint="eastAsia" w:ascii="仿宋_GB2312" w:eastAsia="仿宋_GB2312"/>
          <w:sz w:val="32"/>
          <w:szCs w:val="32"/>
          <w:lang w:eastAsia="zh-CN"/>
        </w:rPr>
        <w:t>单位在职人员增加，人员</w:t>
      </w:r>
      <w:r>
        <w:rPr>
          <w:rFonts w:ascii="仿宋_GB2312" w:eastAsia="仿宋_GB2312"/>
          <w:sz w:val="32"/>
          <w:szCs w:val="32"/>
          <w:lang w:eastAsia="zh-CN"/>
        </w:rPr>
        <w:t>养老保险缴费</w:t>
      </w:r>
      <w:r>
        <w:rPr>
          <w:rFonts w:hint="eastAsia" w:ascii="仿宋_GB2312" w:eastAsia="仿宋_GB2312"/>
          <w:sz w:val="32"/>
          <w:szCs w:val="32"/>
          <w:lang w:eastAsia="zh-CN"/>
        </w:rPr>
        <w:t>增加。</w:t>
      </w:r>
    </w:p>
    <w:p w14:paraId="0071024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4、社会保障和就业支出（类）行政事业单位养老支出（款）机关事业单位职业年金缴费支出（项）：支出决算数为14.41万元，比上年决算增加2.21万元，增长18.11%，主要原因是：</w:t>
      </w:r>
      <w:r>
        <w:rPr>
          <w:rFonts w:hint="eastAsia" w:ascii="仿宋_GB2312" w:eastAsia="仿宋_GB2312"/>
          <w:sz w:val="32"/>
          <w:szCs w:val="32"/>
          <w:lang w:eastAsia="zh-CN"/>
        </w:rPr>
        <w:t>本年增加单位退休人员</w:t>
      </w:r>
      <w:bookmarkStart w:id="1" w:name="_Hlk209006861"/>
      <w:r>
        <w:rPr>
          <w:rFonts w:hint="eastAsia" w:ascii="仿宋_GB2312" w:eastAsia="仿宋_GB2312"/>
          <w:sz w:val="32"/>
          <w:szCs w:val="32"/>
          <w:lang w:eastAsia="zh-CN"/>
        </w:rPr>
        <w:t>一次性职业年金缴费</w:t>
      </w:r>
      <w:bookmarkEnd w:id="1"/>
      <w:r>
        <w:rPr>
          <w:rFonts w:hint="eastAsia" w:ascii="仿宋_GB2312" w:eastAsia="仿宋_GB2312"/>
          <w:sz w:val="32"/>
          <w:szCs w:val="32"/>
          <w:lang w:eastAsia="zh-CN"/>
        </w:rPr>
        <w:t>。</w:t>
      </w:r>
    </w:p>
    <w:p w14:paraId="0A70755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5、其他支出（类）其他支出（款）其他支出（项）：支出决算数为0.29万元，比上年决算增加0.29万元，增长100.00%，主要原因是：</w:t>
      </w:r>
      <w:r>
        <w:rPr>
          <w:rFonts w:hint="eastAsia" w:ascii="仿宋_GB2312" w:eastAsia="仿宋_GB2312"/>
          <w:sz w:val="32"/>
          <w:szCs w:val="32"/>
          <w:lang w:eastAsia="zh-CN"/>
        </w:rPr>
        <w:t>本年单位增加</w:t>
      </w:r>
      <w:r>
        <w:rPr>
          <w:rFonts w:ascii="仿宋_GB2312" w:eastAsia="仿宋_GB2312"/>
          <w:sz w:val="32"/>
          <w:szCs w:val="32"/>
          <w:lang w:eastAsia="zh-CN"/>
        </w:rPr>
        <w:t>忠诚干净担当好班子奖金</w:t>
      </w:r>
      <w:r>
        <w:rPr>
          <w:rFonts w:hint="eastAsia" w:ascii="仿宋_GB2312" w:eastAsia="仿宋_GB2312"/>
          <w:sz w:val="32"/>
          <w:szCs w:val="32"/>
          <w:lang w:eastAsia="zh-CN"/>
        </w:rPr>
        <w:t>。</w:t>
      </w:r>
    </w:p>
    <w:p w14:paraId="175282D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5373521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460.75万元，其中：人员经费416.57万元，包括：基本工资、津贴补贴、奖金、机关事业单位基本养老保险缴费、职业年金缴费、职工基本医疗保险缴费、公务员医疗补助缴费、其他社会保障缴费和住房公积金。</w:t>
      </w:r>
    </w:p>
    <w:p w14:paraId="0A20C02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公用经费44.17万元，包括：办公费、邮电费、工会经费、福利费、公务用车运行维护费、其他交通费用和办公设备购置。</w:t>
      </w:r>
    </w:p>
    <w:p w14:paraId="2577F26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59B44A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0A51EA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9957C5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6CF7AE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60ABE33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2024年度财政拨款“三公”经费支出12.00万元，与上年相比无变化，主要原因是：</w:t>
      </w:r>
      <w:r>
        <w:rPr>
          <w:rFonts w:hint="eastAsia" w:ascii="仿宋_GB2312" w:eastAsia="仿宋_GB2312"/>
          <w:sz w:val="32"/>
          <w:szCs w:val="32"/>
          <w:lang w:eastAsia="zh-CN"/>
        </w:rPr>
        <w:t>本年单位车辆维修费、燃油费等与上年对比无差异</w:t>
      </w:r>
      <w:r>
        <w:rPr>
          <w:rFonts w:ascii="仿宋_GB2312" w:eastAsia="仿宋_GB2312"/>
          <w:sz w:val="32"/>
          <w:szCs w:val="32"/>
          <w:lang w:eastAsia="zh-CN"/>
        </w:rPr>
        <w:t>。其中：因公出国（境）费支出0.00万元,占0.00%，与上年相比无变化，主要原因是：</w:t>
      </w:r>
      <w:bookmarkStart w:id="2" w:name="_Hlk207143847"/>
      <w:r>
        <w:rPr>
          <w:rFonts w:hint="eastAsia" w:ascii="仿宋_GB2312" w:eastAsia="仿宋_GB2312"/>
          <w:sz w:val="32"/>
          <w:szCs w:val="32"/>
          <w:lang w:eastAsia="zh-CN"/>
        </w:rPr>
        <w:t>我</w:t>
      </w:r>
      <w:bookmarkStart w:id="3" w:name="_Hlk209026967"/>
      <w:r>
        <w:rPr>
          <w:rFonts w:hint="eastAsia" w:ascii="仿宋_GB2312" w:eastAsia="仿宋_GB2312"/>
          <w:sz w:val="32"/>
          <w:szCs w:val="32"/>
          <w:lang w:eastAsia="zh-CN"/>
        </w:rPr>
        <w:t>单位上年度与本年度均无此项经费</w:t>
      </w:r>
      <w:bookmarkEnd w:id="2"/>
      <w:bookmarkEnd w:id="3"/>
      <w:r>
        <w:rPr>
          <w:rFonts w:ascii="仿宋_GB2312" w:eastAsia="仿宋_GB2312"/>
          <w:sz w:val="32"/>
          <w:szCs w:val="32"/>
          <w:lang w:eastAsia="zh-CN"/>
        </w:rPr>
        <w:t>；公务用车购置及运行维护费支出12.00万元，占100.00%，与上年相比无变化，主要原因是：</w:t>
      </w:r>
      <w:r>
        <w:rPr>
          <w:rFonts w:hint="eastAsia" w:ascii="仿宋_GB2312" w:eastAsia="仿宋_GB2312"/>
          <w:sz w:val="32"/>
          <w:szCs w:val="32"/>
          <w:lang w:eastAsia="zh-CN"/>
        </w:rPr>
        <w:t>本年单位车辆维修费、燃油费等与上年对比无差异</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3D37836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15B8CD8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4"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4"/>
      <w:r>
        <w:rPr>
          <w:rFonts w:ascii="仿宋_GB2312" w:eastAsia="仿宋_GB2312"/>
          <w:sz w:val="32"/>
          <w:szCs w:val="32"/>
          <w:lang w:eastAsia="zh-CN"/>
        </w:rPr>
        <w:t>。单位全年安排的因公出国（境）团组0个，因公出国（境）0人次。</w:t>
      </w:r>
    </w:p>
    <w:p w14:paraId="6DB175F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公务用车购置及运行维护费12.00万元，其中：公务用车购置费0.00万元，公务用车运行维护费12.00万元。公务用车运行维护费开支内容包括</w:t>
      </w:r>
      <w:bookmarkStart w:id="5" w:name="_Hlk207793066"/>
      <w:r>
        <w:rPr>
          <w:rFonts w:hint="eastAsia" w:ascii="仿宋_GB2312" w:eastAsia="仿宋_GB2312"/>
          <w:sz w:val="32"/>
          <w:szCs w:val="32"/>
          <w:lang w:eastAsia="zh-CN"/>
        </w:rPr>
        <w:t>公务用车维修维护费、燃油费、保险费、过路费等</w:t>
      </w:r>
      <w:bookmarkEnd w:id="5"/>
      <w:r>
        <w:rPr>
          <w:rFonts w:ascii="仿宋_GB2312" w:eastAsia="仿宋_GB2312"/>
          <w:sz w:val="32"/>
          <w:szCs w:val="32"/>
          <w:lang w:eastAsia="zh-CN"/>
        </w:rPr>
        <w:t>。公务用车购置数0辆，公务用车保有量4辆。国有资产占用情况中固定资产车辆4辆，与公务用车保有量差异原因是：</w:t>
      </w:r>
      <w:bookmarkStart w:id="6" w:name="_Hlk207143898"/>
      <w:r>
        <w:rPr>
          <w:rFonts w:hint="eastAsia" w:ascii="仿宋_GB2312" w:eastAsia="仿宋_GB2312"/>
          <w:sz w:val="32"/>
          <w:szCs w:val="32"/>
          <w:lang w:eastAsia="zh-CN"/>
        </w:rPr>
        <w:t>本单位固定资产车辆与公务用车保有量一致无差异</w:t>
      </w:r>
      <w:bookmarkEnd w:id="6"/>
      <w:r>
        <w:rPr>
          <w:rFonts w:ascii="仿宋_GB2312" w:eastAsia="仿宋_GB2312"/>
          <w:sz w:val="32"/>
          <w:szCs w:val="32"/>
          <w:lang w:eastAsia="zh-CN"/>
        </w:rPr>
        <w:t>。</w:t>
      </w:r>
    </w:p>
    <w:p w14:paraId="4C07F2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7" w:name="_Hlk207140433"/>
      <w:r>
        <w:rPr>
          <w:rFonts w:hint="eastAsia" w:ascii="仿宋_GB2312" w:eastAsia="仿宋_GB2312"/>
          <w:sz w:val="32"/>
          <w:szCs w:val="32"/>
          <w:lang w:eastAsia="zh-CN"/>
        </w:rPr>
        <w:t>单</w:t>
      </w:r>
      <w:bookmarkStart w:id="8"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7"/>
      <w:bookmarkEnd w:id="8"/>
      <w:r>
        <w:rPr>
          <w:rFonts w:ascii="仿宋_GB2312" w:eastAsia="仿宋_GB2312"/>
          <w:sz w:val="32"/>
          <w:szCs w:val="32"/>
          <w:lang w:eastAsia="zh-CN"/>
        </w:rPr>
        <w:t>。单位全年安排的国内公务接待0批次，0人次。</w:t>
      </w:r>
    </w:p>
    <w:p w14:paraId="67DCDA4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与全年预算相比，财政拨款“三公”经费支出全年预算数12.00万元，决算数12.00万元，预决算差异率0.00%，主要原因是：</w:t>
      </w:r>
      <w:bookmarkStart w:id="9" w:name="_Hlk207142995"/>
      <w:r>
        <w:rPr>
          <w:rFonts w:hint="eastAsia" w:ascii="仿宋_GB2312" w:eastAsia="仿宋_GB2312"/>
          <w:sz w:val="32"/>
          <w:szCs w:val="32"/>
          <w:lang w:eastAsia="zh-CN"/>
        </w:rPr>
        <w:t>严格按照预算执行，预决算对比无差异</w:t>
      </w:r>
      <w:bookmarkEnd w:id="9"/>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；公务用车运行维护费全年预算数12.00万元，决算数12.00万元，预决算差异率0.00%，主要原因是：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EAE803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27791D6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6C69384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2024年度中共乌鲁木齐市米东区委员会办公室单位（行政单位和参照公务员法管理事业单位）机关运行经费支出44.17万元，比上年减少46.49万元，下降51.28%，主要原因是：</w:t>
      </w:r>
      <w:r>
        <w:rPr>
          <w:rFonts w:hint="eastAsia" w:ascii="仿宋_GB2312" w:eastAsia="仿宋_GB2312"/>
          <w:sz w:val="32"/>
          <w:szCs w:val="32"/>
          <w:lang w:eastAsia="zh-CN"/>
        </w:rPr>
        <w:t>本年单位</w:t>
      </w:r>
      <w:r>
        <w:rPr>
          <w:rFonts w:ascii="仿宋_GB2312" w:eastAsia="仿宋_GB2312"/>
          <w:sz w:val="32"/>
          <w:szCs w:val="32"/>
          <w:lang w:eastAsia="zh-CN"/>
        </w:rPr>
        <w:t>邮电费、工会经费</w:t>
      </w:r>
      <w:r>
        <w:rPr>
          <w:rFonts w:hint="eastAsia" w:ascii="仿宋_GB2312" w:eastAsia="仿宋_GB2312"/>
          <w:sz w:val="32"/>
          <w:szCs w:val="32"/>
          <w:lang w:eastAsia="zh-CN"/>
        </w:rPr>
        <w:t>等较上年减少</w:t>
      </w:r>
      <w:r>
        <w:rPr>
          <w:rFonts w:ascii="仿宋_GB2312" w:eastAsia="仿宋_GB2312"/>
          <w:sz w:val="32"/>
          <w:szCs w:val="32"/>
          <w:lang w:eastAsia="zh-CN"/>
        </w:rPr>
        <w:t>。</w:t>
      </w:r>
    </w:p>
    <w:p w14:paraId="1BA0E96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0727577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2024年度政府采购支出总额10.39万元，其中：政府采购货物支出1.77万元、政府采购工程支出0.00万元、政府采购服务支出8.62万元。</w:t>
      </w:r>
    </w:p>
    <w:p w14:paraId="0B52F61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授予中小企业合同金额7.26万元，占政府采购支出总额的69.87%，其中：授予小微企业合同金额7.26万元，占政府采购支出总额的69.87%。</w:t>
      </w:r>
    </w:p>
    <w:p w14:paraId="08B7173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73014F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4辆，价值57.45万元，其中：副部（省）级及以上领导用车0辆、主要负责人用车0辆、机要通信用车0辆、应急保障用车0辆、执法执勤用车0辆、特种专业技术用车0辆、离退休干部服务用车0辆、其他用车4辆，其他用车主要是：</w:t>
      </w:r>
      <w:r>
        <w:rPr>
          <w:rFonts w:hint="eastAsia" w:ascii="仿宋_GB2312" w:eastAsia="仿宋_GB2312"/>
          <w:sz w:val="32"/>
          <w:szCs w:val="32"/>
          <w:lang w:eastAsia="zh-CN"/>
        </w:rPr>
        <w:t>单位业务用车</w:t>
      </w:r>
      <w:r>
        <w:rPr>
          <w:rFonts w:ascii="仿宋_GB2312" w:eastAsia="仿宋_GB2312"/>
          <w:sz w:val="32"/>
          <w:szCs w:val="32"/>
          <w:lang w:eastAsia="zh-CN"/>
        </w:rPr>
        <w:t>;单价100万元（含）以上设备（不含车辆）0台（套）。</w:t>
      </w:r>
    </w:p>
    <w:p w14:paraId="14568AA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5711F0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486.45</w:t>
      </w:r>
      <w:r>
        <w:rPr>
          <w:rFonts w:ascii="仿宋_GB2312" w:eastAsia="仿宋_GB2312"/>
          <w:sz w:val="32"/>
          <w:szCs w:val="32"/>
          <w:lang w:eastAsia="zh-CN"/>
        </w:rPr>
        <w:t>万元，实际执行总额</w:t>
      </w:r>
      <w:r>
        <w:rPr>
          <w:rFonts w:hint="eastAsia" w:ascii="仿宋_GB2312" w:eastAsia="仿宋_GB2312"/>
          <w:sz w:val="32"/>
          <w:szCs w:val="32"/>
          <w:lang w:eastAsia="zh-CN"/>
        </w:rPr>
        <w:t>486.45</w:t>
      </w:r>
      <w:r>
        <w:rPr>
          <w:rFonts w:ascii="仿宋_GB2312" w:eastAsia="仿宋_GB2312"/>
          <w:sz w:val="32"/>
          <w:szCs w:val="32"/>
          <w:lang w:eastAsia="zh-CN"/>
        </w:rPr>
        <w:t>万元；预算绩效评价项目1个，全年预算数</w:t>
      </w:r>
      <w:r>
        <w:rPr>
          <w:rFonts w:hint="eastAsia" w:ascii="仿宋_GB2312" w:eastAsia="仿宋_GB2312"/>
          <w:sz w:val="32"/>
          <w:szCs w:val="32"/>
          <w:lang w:eastAsia="zh-CN"/>
        </w:rPr>
        <w:t>26.00</w:t>
      </w:r>
      <w:r>
        <w:rPr>
          <w:rFonts w:ascii="仿宋_GB2312" w:eastAsia="仿宋_GB2312"/>
          <w:sz w:val="32"/>
          <w:szCs w:val="32"/>
          <w:lang w:eastAsia="zh-CN"/>
        </w:rPr>
        <w:t>万元，全年执行数25.7</w:t>
      </w:r>
      <w:r>
        <w:rPr>
          <w:rFonts w:hint="eastAsia" w:ascii="仿宋_GB2312" w:eastAsia="仿宋_GB2312"/>
          <w:sz w:val="32"/>
          <w:szCs w:val="32"/>
          <w:lang w:eastAsia="zh-CN"/>
        </w:rPr>
        <w:t>0</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w:t>
      </w:r>
      <w:r>
        <w:rPr>
          <w:rFonts w:ascii="仿宋_GB2312" w:eastAsia="仿宋_GB2312"/>
          <w:sz w:val="32"/>
          <w:szCs w:val="32"/>
          <w:lang w:eastAsia="zh-CN"/>
        </w:rPr>
        <w:t>我单位提高部门整体支出绩效目标设定的合理性。部门整体绩效目标不是碎片化工作的堆叠，而是反映部门开展预算绩效管理工作的规范性和执行力。</w:t>
      </w:r>
      <w:r>
        <w:rPr>
          <w:rFonts w:hint="eastAsia" w:ascii="仿宋_GB2312" w:eastAsia="仿宋_GB2312"/>
          <w:sz w:val="32"/>
          <w:szCs w:val="32"/>
          <w:lang w:eastAsia="zh-CN"/>
        </w:rPr>
        <w:t>二是</w:t>
      </w:r>
      <w:r>
        <w:rPr>
          <w:rFonts w:ascii="仿宋_GB2312" w:eastAsia="仿宋_GB2312"/>
          <w:sz w:val="32"/>
          <w:szCs w:val="32"/>
          <w:lang w:eastAsia="zh-CN"/>
        </w:rPr>
        <w:t>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发现的问题及原因：</w:t>
      </w:r>
      <w:r>
        <w:rPr>
          <w:rFonts w:hint="eastAsia" w:ascii="仿宋_GB2312" w:eastAsia="仿宋_GB2312"/>
          <w:sz w:val="32"/>
          <w:szCs w:val="32"/>
          <w:lang w:eastAsia="zh-CN"/>
        </w:rPr>
        <w:t>一是</w:t>
      </w:r>
      <w:r>
        <w:rPr>
          <w:rFonts w:ascii="仿宋_GB2312" w:eastAsia="仿宋_GB2312"/>
          <w:sz w:val="32"/>
          <w:szCs w:val="32"/>
          <w:lang w:eastAsia="zh-CN"/>
        </w:rPr>
        <w:t>部门职能不明确，个别工作分工不清晰，且人员培训和绩效考核制度不够完善，考核方案部分内容和人员名单更新滞后。</w:t>
      </w:r>
      <w:r>
        <w:rPr>
          <w:rFonts w:hint="eastAsia" w:ascii="仿宋_GB2312" w:eastAsia="仿宋_GB2312"/>
          <w:sz w:val="32"/>
          <w:szCs w:val="32"/>
          <w:lang w:eastAsia="zh-CN"/>
        </w:rPr>
        <w:t>二是</w:t>
      </w:r>
      <w:r>
        <w:rPr>
          <w:rFonts w:ascii="仿宋_GB2312" w:eastAsia="仿宋_GB2312"/>
          <w:sz w:val="32"/>
          <w:szCs w:val="32"/>
          <w:lang w:eastAsia="zh-CN"/>
        </w:rPr>
        <w:t>预算编制科学性的问题。预算编制之合理性相对不足，主要表现在预算调整数较大，年度目标与长期规划衔接的紧密程度需要增强。下一步改进措施：</w:t>
      </w:r>
      <w:r>
        <w:rPr>
          <w:rFonts w:hint="eastAsia" w:ascii="仿宋_GB2312" w:eastAsia="仿宋_GB2312"/>
          <w:sz w:val="32"/>
          <w:szCs w:val="32"/>
          <w:lang w:eastAsia="zh-CN"/>
        </w:rPr>
        <w:t>一是</w:t>
      </w:r>
      <w:r>
        <w:rPr>
          <w:rFonts w:ascii="仿宋_GB2312" w:eastAsia="仿宋_GB2312"/>
          <w:sz w:val="32"/>
          <w:szCs w:val="32"/>
          <w:lang w:eastAsia="zh-CN"/>
        </w:rPr>
        <w:t>构建专业、客观、独立、多样的绩效评价主体。应加强对外公开的效率，促使公众参与到部门整体绩效评价执行的过程中，重视社会公众对绩效评价的监督，要加强部门内部绩效评价人员的培训，提高其指标设计和绩效评价的专业技能。</w:t>
      </w:r>
      <w:r>
        <w:rPr>
          <w:rFonts w:hint="eastAsia" w:ascii="仿宋_GB2312" w:eastAsia="仿宋_GB2312"/>
          <w:sz w:val="32"/>
          <w:szCs w:val="32"/>
          <w:lang w:eastAsia="zh-CN"/>
        </w:rPr>
        <w:t>二是</w:t>
      </w:r>
      <w:r>
        <w:rPr>
          <w:rFonts w:ascii="仿宋_GB2312" w:eastAsia="仿宋_GB2312"/>
          <w:sz w:val="32"/>
          <w:szCs w:val="32"/>
          <w:lang w:eastAsia="zh-CN"/>
        </w:rPr>
        <w:t>利用绩效评价结果也可以反向促进单位内部预算资金统筹安排和项目的执行，提高工作人员的工作效率，进而提高社会效益。具体附部门整体支出绩效自评表，项目支出绩效自评表和部门评价报告。</w:t>
      </w:r>
    </w:p>
    <w:p w14:paraId="33A95EEB">
      <w:pPr>
        <w:rPr>
          <w:rFonts w:hint="eastAsia" w:ascii="宋体" w:hAnsi="宋体" w:eastAsia="宋体" w:cs="宋体"/>
          <w:b/>
          <w:bCs/>
          <w:sz w:val="18"/>
          <w:szCs w:val="18"/>
        </w:rPr>
      </w:pPr>
      <w:bookmarkStart w:id="10" w:name="_Hlk174962300"/>
    </w:p>
    <w:p w14:paraId="03AB38B6">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5AAB61B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641AF433">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BD00A15">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71FC3B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中共乌鲁木齐市米东区委员会办公室</w:t>
            </w:r>
          </w:p>
        </w:tc>
        <w:tc>
          <w:tcPr>
            <w:tcW w:w="284" w:type="dxa"/>
            <w:tcBorders>
              <w:top w:val="nil"/>
              <w:left w:val="nil"/>
              <w:bottom w:val="nil"/>
              <w:right w:val="nil"/>
            </w:tcBorders>
            <w:noWrap/>
            <w:vAlign w:val="center"/>
          </w:tcPr>
          <w:p w14:paraId="18A3EF2B">
            <w:pPr>
              <w:rPr>
                <w:rFonts w:hint="eastAsia" w:ascii="宋体" w:hAnsi="宋体" w:eastAsia="宋体" w:cs="宋体"/>
                <w:b/>
                <w:bCs/>
                <w:sz w:val="18"/>
                <w:szCs w:val="18"/>
                <w:lang w:eastAsia="zh-CN"/>
              </w:rPr>
            </w:pPr>
          </w:p>
        </w:tc>
      </w:tr>
      <w:tr w14:paraId="07AC60B3">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9172F7A">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09854B31">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9A2519E">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43220ACA">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0C04D2E9">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01BDAD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37A7F5D3">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18E799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1DA8852">
            <w:pPr>
              <w:jc w:val="center"/>
              <w:rPr>
                <w:rFonts w:hint="eastAsia" w:ascii="宋体" w:hAnsi="宋体" w:eastAsia="宋体" w:cs="宋体"/>
                <w:b/>
                <w:bCs/>
                <w:sz w:val="18"/>
                <w:szCs w:val="18"/>
              </w:rPr>
            </w:pPr>
          </w:p>
        </w:tc>
      </w:tr>
      <w:tr w14:paraId="79E2943D">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B065B4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DE807EF">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09853990">
            <w:pPr>
              <w:jc w:val="center"/>
              <w:rPr>
                <w:rFonts w:hint="eastAsia" w:ascii="宋体" w:hAnsi="宋体" w:eastAsia="宋体" w:cs="宋体"/>
                <w:sz w:val="18"/>
                <w:szCs w:val="18"/>
              </w:rPr>
            </w:pPr>
            <w:r>
              <w:rPr>
                <w:rFonts w:hint="eastAsia" w:ascii="宋体" w:hAnsi="宋体" w:eastAsia="宋体" w:cs="宋体"/>
                <w:sz w:val="18"/>
                <w:szCs w:val="18"/>
              </w:rPr>
              <w:t>467.62</w:t>
            </w:r>
          </w:p>
        </w:tc>
        <w:tc>
          <w:tcPr>
            <w:tcW w:w="1276" w:type="dxa"/>
            <w:tcBorders>
              <w:top w:val="nil"/>
              <w:left w:val="nil"/>
              <w:bottom w:val="single" w:color="auto" w:sz="4" w:space="0"/>
              <w:right w:val="single" w:color="auto" w:sz="4" w:space="0"/>
            </w:tcBorders>
            <w:vAlign w:val="center"/>
          </w:tcPr>
          <w:p w14:paraId="56FE05B4">
            <w:pPr>
              <w:jc w:val="center"/>
              <w:rPr>
                <w:rFonts w:hint="eastAsia" w:ascii="宋体" w:hAnsi="宋体" w:eastAsia="宋体" w:cs="宋体"/>
                <w:sz w:val="18"/>
                <w:szCs w:val="18"/>
              </w:rPr>
            </w:pPr>
            <w:r>
              <w:rPr>
                <w:rFonts w:hint="eastAsia" w:ascii="宋体" w:hAnsi="宋体" w:eastAsia="宋体" w:cs="宋体"/>
                <w:sz w:val="18"/>
                <w:szCs w:val="18"/>
              </w:rPr>
              <w:t>486.45</w:t>
            </w:r>
          </w:p>
        </w:tc>
        <w:tc>
          <w:tcPr>
            <w:tcW w:w="1701" w:type="dxa"/>
            <w:tcBorders>
              <w:top w:val="nil"/>
              <w:left w:val="nil"/>
              <w:bottom w:val="single" w:color="auto" w:sz="4" w:space="0"/>
              <w:right w:val="single" w:color="auto" w:sz="4" w:space="0"/>
            </w:tcBorders>
            <w:vAlign w:val="center"/>
          </w:tcPr>
          <w:p w14:paraId="6A2DB3AA">
            <w:pPr>
              <w:jc w:val="center"/>
              <w:rPr>
                <w:rFonts w:hint="eastAsia" w:ascii="宋体" w:hAnsi="宋体" w:eastAsia="宋体" w:cs="宋体"/>
                <w:sz w:val="18"/>
                <w:szCs w:val="18"/>
              </w:rPr>
            </w:pPr>
            <w:r>
              <w:rPr>
                <w:rFonts w:hint="eastAsia" w:ascii="宋体" w:hAnsi="宋体" w:eastAsia="宋体" w:cs="宋体"/>
                <w:sz w:val="18"/>
                <w:szCs w:val="18"/>
              </w:rPr>
              <w:t>486.45</w:t>
            </w:r>
          </w:p>
        </w:tc>
        <w:tc>
          <w:tcPr>
            <w:tcW w:w="1134" w:type="dxa"/>
            <w:tcBorders>
              <w:top w:val="nil"/>
              <w:left w:val="nil"/>
              <w:bottom w:val="single" w:color="auto" w:sz="4" w:space="0"/>
              <w:right w:val="single" w:color="auto" w:sz="4" w:space="0"/>
            </w:tcBorders>
            <w:vAlign w:val="center"/>
          </w:tcPr>
          <w:p w14:paraId="76526276">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19843A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5969129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2EFB4DC0">
            <w:pPr>
              <w:jc w:val="center"/>
              <w:rPr>
                <w:rFonts w:hint="eastAsia" w:ascii="宋体" w:hAnsi="宋体" w:eastAsia="宋体" w:cs="宋体"/>
                <w:b/>
                <w:bCs/>
                <w:sz w:val="18"/>
                <w:szCs w:val="18"/>
              </w:rPr>
            </w:pPr>
          </w:p>
        </w:tc>
      </w:tr>
      <w:tr w14:paraId="1A710B6B">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5DF20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31AD8C7">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7FB02CA">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53A6D79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42A8F43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66AE1608">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F901D4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6BF131E">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B4D2AD5">
            <w:pPr>
              <w:jc w:val="center"/>
              <w:rPr>
                <w:rFonts w:hint="eastAsia" w:ascii="宋体" w:hAnsi="宋体" w:eastAsia="宋体" w:cs="宋体"/>
                <w:sz w:val="18"/>
                <w:szCs w:val="18"/>
              </w:rPr>
            </w:pPr>
          </w:p>
        </w:tc>
      </w:tr>
      <w:tr w14:paraId="2E648E13">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DCFB9C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516B9B9">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3DFAB1F">
            <w:pPr>
              <w:jc w:val="center"/>
              <w:rPr>
                <w:rFonts w:hint="eastAsia" w:ascii="宋体" w:hAnsi="宋体" w:eastAsia="宋体" w:cs="宋体"/>
                <w:sz w:val="18"/>
                <w:szCs w:val="18"/>
              </w:rPr>
            </w:pPr>
            <w:r>
              <w:rPr>
                <w:rFonts w:hint="eastAsia" w:ascii="宋体" w:hAnsi="宋体" w:eastAsia="宋体" w:cs="宋体"/>
                <w:sz w:val="18"/>
                <w:szCs w:val="18"/>
              </w:rPr>
              <w:t>457.62</w:t>
            </w:r>
          </w:p>
        </w:tc>
        <w:tc>
          <w:tcPr>
            <w:tcW w:w="1276" w:type="dxa"/>
            <w:tcBorders>
              <w:top w:val="nil"/>
              <w:left w:val="nil"/>
              <w:bottom w:val="single" w:color="auto" w:sz="4" w:space="0"/>
              <w:right w:val="single" w:color="auto" w:sz="4" w:space="0"/>
            </w:tcBorders>
            <w:vAlign w:val="center"/>
          </w:tcPr>
          <w:p w14:paraId="66B4B7F3">
            <w:pPr>
              <w:jc w:val="center"/>
              <w:rPr>
                <w:rFonts w:hint="eastAsia" w:ascii="宋体" w:hAnsi="宋体" w:eastAsia="宋体" w:cs="宋体"/>
                <w:sz w:val="18"/>
                <w:szCs w:val="18"/>
              </w:rPr>
            </w:pPr>
            <w:r>
              <w:rPr>
                <w:rFonts w:hint="eastAsia" w:ascii="宋体" w:hAnsi="宋体" w:eastAsia="宋体" w:cs="宋体"/>
                <w:sz w:val="18"/>
                <w:szCs w:val="18"/>
              </w:rPr>
              <w:t>486.45</w:t>
            </w:r>
          </w:p>
        </w:tc>
        <w:tc>
          <w:tcPr>
            <w:tcW w:w="1701" w:type="dxa"/>
            <w:tcBorders>
              <w:top w:val="nil"/>
              <w:left w:val="nil"/>
              <w:bottom w:val="single" w:color="auto" w:sz="4" w:space="0"/>
              <w:right w:val="single" w:color="auto" w:sz="4" w:space="0"/>
            </w:tcBorders>
            <w:vAlign w:val="center"/>
          </w:tcPr>
          <w:p w14:paraId="3E01D080">
            <w:pPr>
              <w:jc w:val="center"/>
              <w:rPr>
                <w:rFonts w:hint="eastAsia" w:ascii="宋体" w:hAnsi="宋体" w:eastAsia="宋体" w:cs="宋体"/>
                <w:sz w:val="18"/>
                <w:szCs w:val="18"/>
              </w:rPr>
            </w:pPr>
            <w:r>
              <w:rPr>
                <w:rFonts w:hint="eastAsia" w:ascii="宋体" w:hAnsi="宋体" w:eastAsia="宋体" w:cs="宋体"/>
                <w:sz w:val="18"/>
                <w:szCs w:val="18"/>
              </w:rPr>
              <w:t>486.45</w:t>
            </w:r>
          </w:p>
        </w:tc>
        <w:tc>
          <w:tcPr>
            <w:tcW w:w="1134" w:type="dxa"/>
            <w:tcBorders>
              <w:top w:val="nil"/>
              <w:left w:val="nil"/>
              <w:bottom w:val="single" w:color="auto" w:sz="4" w:space="0"/>
              <w:right w:val="single" w:color="auto" w:sz="4" w:space="0"/>
            </w:tcBorders>
            <w:vAlign w:val="center"/>
          </w:tcPr>
          <w:p w14:paraId="66A8959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C7EB80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468163A">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82995CC">
            <w:pPr>
              <w:jc w:val="center"/>
              <w:rPr>
                <w:rFonts w:hint="eastAsia" w:ascii="宋体" w:hAnsi="宋体" w:eastAsia="宋体" w:cs="宋体"/>
                <w:sz w:val="18"/>
                <w:szCs w:val="18"/>
              </w:rPr>
            </w:pPr>
          </w:p>
        </w:tc>
      </w:tr>
      <w:tr w14:paraId="753F445B">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2AB360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D43D306">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E038764">
            <w:pPr>
              <w:jc w:val="center"/>
              <w:rPr>
                <w:rFonts w:hint="eastAsia" w:ascii="宋体" w:hAnsi="宋体" w:eastAsia="宋体" w:cs="宋体"/>
                <w:sz w:val="18"/>
                <w:szCs w:val="18"/>
              </w:rPr>
            </w:pPr>
            <w:r>
              <w:rPr>
                <w:rFonts w:hint="eastAsia" w:ascii="宋体" w:hAnsi="宋体" w:eastAsia="宋体" w:cs="宋体"/>
                <w:sz w:val="18"/>
                <w:szCs w:val="18"/>
              </w:rPr>
              <w:t>10.00</w:t>
            </w:r>
          </w:p>
        </w:tc>
        <w:tc>
          <w:tcPr>
            <w:tcW w:w="1276" w:type="dxa"/>
            <w:tcBorders>
              <w:top w:val="nil"/>
              <w:left w:val="nil"/>
              <w:bottom w:val="single" w:color="auto" w:sz="4" w:space="0"/>
              <w:right w:val="single" w:color="auto" w:sz="4" w:space="0"/>
            </w:tcBorders>
            <w:vAlign w:val="center"/>
          </w:tcPr>
          <w:p w14:paraId="386DC49F">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661CD19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AA07E4A">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7A19DC2F">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D20E84A">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027C4A69">
            <w:pPr>
              <w:jc w:val="center"/>
              <w:rPr>
                <w:rFonts w:hint="eastAsia" w:ascii="宋体" w:hAnsi="宋体" w:eastAsia="宋体" w:cs="宋体"/>
                <w:sz w:val="18"/>
                <w:szCs w:val="18"/>
              </w:rPr>
            </w:pPr>
          </w:p>
        </w:tc>
      </w:tr>
      <w:tr w14:paraId="27CD3504">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72E4954">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65BFE611">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DEA101E">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6778FEA0">
            <w:pPr>
              <w:rPr>
                <w:rFonts w:hint="eastAsia" w:ascii="宋体" w:hAnsi="宋体" w:eastAsia="宋体" w:cs="宋体"/>
                <w:b/>
                <w:bCs/>
                <w:sz w:val="18"/>
                <w:szCs w:val="18"/>
              </w:rPr>
            </w:pPr>
          </w:p>
        </w:tc>
      </w:tr>
      <w:tr w14:paraId="4A64BBE6">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6779BB8">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59D9D56">
            <w:pPr>
              <w:rPr>
                <w:rFonts w:hint="eastAsia" w:ascii="宋体" w:hAnsi="宋体" w:eastAsia="宋体" w:cs="宋体"/>
                <w:sz w:val="18"/>
                <w:szCs w:val="18"/>
                <w:lang w:eastAsia="zh-CN"/>
              </w:rPr>
            </w:pPr>
            <w:r>
              <w:rPr>
                <w:rFonts w:hint="eastAsia" w:ascii="宋体" w:hAnsi="宋体" w:eastAsia="宋体" w:cs="宋体"/>
                <w:sz w:val="18"/>
                <w:szCs w:val="18"/>
                <w:lang w:eastAsia="zh-CN"/>
              </w:rPr>
              <w:t>本单位职能为：围绕区委总体工作部署，承担区委、区委办公室文件文稿的草拟、修改、审核和制发等工作，负责区委召开的各类会议和大型活动的组织实施和协调服务工作，负责全区重要信息的收集整理及上报工作。本单位2024年重点工作计划为：2024年组织区委中心组理论学习全年不少于12次、撰写调研报告全年不少于1篇、编写区级信息快报不少于12期。</w:t>
            </w:r>
          </w:p>
        </w:tc>
        <w:tc>
          <w:tcPr>
            <w:tcW w:w="4547" w:type="dxa"/>
            <w:gridSpan w:val="4"/>
            <w:tcBorders>
              <w:top w:val="single" w:color="auto" w:sz="4" w:space="0"/>
              <w:left w:val="nil"/>
              <w:bottom w:val="single" w:color="auto" w:sz="4" w:space="0"/>
              <w:right w:val="single" w:color="auto" w:sz="4" w:space="0"/>
            </w:tcBorders>
          </w:tcPr>
          <w:p w14:paraId="7AA9CE9F">
            <w:pPr>
              <w:rPr>
                <w:rFonts w:hint="eastAsia" w:ascii="宋体" w:hAnsi="宋体" w:eastAsia="宋体" w:cs="宋体"/>
                <w:sz w:val="18"/>
                <w:szCs w:val="18"/>
                <w:lang w:eastAsia="zh-CN"/>
              </w:rPr>
            </w:pPr>
            <w:r>
              <w:rPr>
                <w:rFonts w:hint="eastAsia" w:ascii="宋体" w:hAnsi="宋体" w:eastAsia="宋体" w:cs="宋体"/>
                <w:sz w:val="18"/>
                <w:szCs w:val="18"/>
                <w:lang w:eastAsia="zh-CN"/>
              </w:rPr>
              <w:t>一、理论学习不断强化。认真组织开展区委中心组理论学习，通过每周集中学习、交流研讨、个人自学等形式，确保理论学习落到实处。全年开展区委理论学习中心组学习25次。二、扎实开展调查研究。结合工作实际，深入基层、深入群众，扎实开展调查研究，区委办公室针对工作中最突出的难点问题，确定调研课题，定期深入项目、企业实地等基层开展走访调研，推动调研走深走实。撰写了调研文章1篇。三、加强信息工作。充分发挥党委信息主渠道作用，畅通关键部门信息渠道，加强信息收集研判，共刊发区级信息快报16期。</w:t>
            </w:r>
          </w:p>
        </w:tc>
        <w:tc>
          <w:tcPr>
            <w:tcW w:w="284" w:type="dxa"/>
            <w:tcBorders>
              <w:top w:val="nil"/>
              <w:left w:val="nil"/>
              <w:bottom w:val="nil"/>
              <w:right w:val="nil"/>
            </w:tcBorders>
            <w:noWrap/>
            <w:vAlign w:val="center"/>
          </w:tcPr>
          <w:p w14:paraId="5F68968E">
            <w:pPr>
              <w:rPr>
                <w:rFonts w:hint="eastAsia" w:ascii="宋体" w:hAnsi="宋体" w:eastAsia="宋体" w:cs="宋体"/>
                <w:sz w:val="18"/>
                <w:szCs w:val="18"/>
                <w:lang w:eastAsia="zh-CN"/>
              </w:rPr>
            </w:pPr>
          </w:p>
        </w:tc>
      </w:tr>
      <w:tr w14:paraId="272D43E1">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15893921">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C6160E8">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ECF8DC8">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0B7F01E8">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2278E95D">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39D6496">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1828932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67A11B26">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A9B698E">
            <w:pPr>
              <w:rPr>
                <w:rFonts w:hint="eastAsia" w:ascii="宋体" w:hAnsi="宋体" w:eastAsia="宋体" w:cs="宋体"/>
                <w:b/>
                <w:bCs/>
                <w:sz w:val="18"/>
                <w:szCs w:val="18"/>
              </w:rPr>
            </w:pPr>
          </w:p>
        </w:tc>
      </w:tr>
      <w:tr w14:paraId="6EF4D25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E91D9AB">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C58412D">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30C91CD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领导撰写调研报告篇数</w:t>
            </w:r>
          </w:p>
        </w:tc>
        <w:tc>
          <w:tcPr>
            <w:tcW w:w="1276" w:type="dxa"/>
            <w:tcBorders>
              <w:top w:val="nil"/>
              <w:left w:val="nil"/>
              <w:bottom w:val="single" w:color="auto" w:sz="4" w:space="0"/>
              <w:right w:val="single" w:color="auto" w:sz="4" w:space="0"/>
            </w:tcBorders>
            <w:noWrap/>
            <w:vAlign w:val="center"/>
          </w:tcPr>
          <w:p w14:paraId="2E640E24">
            <w:pPr>
              <w:jc w:val="center"/>
              <w:rPr>
                <w:rFonts w:hint="eastAsia" w:ascii="宋体" w:hAnsi="宋体" w:eastAsia="宋体" w:cs="宋体"/>
                <w:sz w:val="18"/>
                <w:szCs w:val="18"/>
              </w:rPr>
            </w:pPr>
            <w:bookmarkStart w:id="11" w:name="_GoBack"/>
            <w:r>
              <w:rPr>
                <w:rFonts w:hint="eastAsia" w:ascii="宋体" w:hAnsi="宋体" w:eastAsia="宋体" w:cs="宋体"/>
                <w:sz w:val="18"/>
                <w:szCs w:val="18"/>
              </w:rPr>
              <w:t>&gt;</w:t>
            </w:r>
            <w:bookmarkEnd w:id="11"/>
            <w:r>
              <w:rPr>
                <w:rFonts w:hint="eastAsia" w:ascii="宋体" w:hAnsi="宋体" w:eastAsia="宋体" w:cs="宋体"/>
                <w:sz w:val="18"/>
                <w:szCs w:val="18"/>
              </w:rPr>
              <w:t>=1篇</w:t>
            </w:r>
          </w:p>
        </w:tc>
        <w:tc>
          <w:tcPr>
            <w:tcW w:w="1701" w:type="dxa"/>
            <w:tcBorders>
              <w:top w:val="nil"/>
              <w:left w:val="nil"/>
              <w:bottom w:val="single" w:color="auto" w:sz="4" w:space="0"/>
              <w:right w:val="single" w:color="auto" w:sz="4" w:space="0"/>
            </w:tcBorders>
            <w:noWrap/>
            <w:vAlign w:val="center"/>
          </w:tcPr>
          <w:p w14:paraId="4F7F5118">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米东区党委（党组）理论学习中心组学习制度</w:t>
            </w:r>
          </w:p>
        </w:tc>
        <w:tc>
          <w:tcPr>
            <w:tcW w:w="1134" w:type="dxa"/>
            <w:tcBorders>
              <w:top w:val="nil"/>
              <w:left w:val="nil"/>
              <w:bottom w:val="single" w:color="auto" w:sz="4" w:space="0"/>
              <w:right w:val="single" w:color="auto" w:sz="4" w:space="0"/>
            </w:tcBorders>
            <w:noWrap/>
            <w:vAlign w:val="center"/>
          </w:tcPr>
          <w:p w14:paraId="6256F3A3">
            <w:pPr>
              <w:jc w:val="center"/>
              <w:rPr>
                <w:rFonts w:hint="eastAsia" w:ascii="宋体" w:hAnsi="宋体" w:eastAsia="宋体" w:cs="宋体"/>
                <w:sz w:val="18"/>
                <w:szCs w:val="18"/>
              </w:rPr>
            </w:pPr>
            <w:r>
              <w:rPr>
                <w:rFonts w:hint="eastAsia" w:ascii="宋体" w:hAnsi="宋体" w:eastAsia="宋体" w:cs="宋体"/>
                <w:sz w:val="18"/>
                <w:szCs w:val="18"/>
              </w:rPr>
              <w:t>1篇</w:t>
            </w:r>
          </w:p>
        </w:tc>
        <w:tc>
          <w:tcPr>
            <w:tcW w:w="992" w:type="dxa"/>
            <w:tcBorders>
              <w:top w:val="nil"/>
              <w:left w:val="nil"/>
              <w:bottom w:val="single" w:color="auto" w:sz="4" w:space="0"/>
              <w:right w:val="single" w:color="auto" w:sz="4" w:space="0"/>
            </w:tcBorders>
            <w:noWrap/>
            <w:vAlign w:val="center"/>
          </w:tcPr>
          <w:p w14:paraId="3CCD9FF6">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377E81DA">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0B4847BD">
            <w:pPr>
              <w:jc w:val="center"/>
              <w:rPr>
                <w:rFonts w:hint="eastAsia" w:ascii="宋体" w:hAnsi="宋体" w:eastAsia="宋体" w:cs="宋体"/>
                <w:sz w:val="18"/>
                <w:szCs w:val="18"/>
              </w:rPr>
            </w:pPr>
          </w:p>
        </w:tc>
      </w:tr>
      <w:tr w14:paraId="699C115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135FB51">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EF736C1">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CFC6C4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编写区级信息快报数量</w:t>
            </w:r>
          </w:p>
        </w:tc>
        <w:tc>
          <w:tcPr>
            <w:tcW w:w="1276" w:type="dxa"/>
            <w:tcBorders>
              <w:top w:val="nil"/>
              <w:left w:val="nil"/>
              <w:bottom w:val="single" w:color="auto" w:sz="4" w:space="0"/>
              <w:right w:val="single" w:color="auto" w:sz="4" w:space="0"/>
            </w:tcBorders>
            <w:noWrap/>
            <w:vAlign w:val="center"/>
          </w:tcPr>
          <w:p w14:paraId="7AD26AF4">
            <w:pPr>
              <w:jc w:val="center"/>
              <w:rPr>
                <w:rFonts w:hint="eastAsia" w:ascii="宋体" w:hAnsi="宋体" w:eastAsia="宋体" w:cs="宋体"/>
                <w:sz w:val="18"/>
                <w:szCs w:val="18"/>
              </w:rPr>
            </w:pPr>
            <w:r>
              <w:rPr>
                <w:rFonts w:hint="eastAsia" w:ascii="宋体" w:hAnsi="宋体" w:eastAsia="宋体" w:cs="宋体"/>
                <w:sz w:val="18"/>
                <w:szCs w:val="18"/>
              </w:rPr>
              <w:t>&gt;=12期</w:t>
            </w:r>
          </w:p>
        </w:tc>
        <w:tc>
          <w:tcPr>
            <w:tcW w:w="1701" w:type="dxa"/>
            <w:tcBorders>
              <w:top w:val="nil"/>
              <w:left w:val="nil"/>
              <w:bottom w:val="single" w:color="auto" w:sz="4" w:space="0"/>
              <w:right w:val="single" w:color="auto" w:sz="4" w:space="0"/>
            </w:tcBorders>
            <w:noWrap/>
            <w:vAlign w:val="center"/>
          </w:tcPr>
          <w:p w14:paraId="755E1563">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米东区委办公室2024年重点工作清单</w:t>
            </w:r>
          </w:p>
        </w:tc>
        <w:tc>
          <w:tcPr>
            <w:tcW w:w="1134" w:type="dxa"/>
            <w:tcBorders>
              <w:top w:val="nil"/>
              <w:left w:val="nil"/>
              <w:bottom w:val="single" w:color="auto" w:sz="4" w:space="0"/>
              <w:right w:val="single" w:color="auto" w:sz="4" w:space="0"/>
            </w:tcBorders>
            <w:noWrap/>
            <w:vAlign w:val="center"/>
          </w:tcPr>
          <w:p w14:paraId="356775D2">
            <w:pPr>
              <w:jc w:val="center"/>
              <w:rPr>
                <w:rFonts w:hint="eastAsia" w:ascii="宋体" w:hAnsi="宋体" w:eastAsia="宋体" w:cs="宋体"/>
                <w:sz w:val="18"/>
                <w:szCs w:val="18"/>
              </w:rPr>
            </w:pPr>
            <w:r>
              <w:rPr>
                <w:rFonts w:hint="eastAsia" w:ascii="宋体" w:hAnsi="宋体" w:eastAsia="宋体" w:cs="宋体"/>
                <w:sz w:val="18"/>
                <w:szCs w:val="18"/>
              </w:rPr>
              <w:t>16期</w:t>
            </w:r>
          </w:p>
        </w:tc>
        <w:tc>
          <w:tcPr>
            <w:tcW w:w="992" w:type="dxa"/>
            <w:tcBorders>
              <w:top w:val="nil"/>
              <w:left w:val="nil"/>
              <w:bottom w:val="single" w:color="auto" w:sz="4" w:space="0"/>
              <w:right w:val="single" w:color="auto" w:sz="4" w:space="0"/>
            </w:tcBorders>
            <w:noWrap/>
            <w:vAlign w:val="center"/>
          </w:tcPr>
          <w:p w14:paraId="5D1FC0B2">
            <w:pPr>
              <w:jc w:val="center"/>
              <w:rPr>
                <w:rFonts w:hint="eastAsia" w:ascii="宋体" w:hAnsi="宋体" w:eastAsia="宋体" w:cs="宋体"/>
                <w:sz w:val="18"/>
                <w:szCs w:val="18"/>
              </w:rPr>
            </w:pPr>
            <w:r>
              <w:rPr>
                <w:rFonts w:hint="eastAsia" w:ascii="宋体" w:hAnsi="宋体" w:eastAsia="宋体" w:cs="宋体"/>
                <w:sz w:val="18"/>
                <w:szCs w:val="18"/>
              </w:rPr>
              <w:t>40</w:t>
            </w:r>
          </w:p>
        </w:tc>
        <w:tc>
          <w:tcPr>
            <w:tcW w:w="720" w:type="dxa"/>
            <w:tcBorders>
              <w:top w:val="nil"/>
              <w:left w:val="nil"/>
              <w:bottom w:val="single" w:color="auto" w:sz="4" w:space="0"/>
              <w:right w:val="single" w:color="auto" w:sz="4" w:space="0"/>
            </w:tcBorders>
            <w:noWrap/>
            <w:vAlign w:val="center"/>
          </w:tcPr>
          <w:p w14:paraId="26304A7A">
            <w:pPr>
              <w:jc w:val="center"/>
              <w:rPr>
                <w:rFonts w:hint="eastAsia" w:ascii="宋体" w:hAnsi="宋体" w:eastAsia="宋体" w:cs="宋体"/>
                <w:sz w:val="18"/>
                <w:szCs w:val="18"/>
              </w:rPr>
            </w:pPr>
            <w:r>
              <w:rPr>
                <w:rFonts w:hint="eastAsia" w:ascii="宋体" w:hAnsi="宋体" w:eastAsia="宋体" w:cs="宋体"/>
                <w:sz w:val="18"/>
                <w:szCs w:val="18"/>
              </w:rPr>
              <w:t>40</w:t>
            </w:r>
          </w:p>
        </w:tc>
        <w:tc>
          <w:tcPr>
            <w:tcW w:w="284" w:type="dxa"/>
            <w:tcBorders>
              <w:top w:val="nil"/>
              <w:left w:val="nil"/>
              <w:bottom w:val="nil"/>
              <w:right w:val="nil"/>
            </w:tcBorders>
            <w:noWrap/>
            <w:vAlign w:val="center"/>
          </w:tcPr>
          <w:p w14:paraId="25A5EDAF">
            <w:pPr>
              <w:jc w:val="center"/>
              <w:rPr>
                <w:rFonts w:hint="eastAsia" w:ascii="宋体" w:hAnsi="宋体" w:eastAsia="宋体" w:cs="宋体"/>
                <w:sz w:val="18"/>
                <w:szCs w:val="18"/>
              </w:rPr>
            </w:pPr>
          </w:p>
        </w:tc>
      </w:tr>
      <w:tr w14:paraId="49619D19">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352FEDE">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2085B92">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55ADD079">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组织区委中心组理论学习次数</w:t>
            </w:r>
          </w:p>
        </w:tc>
        <w:tc>
          <w:tcPr>
            <w:tcW w:w="1276" w:type="dxa"/>
            <w:tcBorders>
              <w:top w:val="single" w:color="auto" w:sz="4" w:space="0"/>
              <w:left w:val="nil"/>
              <w:bottom w:val="single" w:color="auto" w:sz="4" w:space="0"/>
              <w:right w:val="single" w:color="auto" w:sz="4" w:space="0"/>
            </w:tcBorders>
            <w:noWrap/>
            <w:vAlign w:val="center"/>
          </w:tcPr>
          <w:p w14:paraId="08238308">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701" w:type="dxa"/>
            <w:tcBorders>
              <w:top w:val="single" w:color="auto" w:sz="4" w:space="0"/>
              <w:left w:val="nil"/>
              <w:bottom w:val="single" w:color="auto" w:sz="4" w:space="0"/>
              <w:right w:val="single" w:color="auto" w:sz="4" w:space="0"/>
            </w:tcBorders>
            <w:noWrap/>
            <w:vAlign w:val="center"/>
          </w:tcPr>
          <w:p w14:paraId="556691E9">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米东区党委（党组）理论学习中心组学习制度</w:t>
            </w:r>
          </w:p>
        </w:tc>
        <w:tc>
          <w:tcPr>
            <w:tcW w:w="1134" w:type="dxa"/>
            <w:tcBorders>
              <w:top w:val="single" w:color="auto" w:sz="4" w:space="0"/>
              <w:left w:val="nil"/>
              <w:bottom w:val="single" w:color="auto" w:sz="4" w:space="0"/>
              <w:right w:val="single" w:color="auto" w:sz="4" w:space="0"/>
            </w:tcBorders>
            <w:noWrap/>
            <w:vAlign w:val="center"/>
          </w:tcPr>
          <w:p w14:paraId="5AF886D6">
            <w:pPr>
              <w:jc w:val="center"/>
              <w:rPr>
                <w:rFonts w:hint="eastAsia" w:ascii="宋体" w:hAnsi="宋体" w:eastAsia="宋体" w:cs="宋体"/>
                <w:sz w:val="18"/>
                <w:szCs w:val="18"/>
              </w:rPr>
            </w:pPr>
            <w:r>
              <w:rPr>
                <w:rFonts w:hint="eastAsia" w:ascii="宋体" w:hAnsi="宋体" w:eastAsia="宋体" w:cs="宋体"/>
                <w:sz w:val="18"/>
                <w:szCs w:val="18"/>
              </w:rPr>
              <w:t>25次</w:t>
            </w:r>
          </w:p>
        </w:tc>
        <w:tc>
          <w:tcPr>
            <w:tcW w:w="992" w:type="dxa"/>
            <w:tcBorders>
              <w:top w:val="single" w:color="auto" w:sz="4" w:space="0"/>
              <w:left w:val="nil"/>
              <w:bottom w:val="single" w:color="auto" w:sz="4" w:space="0"/>
              <w:right w:val="single" w:color="auto" w:sz="4" w:space="0"/>
            </w:tcBorders>
            <w:noWrap/>
            <w:vAlign w:val="center"/>
          </w:tcPr>
          <w:p w14:paraId="0B59AED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0A96161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AD99CD0">
            <w:pPr>
              <w:jc w:val="center"/>
              <w:rPr>
                <w:rFonts w:hint="eastAsia" w:ascii="宋体" w:hAnsi="宋体" w:eastAsia="宋体" w:cs="宋体"/>
                <w:sz w:val="18"/>
                <w:szCs w:val="18"/>
              </w:rPr>
            </w:pPr>
          </w:p>
        </w:tc>
      </w:tr>
      <w:tr w14:paraId="21D601B8">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40D49123">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35D0C960">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25CA43AA">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284" w:type="dxa"/>
            <w:tcBorders>
              <w:top w:val="nil"/>
              <w:left w:val="nil"/>
              <w:bottom w:val="nil"/>
              <w:right w:val="nil"/>
            </w:tcBorders>
            <w:noWrap/>
            <w:vAlign w:val="center"/>
          </w:tcPr>
          <w:p w14:paraId="5B9297CA">
            <w:pPr>
              <w:jc w:val="center"/>
              <w:rPr>
                <w:rFonts w:hint="eastAsia" w:ascii="宋体" w:hAnsi="宋体" w:eastAsia="宋体" w:cs="宋体"/>
                <w:sz w:val="18"/>
                <w:szCs w:val="18"/>
              </w:rPr>
            </w:pPr>
          </w:p>
        </w:tc>
      </w:tr>
    </w:tbl>
    <w:p w14:paraId="2A0CA17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419A75B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7E69A6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DA1FA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A26A7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2024年补充业务工作经费</w:t>
            </w:r>
          </w:p>
        </w:tc>
      </w:tr>
      <w:tr w14:paraId="7AD1CBD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4BED7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854D76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中共乌鲁木齐市米东区委员会办公室</w:t>
            </w:r>
          </w:p>
        </w:tc>
        <w:tc>
          <w:tcPr>
            <w:tcW w:w="1275" w:type="dxa"/>
            <w:gridSpan w:val="2"/>
            <w:tcBorders>
              <w:top w:val="nil"/>
              <w:left w:val="nil"/>
              <w:bottom w:val="single" w:color="auto" w:sz="4" w:space="0"/>
              <w:right w:val="single" w:color="000000" w:sz="4" w:space="0"/>
            </w:tcBorders>
            <w:vAlign w:val="center"/>
          </w:tcPr>
          <w:p w14:paraId="29D7FE0E">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E3A3A0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中共乌鲁木齐市米东区委员会办公室</w:t>
            </w:r>
          </w:p>
        </w:tc>
      </w:tr>
      <w:tr w14:paraId="4A47D22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D856C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2993345">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A50C1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724A0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31B69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DB31D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B8700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528D3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635CB6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055585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52BC4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B2B83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26.00</w:t>
            </w:r>
          </w:p>
        </w:tc>
        <w:tc>
          <w:tcPr>
            <w:tcW w:w="1125" w:type="dxa"/>
            <w:tcBorders>
              <w:top w:val="nil"/>
              <w:left w:val="nil"/>
              <w:bottom w:val="single" w:color="auto" w:sz="4" w:space="0"/>
              <w:right w:val="single" w:color="auto" w:sz="4" w:space="0"/>
            </w:tcBorders>
            <w:noWrap/>
            <w:vAlign w:val="center"/>
          </w:tcPr>
          <w:p w14:paraId="6F567C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26.00</w:t>
            </w:r>
          </w:p>
        </w:tc>
        <w:tc>
          <w:tcPr>
            <w:tcW w:w="1275" w:type="dxa"/>
            <w:gridSpan w:val="2"/>
            <w:tcBorders>
              <w:top w:val="single" w:color="auto" w:sz="4" w:space="0"/>
              <w:left w:val="nil"/>
              <w:bottom w:val="single" w:color="auto" w:sz="4" w:space="0"/>
              <w:right w:val="single" w:color="000000" w:sz="4" w:space="0"/>
            </w:tcBorders>
            <w:noWrap/>
            <w:vAlign w:val="center"/>
          </w:tcPr>
          <w:p w14:paraId="63FE7C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25.70</w:t>
            </w:r>
          </w:p>
        </w:tc>
        <w:tc>
          <w:tcPr>
            <w:tcW w:w="1134" w:type="dxa"/>
            <w:gridSpan w:val="2"/>
            <w:tcBorders>
              <w:top w:val="single" w:color="auto" w:sz="4" w:space="0"/>
              <w:left w:val="nil"/>
              <w:bottom w:val="single" w:color="auto" w:sz="4" w:space="0"/>
              <w:right w:val="single" w:color="auto" w:sz="4" w:space="0"/>
            </w:tcBorders>
            <w:vAlign w:val="center"/>
          </w:tcPr>
          <w:p w14:paraId="34F8EF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CFFD2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98.85%</w:t>
            </w:r>
          </w:p>
        </w:tc>
        <w:tc>
          <w:tcPr>
            <w:tcW w:w="1275" w:type="dxa"/>
            <w:tcBorders>
              <w:top w:val="nil"/>
              <w:left w:val="nil"/>
              <w:bottom w:val="single" w:color="auto" w:sz="4" w:space="0"/>
              <w:right w:val="single" w:color="auto" w:sz="4" w:space="0"/>
            </w:tcBorders>
            <w:vAlign w:val="center"/>
          </w:tcPr>
          <w:p w14:paraId="0D4DA1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9.89分</w:t>
            </w:r>
          </w:p>
        </w:tc>
      </w:tr>
      <w:tr w14:paraId="31BB1CA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C9FAB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7A47B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C1828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26.00</w:t>
            </w:r>
          </w:p>
        </w:tc>
        <w:tc>
          <w:tcPr>
            <w:tcW w:w="1125" w:type="dxa"/>
            <w:tcBorders>
              <w:top w:val="nil"/>
              <w:left w:val="nil"/>
              <w:bottom w:val="single" w:color="auto" w:sz="4" w:space="0"/>
              <w:right w:val="single" w:color="auto" w:sz="4" w:space="0"/>
            </w:tcBorders>
            <w:noWrap/>
            <w:vAlign w:val="center"/>
          </w:tcPr>
          <w:p w14:paraId="15E02E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26.00</w:t>
            </w:r>
          </w:p>
        </w:tc>
        <w:tc>
          <w:tcPr>
            <w:tcW w:w="1275" w:type="dxa"/>
            <w:gridSpan w:val="2"/>
            <w:tcBorders>
              <w:top w:val="single" w:color="auto" w:sz="4" w:space="0"/>
              <w:left w:val="nil"/>
              <w:bottom w:val="single" w:color="auto" w:sz="4" w:space="0"/>
              <w:right w:val="single" w:color="000000" w:sz="4" w:space="0"/>
            </w:tcBorders>
            <w:noWrap/>
            <w:vAlign w:val="center"/>
          </w:tcPr>
          <w:p w14:paraId="547550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25.70</w:t>
            </w:r>
          </w:p>
        </w:tc>
        <w:tc>
          <w:tcPr>
            <w:tcW w:w="1134" w:type="dxa"/>
            <w:gridSpan w:val="2"/>
            <w:tcBorders>
              <w:top w:val="single" w:color="auto" w:sz="4" w:space="0"/>
              <w:left w:val="nil"/>
              <w:bottom w:val="single" w:color="auto" w:sz="4" w:space="0"/>
              <w:right w:val="single" w:color="auto" w:sz="4" w:space="0"/>
            </w:tcBorders>
            <w:vAlign w:val="center"/>
          </w:tcPr>
          <w:p w14:paraId="33ABA6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B27AD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C34D4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C0EE2C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46252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80B38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17A0A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31FA57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C04C3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DBF92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96AB2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D56F5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BD42BA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21F7D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D2EFA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E57DD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91B30C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59B6AAD">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65853D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围绕区委总体工作部署，负责召开米东区委全委会、常委会等各类会议和大型活动，承担区委、区委办公室文件文稿的草拟、审核和制发等工作，负责全区重要信息的收集整理及上报工作；负责上级按照的杂志报刊的征订工作。</w:t>
            </w:r>
          </w:p>
        </w:tc>
        <w:tc>
          <w:tcPr>
            <w:tcW w:w="4677" w:type="dxa"/>
            <w:gridSpan w:val="7"/>
            <w:tcBorders>
              <w:top w:val="single" w:color="auto" w:sz="4" w:space="0"/>
              <w:left w:val="nil"/>
              <w:bottom w:val="single" w:color="auto" w:sz="4" w:space="0"/>
              <w:right w:val="single" w:color="000000" w:sz="4" w:space="0"/>
            </w:tcBorders>
          </w:tcPr>
          <w:p w14:paraId="4595A65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完成情况：该项目资金实际完成了以下目标：一是该项目实际支付召开各类会议，调研活动需要印制各类材料，购买纸张、耗材等办公用品，调研活动路线、场地所需要印制的各类印刷品等支付办公用品费用10.93万元；二是区委常委及办公室工作人员外出考察，参加业务培训实际支付2.46万元；三是保障了援疆挂职干部往返交通费用及外出考察培训实际支付4.33万元；四是征订2025年《中办通讯》、《秘书工作》等各类杂志款7.98万元。</w:t>
            </w:r>
          </w:p>
        </w:tc>
      </w:tr>
      <w:tr w14:paraId="783C7EE8">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32AD540">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D43D0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D9D71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C04F87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5BC19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C26BB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4E335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B8162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DB9494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EF49EC1">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3DD75F4">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202EC3B">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52D5E0F">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87E625B">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3900F0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89D74C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B96E6F1">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72678CE">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9F534B9">
            <w:pPr>
              <w:rPr>
                <w:rFonts w:hint="eastAsia" w:ascii="宋体" w:hAnsi="宋体" w:eastAsia="宋体" w:cs="宋体"/>
                <w:color w:val="000000"/>
                <w:sz w:val="18"/>
                <w:szCs w:val="18"/>
                <w:lang w:eastAsia="zh-CN"/>
              </w:rPr>
            </w:pPr>
          </w:p>
        </w:tc>
      </w:tr>
      <w:tr w14:paraId="43E39BC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97B547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B651B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0D6F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24D3510">
            <w:pPr>
              <w:rPr>
                <w:rFonts w:hint="eastAsia" w:ascii="宋体" w:hAnsi="宋体" w:eastAsia="宋体" w:cs="宋体"/>
                <w:color w:val="000000"/>
                <w:sz w:val="18"/>
                <w:szCs w:val="18"/>
              </w:rPr>
            </w:pPr>
            <w:r>
              <w:rPr>
                <w:rFonts w:hint="eastAsia" w:ascii="宋体" w:hAnsi="宋体" w:eastAsia="宋体" w:cs="宋体"/>
                <w:color w:val="000000"/>
                <w:sz w:val="18"/>
                <w:szCs w:val="18"/>
              </w:rPr>
              <w:t>召开会议次数</w:t>
            </w:r>
          </w:p>
        </w:tc>
        <w:tc>
          <w:tcPr>
            <w:tcW w:w="1125" w:type="dxa"/>
            <w:tcBorders>
              <w:top w:val="nil"/>
              <w:left w:val="nil"/>
              <w:bottom w:val="single" w:color="auto" w:sz="4" w:space="0"/>
              <w:right w:val="single" w:color="auto" w:sz="4" w:space="0"/>
            </w:tcBorders>
            <w:vAlign w:val="center"/>
          </w:tcPr>
          <w:p w14:paraId="46F97F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6C9E3A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0D2EA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1BB8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1C2A93F">
            <w:pPr>
              <w:jc w:val="center"/>
              <w:rPr>
                <w:rFonts w:hint="eastAsia" w:ascii="宋体" w:hAnsi="宋体" w:eastAsia="宋体" w:cs="宋体"/>
                <w:color w:val="000000"/>
                <w:sz w:val="18"/>
                <w:szCs w:val="18"/>
              </w:rPr>
            </w:pPr>
          </w:p>
        </w:tc>
      </w:tr>
      <w:tr w14:paraId="427644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DCA6A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4F1D0F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BEBA44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A0AD366">
            <w:pPr>
              <w:rPr>
                <w:rFonts w:hint="eastAsia" w:ascii="宋体" w:hAnsi="宋体" w:eastAsia="宋体" w:cs="宋体"/>
                <w:color w:val="000000"/>
                <w:sz w:val="18"/>
                <w:szCs w:val="18"/>
              </w:rPr>
            </w:pPr>
            <w:r>
              <w:rPr>
                <w:rFonts w:hint="eastAsia" w:ascii="宋体" w:hAnsi="宋体" w:eastAsia="宋体" w:cs="宋体"/>
                <w:color w:val="000000"/>
                <w:sz w:val="18"/>
                <w:szCs w:val="18"/>
              </w:rPr>
              <w:t>征订份数</w:t>
            </w:r>
          </w:p>
        </w:tc>
        <w:tc>
          <w:tcPr>
            <w:tcW w:w="1125" w:type="dxa"/>
            <w:tcBorders>
              <w:top w:val="nil"/>
              <w:left w:val="nil"/>
              <w:bottom w:val="single" w:color="auto" w:sz="4" w:space="0"/>
              <w:right w:val="single" w:color="auto" w:sz="4" w:space="0"/>
            </w:tcBorders>
            <w:vAlign w:val="center"/>
          </w:tcPr>
          <w:p w14:paraId="5C5CB7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&gt;=50份</w:t>
            </w:r>
          </w:p>
        </w:tc>
        <w:tc>
          <w:tcPr>
            <w:tcW w:w="1229" w:type="dxa"/>
            <w:tcBorders>
              <w:top w:val="nil"/>
              <w:left w:val="nil"/>
              <w:bottom w:val="single" w:color="auto" w:sz="4" w:space="0"/>
              <w:right w:val="single" w:color="auto" w:sz="4" w:space="0"/>
            </w:tcBorders>
            <w:vAlign w:val="center"/>
          </w:tcPr>
          <w:p w14:paraId="6BE8A8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50份</w:t>
            </w:r>
          </w:p>
        </w:tc>
        <w:tc>
          <w:tcPr>
            <w:tcW w:w="755" w:type="dxa"/>
            <w:gridSpan w:val="2"/>
            <w:tcBorders>
              <w:top w:val="single" w:color="auto" w:sz="4" w:space="0"/>
              <w:left w:val="nil"/>
              <w:bottom w:val="single" w:color="auto" w:sz="4" w:space="0"/>
              <w:right w:val="single" w:color="000000" w:sz="4" w:space="0"/>
            </w:tcBorders>
            <w:vAlign w:val="center"/>
          </w:tcPr>
          <w:p w14:paraId="578E50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9A472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4C2DBC8">
            <w:pPr>
              <w:jc w:val="center"/>
              <w:rPr>
                <w:rFonts w:hint="eastAsia" w:ascii="宋体" w:hAnsi="宋体" w:eastAsia="宋体" w:cs="宋体"/>
                <w:color w:val="000000"/>
                <w:sz w:val="18"/>
                <w:szCs w:val="18"/>
              </w:rPr>
            </w:pPr>
          </w:p>
        </w:tc>
      </w:tr>
      <w:tr w14:paraId="71EB3C8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26093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43D8B3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8132C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28BE679">
            <w:pPr>
              <w:rPr>
                <w:rFonts w:hint="eastAsia" w:ascii="宋体" w:hAnsi="宋体" w:eastAsia="宋体" w:cs="宋体"/>
                <w:color w:val="000000"/>
                <w:sz w:val="18"/>
                <w:szCs w:val="18"/>
              </w:rPr>
            </w:pPr>
            <w:r>
              <w:rPr>
                <w:rFonts w:hint="eastAsia" w:ascii="宋体" w:hAnsi="宋体" w:eastAsia="宋体" w:cs="宋体"/>
                <w:color w:val="000000"/>
                <w:sz w:val="18"/>
                <w:szCs w:val="18"/>
              </w:rPr>
              <w:t>会议出勤率</w:t>
            </w:r>
          </w:p>
        </w:tc>
        <w:tc>
          <w:tcPr>
            <w:tcW w:w="1125" w:type="dxa"/>
            <w:tcBorders>
              <w:top w:val="nil"/>
              <w:left w:val="nil"/>
              <w:bottom w:val="single" w:color="auto" w:sz="4" w:space="0"/>
              <w:right w:val="single" w:color="auto" w:sz="4" w:space="0"/>
            </w:tcBorders>
            <w:vAlign w:val="center"/>
          </w:tcPr>
          <w:p w14:paraId="0C158E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31F801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w:t>
            </w:r>
          </w:p>
        </w:tc>
        <w:tc>
          <w:tcPr>
            <w:tcW w:w="755" w:type="dxa"/>
            <w:gridSpan w:val="2"/>
            <w:tcBorders>
              <w:top w:val="single" w:color="auto" w:sz="4" w:space="0"/>
              <w:left w:val="nil"/>
              <w:bottom w:val="single" w:color="auto" w:sz="4" w:space="0"/>
              <w:right w:val="single" w:color="000000" w:sz="4" w:space="0"/>
            </w:tcBorders>
            <w:vAlign w:val="center"/>
          </w:tcPr>
          <w:p w14:paraId="125AED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5622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1AAD64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会议以实际到会人数为准，该会议请假人员少，参会率高。</w:t>
            </w:r>
          </w:p>
        </w:tc>
      </w:tr>
      <w:tr w14:paraId="1D0B7D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7E05F8">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5B7EFE8">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3C7B77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7B5182A">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1125" w:type="dxa"/>
            <w:tcBorders>
              <w:top w:val="nil"/>
              <w:left w:val="nil"/>
              <w:bottom w:val="single" w:color="auto" w:sz="4" w:space="0"/>
              <w:right w:val="single" w:color="auto" w:sz="4" w:space="0"/>
            </w:tcBorders>
            <w:vAlign w:val="center"/>
          </w:tcPr>
          <w:p w14:paraId="296CE5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&gt;=75%</w:t>
            </w:r>
          </w:p>
        </w:tc>
        <w:tc>
          <w:tcPr>
            <w:tcW w:w="1229" w:type="dxa"/>
            <w:tcBorders>
              <w:top w:val="nil"/>
              <w:left w:val="nil"/>
              <w:bottom w:val="single" w:color="auto" w:sz="4" w:space="0"/>
              <w:right w:val="single" w:color="auto" w:sz="4" w:space="0"/>
            </w:tcBorders>
            <w:vAlign w:val="center"/>
          </w:tcPr>
          <w:p w14:paraId="51A42B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55" w:type="dxa"/>
            <w:gridSpan w:val="2"/>
            <w:tcBorders>
              <w:top w:val="single" w:color="auto" w:sz="4" w:space="0"/>
              <w:left w:val="nil"/>
              <w:bottom w:val="single" w:color="auto" w:sz="4" w:space="0"/>
              <w:right w:val="single" w:color="000000" w:sz="4" w:space="0"/>
            </w:tcBorders>
            <w:vAlign w:val="center"/>
          </w:tcPr>
          <w:p w14:paraId="222BB0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1223B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945925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因财力紧张，设置该指标时，本着精简节约的原则，加强成本控制，将该指标值设定为75%。但今年区委领导外出培训较多，导致该项指标值实际完成率达到了99%。</w:t>
            </w:r>
          </w:p>
        </w:tc>
      </w:tr>
      <w:tr w14:paraId="5DF87CE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EBCC06">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CFEE439">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9863F5E">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E39B8C3">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3771F2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1229" w:type="dxa"/>
            <w:tcBorders>
              <w:top w:val="nil"/>
              <w:left w:val="nil"/>
              <w:bottom w:val="single" w:color="auto" w:sz="4" w:space="0"/>
              <w:right w:val="single" w:color="auto" w:sz="4" w:space="0"/>
            </w:tcBorders>
            <w:vAlign w:val="center"/>
          </w:tcPr>
          <w:p w14:paraId="297E3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755" w:type="dxa"/>
            <w:gridSpan w:val="2"/>
            <w:tcBorders>
              <w:top w:val="single" w:color="auto" w:sz="4" w:space="0"/>
              <w:left w:val="nil"/>
              <w:bottom w:val="single" w:color="auto" w:sz="4" w:space="0"/>
              <w:right w:val="single" w:color="000000" w:sz="4" w:space="0"/>
            </w:tcBorders>
            <w:vAlign w:val="center"/>
          </w:tcPr>
          <w:p w14:paraId="6A555B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7A6E7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8FC9BFA">
            <w:pPr>
              <w:jc w:val="center"/>
              <w:rPr>
                <w:rFonts w:hint="eastAsia" w:ascii="宋体" w:hAnsi="宋体" w:eastAsia="宋体" w:cs="宋体"/>
                <w:color w:val="000000"/>
                <w:sz w:val="18"/>
                <w:szCs w:val="18"/>
              </w:rPr>
            </w:pPr>
          </w:p>
        </w:tc>
      </w:tr>
      <w:tr w14:paraId="4477F99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DC241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860C0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2BE03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EA54B7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保障区委工作稳步提高</w:t>
            </w:r>
          </w:p>
        </w:tc>
        <w:tc>
          <w:tcPr>
            <w:tcW w:w="1125" w:type="dxa"/>
            <w:tcBorders>
              <w:top w:val="nil"/>
              <w:left w:val="nil"/>
              <w:bottom w:val="single" w:color="auto" w:sz="4" w:space="0"/>
              <w:right w:val="single" w:color="auto" w:sz="4" w:space="0"/>
            </w:tcBorders>
            <w:vAlign w:val="center"/>
          </w:tcPr>
          <w:p w14:paraId="264C9B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640788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完全达到预期值</w:t>
            </w:r>
          </w:p>
        </w:tc>
        <w:tc>
          <w:tcPr>
            <w:tcW w:w="755" w:type="dxa"/>
            <w:gridSpan w:val="2"/>
            <w:tcBorders>
              <w:top w:val="single" w:color="auto" w:sz="4" w:space="0"/>
              <w:left w:val="nil"/>
              <w:bottom w:val="single" w:color="auto" w:sz="4" w:space="0"/>
              <w:right w:val="single" w:color="000000" w:sz="4" w:space="0"/>
            </w:tcBorders>
            <w:vAlign w:val="center"/>
          </w:tcPr>
          <w:p w14:paraId="0FFA4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1010FD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76DE2D2C">
            <w:pPr>
              <w:jc w:val="center"/>
              <w:rPr>
                <w:rFonts w:hint="eastAsia" w:ascii="宋体" w:hAnsi="宋体" w:eastAsia="宋体" w:cs="宋体"/>
                <w:color w:val="000000"/>
                <w:sz w:val="18"/>
                <w:szCs w:val="18"/>
              </w:rPr>
            </w:pPr>
          </w:p>
        </w:tc>
      </w:tr>
      <w:tr w14:paraId="7DC62FD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AE81B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6B28F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B2BF2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FF5106A">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1125" w:type="dxa"/>
            <w:tcBorders>
              <w:top w:val="nil"/>
              <w:left w:val="nil"/>
              <w:bottom w:val="single" w:color="auto" w:sz="4" w:space="0"/>
              <w:right w:val="single" w:color="auto" w:sz="4" w:space="0"/>
            </w:tcBorders>
            <w:vAlign w:val="center"/>
          </w:tcPr>
          <w:p w14:paraId="27839B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EEAEA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15280D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A49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0CC041B">
            <w:pPr>
              <w:jc w:val="center"/>
              <w:rPr>
                <w:rFonts w:hint="eastAsia" w:ascii="宋体" w:hAnsi="宋体" w:eastAsia="宋体" w:cs="宋体"/>
                <w:color w:val="000000"/>
                <w:sz w:val="18"/>
                <w:szCs w:val="18"/>
              </w:rPr>
            </w:pPr>
          </w:p>
        </w:tc>
      </w:tr>
      <w:tr w14:paraId="3DC105E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7260F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A1FAF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C91DA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99.89分</w:t>
            </w:r>
          </w:p>
        </w:tc>
        <w:tc>
          <w:tcPr>
            <w:tcW w:w="1984" w:type="dxa"/>
            <w:gridSpan w:val="2"/>
            <w:tcBorders>
              <w:top w:val="single" w:color="auto" w:sz="4" w:space="0"/>
              <w:left w:val="nil"/>
              <w:bottom w:val="single" w:color="auto" w:sz="4" w:space="0"/>
              <w:right w:val="single" w:color="auto" w:sz="4" w:space="0"/>
            </w:tcBorders>
            <w:vAlign w:val="center"/>
          </w:tcPr>
          <w:p w14:paraId="427FD952">
            <w:pPr>
              <w:jc w:val="center"/>
              <w:rPr>
                <w:rFonts w:hint="eastAsia" w:ascii="宋体" w:hAnsi="宋体" w:eastAsia="宋体" w:cs="宋体"/>
                <w:b/>
                <w:bCs/>
                <w:color w:val="000000"/>
                <w:sz w:val="18"/>
                <w:szCs w:val="18"/>
              </w:rPr>
            </w:pPr>
          </w:p>
        </w:tc>
      </w:tr>
      <w:bookmarkEnd w:id="10"/>
    </w:tbl>
    <w:p w14:paraId="57640890">
      <w:pPr>
        <w:spacing w:after="0" w:line="240" w:lineRule="auto"/>
        <w:ind w:firstLine="640" w:firstLineChars="200"/>
        <w:jc w:val="both"/>
        <w:rPr>
          <w:rFonts w:hint="eastAsia" w:ascii="仿宋_GB2312" w:eastAsia="仿宋_GB2312"/>
          <w:sz w:val="32"/>
          <w:szCs w:val="32"/>
          <w:lang w:eastAsia="zh-CN"/>
        </w:rPr>
      </w:pPr>
    </w:p>
    <w:p w14:paraId="6650A56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3EE6E0B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A48E849">
      <w:pPr>
        <w:spacing w:after="0" w:line="240" w:lineRule="auto"/>
        <w:ind w:firstLine="640" w:firstLineChars="200"/>
        <w:rPr>
          <w:rFonts w:ascii="仿宋_GB2312" w:eastAsia="仿宋_GB2312"/>
          <w:sz w:val="32"/>
          <w:szCs w:val="32"/>
          <w:lang w:eastAsia="zh-CN"/>
        </w:rPr>
      </w:pPr>
    </w:p>
    <w:p w14:paraId="1A041DC0">
      <w:pPr>
        <w:rPr>
          <w:rFonts w:hint="eastAsia"/>
          <w:lang w:eastAsia="zh-CN"/>
        </w:rPr>
      </w:pPr>
      <w:r>
        <w:rPr>
          <w:sz w:val="0"/>
          <w:szCs w:val="0"/>
          <w:lang w:eastAsia="zh-CN"/>
        </w:rPr>
        <w:br w:type="page"/>
      </w:r>
    </w:p>
    <w:p w14:paraId="2AF6117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D07C27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DBD163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A0A2FE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3DC3E0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3448A9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785292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A88B1D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91B0B1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D85AC4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C2FE73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4C6936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112CA5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8EA1EB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8AA010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CF6C84E">
      <w:pPr>
        <w:rPr>
          <w:rFonts w:hint="eastAsia"/>
          <w:lang w:eastAsia="zh-CN"/>
        </w:rPr>
      </w:pPr>
      <w:r>
        <w:rPr>
          <w:sz w:val="0"/>
          <w:szCs w:val="0"/>
          <w:lang w:eastAsia="zh-CN"/>
        </w:rPr>
        <w:br w:type="page"/>
      </w:r>
    </w:p>
    <w:p w14:paraId="326F32D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EFE98D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83AE43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652307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A19B27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6E1A29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927E07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9D9F12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904E4B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BC73D3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6A1133"/>
    <w:rsid w:val="00005E9D"/>
    <w:rsid w:val="002834E9"/>
    <w:rsid w:val="00463650"/>
    <w:rsid w:val="006A1133"/>
    <w:rsid w:val="0084588C"/>
    <w:rsid w:val="009D3B50"/>
    <w:rsid w:val="00E357E3"/>
    <w:rsid w:val="67F122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3">
    <w:name w:val="Default Paragraph Font"/>
    <w:semiHidden/>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0">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2">
    <w:name w:val="Table Grid"/>
    <w:basedOn w:val="1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qFormat/>
    <w:uiPriority w:val="99"/>
    <w:rPr>
      <w:color w:val="0563C1" w:themeColor="hyperlink"/>
      <w:u w:val="single"/>
    </w:rPr>
  </w:style>
  <w:style w:type="character" w:customStyle="1" w:styleId="16">
    <w:name w:val="页眉 字符"/>
    <w:basedOn w:val="13"/>
    <w:link w:val="8"/>
    <w:qFormat/>
    <w:uiPriority w:val="99"/>
  </w:style>
  <w:style w:type="character" w:customStyle="1" w:styleId="17">
    <w:name w:val="标题 1 字符"/>
    <w:basedOn w:val="13"/>
    <w:link w:val="2"/>
    <w:uiPriority w:val="9"/>
    <w:rPr>
      <w:rFonts w:asciiTheme="majorHAnsi" w:hAnsiTheme="majorHAnsi" w:eastAsiaTheme="majorEastAsia" w:cstheme="majorBidi"/>
      <w:b/>
      <w:bCs/>
      <w:color w:val="2F5496" w:themeColor="accent1" w:themeShade="BF"/>
      <w:sz w:val="28"/>
      <w:szCs w:val="28"/>
    </w:rPr>
  </w:style>
  <w:style w:type="character" w:customStyle="1" w:styleId="18">
    <w:name w:val="标题 2 字符"/>
    <w:basedOn w:val="13"/>
    <w:link w:val="3"/>
    <w:uiPriority w:val="9"/>
    <w:rPr>
      <w:rFonts w:asciiTheme="majorHAnsi" w:hAnsiTheme="majorHAnsi" w:eastAsiaTheme="majorEastAsia" w:cstheme="majorBidi"/>
      <w:b/>
      <w:bCs/>
      <w:color w:val="4472C4" w:themeColor="accent1"/>
      <w:sz w:val="26"/>
      <w:szCs w:val="26"/>
    </w:rPr>
  </w:style>
  <w:style w:type="character" w:customStyle="1" w:styleId="19">
    <w:name w:val="标题 3 字符"/>
    <w:basedOn w:val="13"/>
    <w:link w:val="4"/>
    <w:uiPriority w:val="9"/>
    <w:rPr>
      <w:rFonts w:asciiTheme="majorHAnsi" w:hAnsiTheme="majorHAnsi" w:eastAsiaTheme="majorEastAsia" w:cstheme="majorBidi"/>
      <w:b/>
      <w:bCs/>
      <w:color w:val="4472C4" w:themeColor="accent1"/>
    </w:rPr>
  </w:style>
  <w:style w:type="character" w:customStyle="1" w:styleId="20">
    <w:name w:val="标题 4 字符"/>
    <w:basedOn w:val="13"/>
    <w:link w:val="5"/>
    <w:uiPriority w:val="9"/>
    <w:rPr>
      <w:rFonts w:asciiTheme="majorHAnsi" w:hAnsiTheme="majorHAnsi" w:eastAsiaTheme="majorEastAsia" w:cstheme="majorBidi"/>
      <w:b/>
      <w:bCs/>
      <w:i/>
      <w:iCs/>
      <w:color w:val="4472C4" w:themeColor="accent1"/>
    </w:rPr>
  </w:style>
  <w:style w:type="character" w:customStyle="1" w:styleId="21">
    <w:name w:val="副标题 字符"/>
    <w:basedOn w:val="13"/>
    <w:link w:val="9"/>
    <w:qFormat/>
    <w:uiPriority w:val="11"/>
    <w:rPr>
      <w:rFonts w:asciiTheme="majorHAnsi" w:hAnsiTheme="majorHAnsi" w:eastAsiaTheme="majorEastAsia" w:cstheme="majorBidi"/>
      <w:i/>
      <w:iCs/>
      <w:color w:val="4472C4" w:themeColor="accent1"/>
      <w:spacing w:val="15"/>
      <w:sz w:val="24"/>
      <w:szCs w:val="24"/>
    </w:rPr>
  </w:style>
  <w:style w:type="character" w:customStyle="1" w:styleId="22">
    <w:name w:val="标题 字符"/>
    <w:basedOn w:val="13"/>
    <w:link w:val="10"/>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6798</Words>
  <Characters>7541</Characters>
  <Lines>847</Lines>
  <Paragraphs>795</Paragraphs>
  <TotalTime>33</TotalTime>
  <ScaleCrop>false</ScaleCrop>
  <LinksUpToDate>false</LinksUpToDate>
  <CharactersWithSpaces>7551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2025-10-07T06:49:00Z</dcterms:created>
  <dc:creator>华为</dc:creator>
  <cp:lastModifiedBy>辣庅小</cp:lastModifiedBy>
  <dcterms:modified xsi:type="dcterms:W3CDTF">2025-10-14T04:23:58Z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D205BE055A91463A85C90EF5EAFBA575_12</vt:lpwstr>
  </property>
</Properties>
</file>