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06CE04">
      <w:pPr>
        <w:widowControl/>
        <w:jc w:val="left"/>
        <w:rPr>
          <w:rFonts w:ascii="宋体" w:eastAsia="宋体"/>
          <w:sz w:val="32"/>
          <w:szCs w:val="32"/>
        </w:rPr>
      </w:pPr>
    </w:p>
    <w:p w14:paraId="45356230">
      <w:pPr>
        <w:widowControl/>
        <w:jc w:val="left"/>
        <w:rPr>
          <w:rFonts w:ascii="宋体" w:eastAsia="宋体"/>
          <w:sz w:val="44"/>
          <w:szCs w:val="44"/>
        </w:rPr>
      </w:pPr>
    </w:p>
    <w:p w14:paraId="485A972E">
      <w:pPr>
        <w:widowControl/>
        <w:jc w:val="left"/>
        <w:rPr>
          <w:rFonts w:ascii="宋体" w:eastAsia="宋体"/>
          <w:sz w:val="44"/>
          <w:szCs w:val="44"/>
        </w:rPr>
      </w:pPr>
    </w:p>
    <w:p w14:paraId="4212F8F5">
      <w:pPr>
        <w:widowControl/>
        <w:jc w:val="left"/>
        <w:rPr>
          <w:rFonts w:ascii="宋体" w:eastAsia="宋体"/>
          <w:sz w:val="44"/>
          <w:szCs w:val="44"/>
        </w:rPr>
      </w:pPr>
    </w:p>
    <w:p w14:paraId="0884A1B1">
      <w:pPr>
        <w:widowControl/>
        <w:jc w:val="center"/>
        <w:outlineLvl w:val="0"/>
        <w:rPr>
          <w:rFonts w:ascii="宋体" w:eastAsia="黑体"/>
          <w:sz w:val="44"/>
          <w:szCs w:val="44"/>
        </w:rPr>
      </w:pPr>
      <w:r>
        <w:rPr>
          <w:rFonts w:ascii="宋体" w:eastAsia="黑体"/>
          <w:sz w:val="44"/>
          <w:szCs w:val="44"/>
        </w:rPr>
        <w:t>乌鲁木齐市第117小学</w:t>
      </w:r>
    </w:p>
    <w:p w14:paraId="381370DC">
      <w:pPr>
        <w:widowControl/>
        <w:jc w:val="center"/>
        <w:outlineLvl w:val="0"/>
        <w:rPr>
          <w:rFonts w:ascii="黑体" w:eastAsia="黑体"/>
          <w:sz w:val="44"/>
          <w:szCs w:val="44"/>
        </w:rPr>
      </w:pPr>
      <w:r>
        <w:rPr>
          <w:rFonts w:ascii="黑体" w:eastAsia="黑体"/>
          <w:sz w:val="44"/>
          <w:szCs w:val="44"/>
        </w:rPr>
        <w:t>2024年度部门决算公开说明</w:t>
      </w:r>
    </w:p>
    <w:p w14:paraId="321D9D7F">
      <w:pPr>
        <w:widowControl/>
      </w:pPr>
      <w:r>
        <w:rPr>
          <w:sz w:val="0"/>
          <w:szCs w:val="0"/>
        </w:rPr>
        <w:br w:type="page"/>
      </w:r>
    </w:p>
    <w:p w14:paraId="4C2F7C44">
      <w:pPr>
        <w:widowControl/>
        <w:jc w:val="center"/>
        <w:rPr>
          <w:rFonts w:ascii="黑体" w:eastAsia="黑体"/>
          <w:sz w:val="32"/>
          <w:szCs w:val="32"/>
        </w:rPr>
      </w:pPr>
      <w:r>
        <w:rPr>
          <w:rFonts w:ascii="黑体" w:eastAsia="黑体"/>
          <w:b/>
          <w:sz w:val="32"/>
          <w:szCs w:val="32"/>
        </w:rPr>
        <w:t>目  录</w:t>
      </w:r>
    </w:p>
    <w:p w14:paraId="49DF8878">
      <w:pPr>
        <w:widowControl/>
        <w:jc w:val="left"/>
        <w:rPr>
          <w:rFonts w:ascii="仿宋_GB2312" w:eastAsia="仿宋_GB2312"/>
          <w:sz w:val="32"/>
          <w:szCs w:val="32"/>
        </w:rPr>
      </w:pPr>
      <w:r>
        <w:rPr>
          <w:rFonts w:ascii="仿宋_GB2312" w:eastAsia="仿宋_GB2312"/>
          <w:b/>
          <w:sz w:val="32"/>
          <w:szCs w:val="32"/>
        </w:rPr>
        <w:t>第一部分单位概况</w:t>
      </w:r>
    </w:p>
    <w:p w14:paraId="5C8A4339">
      <w:pPr>
        <w:widowControl/>
        <w:jc w:val="left"/>
        <w:rPr>
          <w:rFonts w:ascii="仿宋_GB2312" w:eastAsia="仿宋_GB2312"/>
          <w:sz w:val="32"/>
          <w:szCs w:val="32"/>
        </w:rPr>
      </w:pPr>
      <w:r>
        <w:rPr>
          <w:rFonts w:ascii="仿宋_GB2312" w:eastAsia="仿宋_GB2312"/>
          <w:sz w:val="32"/>
          <w:szCs w:val="32"/>
        </w:rPr>
        <w:t>一、主要职能</w:t>
      </w:r>
    </w:p>
    <w:p w14:paraId="01B3B8F5">
      <w:pPr>
        <w:widowControl/>
        <w:jc w:val="left"/>
        <w:rPr>
          <w:rFonts w:ascii="仿宋_GB2312" w:eastAsia="仿宋_GB2312"/>
          <w:sz w:val="32"/>
          <w:szCs w:val="32"/>
        </w:rPr>
      </w:pPr>
      <w:r>
        <w:rPr>
          <w:rFonts w:ascii="仿宋_GB2312" w:eastAsia="仿宋_GB2312"/>
          <w:sz w:val="32"/>
          <w:szCs w:val="32"/>
        </w:rPr>
        <w:t>二、机构设置及人员情况</w:t>
      </w:r>
    </w:p>
    <w:p w14:paraId="22C2BC70">
      <w:pPr>
        <w:widowControl/>
        <w:jc w:val="left"/>
        <w:rPr>
          <w:rFonts w:ascii="仿宋_GB2312" w:eastAsia="仿宋_GB2312"/>
          <w:sz w:val="32"/>
          <w:szCs w:val="32"/>
        </w:rPr>
      </w:pPr>
      <w:r>
        <w:rPr>
          <w:rFonts w:ascii="仿宋_GB2312" w:eastAsia="仿宋_GB2312"/>
          <w:b/>
          <w:sz w:val="32"/>
          <w:szCs w:val="32"/>
        </w:rPr>
        <w:t>第二部分 部门决算情况说明</w:t>
      </w:r>
    </w:p>
    <w:p w14:paraId="7CCDA1BB">
      <w:pPr>
        <w:widowControl/>
        <w:jc w:val="left"/>
        <w:rPr>
          <w:rFonts w:ascii="仿宋_GB2312" w:eastAsia="仿宋_GB2312"/>
          <w:sz w:val="32"/>
          <w:szCs w:val="32"/>
        </w:rPr>
      </w:pPr>
      <w:r>
        <w:rPr>
          <w:rFonts w:ascii="仿宋_GB2312" w:eastAsia="仿宋_GB2312"/>
          <w:sz w:val="32"/>
          <w:szCs w:val="32"/>
        </w:rPr>
        <w:t>一、收入支出决算总体情况说明</w:t>
      </w:r>
    </w:p>
    <w:p w14:paraId="767E47A7">
      <w:pPr>
        <w:widowControl/>
        <w:jc w:val="left"/>
        <w:rPr>
          <w:rFonts w:ascii="仿宋_GB2312" w:eastAsia="仿宋_GB2312"/>
          <w:sz w:val="32"/>
          <w:szCs w:val="32"/>
        </w:rPr>
      </w:pPr>
      <w:r>
        <w:rPr>
          <w:rFonts w:ascii="仿宋_GB2312" w:eastAsia="仿宋_GB2312"/>
          <w:sz w:val="32"/>
          <w:szCs w:val="32"/>
        </w:rPr>
        <w:t>二、收入决算情况说明</w:t>
      </w:r>
    </w:p>
    <w:p w14:paraId="2C6D7CFA">
      <w:pPr>
        <w:widowControl/>
        <w:jc w:val="left"/>
        <w:rPr>
          <w:rFonts w:ascii="仿宋_GB2312" w:eastAsia="仿宋_GB2312"/>
          <w:sz w:val="32"/>
          <w:szCs w:val="32"/>
        </w:rPr>
      </w:pPr>
      <w:r>
        <w:rPr>
          <w:rFonts w:ascii="仿宋_GB2312" w:eastAsia="仿宋_GB2312"/>
          <w:sz w:val="32"/>
          <w:szCs w:val="32"/>
        </w:rPr>
        <w:t>三、支出决算情况说明</w:t>
      </w:r>
    </w:p>
    <w:p w14:paraId="3ECC02AC">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1966A086">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65C01E2F">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211E7C5D">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4CDD103C">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69F5F299">
      <w:pPr>
        <w:widowControl/>
        <w:jc w:val="left"/>
        <w:rPr>
          <w:rFonts w:ascii="仿宋_GB2312" w:eastAsia="仿宋_GB2312"/>
          <w:sz w:val="32"/>
          <w:szCs w:val="32"/>
        </w:rPr>
      </w:pPr>
      <w:r>
        <w:rPr>
          <w:rFonts w:ascii="仿宋_GB2312" w:eastAsia="仿宋_GB2312"/>
          <w:sz w:val="32"/>
          <w:szCs w:val="32"/>
        </w:rPr>
        <w:t>​六、一般公共预算财政拨款基本支出决算情况说明</w:t>
      </w:r>
    </w:p>
    <w:p w14:paraId="5FE01AC9">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6FB1E69D">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7F3217BB">
      <w:pPr>
        <w:widowControl/>
        <w:jc w:val="left"/>
        <w:rPr>
          <w:rFonts w:ascii="仿宋_GB2312" w:eastAsia="仿宋_GB2312"/>
          <w:sz w:val="32"/>
          <w:szCs w:val="32"/>
        </w:rPr>
      </w:pPr>
      <w:r>
        <w:rPr>
          <w:rFonts w:ascii="仿宋_GB2312" w:eastAsia="仿宋_GB2312"/>
          <w:sz w:val="32"/>
          <w:szCs w:val="32"/>
        </w:rPr>
        <w:t>九、财政拨款“三公”经费支出决算情况说明</w:t>
      </w:r>
    </w:p>
    <w:p w14:paraId="31E9A3E9">
      <w:pPr>
        <w:widowControl/>
        <w:jc w:val="left"/>
        <w:rPr>
          <w:rFonts w:ascii="仿宋_GB2312" w:eastAsia="仿宋_GB2312"/>
          <w:sz w:val="32"/>
          <w:szCs w:val="32"/>
        </w:rPr>
      </w:pPr>
      <w:r>
        <w:rPr>
          <w:rFonts w:ascii="仿宋_GB2312" w:eastAsia="仿宋_GB2312"/>
          <w:sz w:val="32"/>
          <w:szCs w:val="32"/>
        </w:rPr>
        <w:t>​十、其他重要事项的情况说明</w:t>
      </w:r>
    </w:p>
    <w:p w14:paraId="21B253BC">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51757010">
      <w:pPr>
        <w:widowControl/>
        <w:jc w:val="left"/>
        <w:rPr>
          <w:rFonts w:ascii="仿宋_GB2312" w:eastAsia="仿宋_GB2312"/>
          <w:sz w:val="32"/>
          <w:szCs w:val="32"/>
        </w:rPr>
      </w:pPr>
      <w:r>
        <w:rPr>
          <w:rFonts w:ascii="仿宋_GB2312" w:eastAsia="仿宋_GB2312"/>
          <w:sz w:val="32"/>
          <w:szCs w:val="32"/>
        </w:rPr>
        <w:t>（二）政府采购情况</w:t>
      </w:r>
    </w:p>
    <w:p w14:paraId="7A28E296">
      <w:pPr>
        <w:widowControl/>
        <w:jc w:val="left"/>
        <w:rPr>
          <w:rFonts w:ascii="仿宋_GB2312" w:eastAsia="仿宋_GB2312"/>
          <w:sz w:val="32"/>
          <w:szCs w:val="32"/>
        </w:rPr>
      </w:pPr>
      <w:r>
        <w:rPr>
          <w:rFonts w:ascii="仿宋_GB2312" w:eastAsia="仿宋_GB2312"/>
          <w:sz w:val="32"/>
          <w:szCs w:val="32"/>
        </w:rPr>
        <w:t>（三）国有资产占用情况说明</w:t>
      </w:r>
    </w:p>
    <w:p w14:paraId="390C556E">
      <w:pPr>
        <w:widowControl/>
        <w:jc w:val="left"/>
        <w:rPr>
          <w:rFonts w:ascii="仿宋_GB2312" w:eastAsia="仿宋_GB2312"/>
          <w:sz w:val="32"/>
          <w:szCs w:val="32"/>
        </w:rPr>
      </w:pPr>
      <w:r>
        <w:rPr>
          <w:rFonts w:ascii="仿宋_GB2312" w:eastAsia="仿宋_GB2312"/>
          <w:sz w:val="32"/>
          <w:szCs w:val="32"/>
        </w:rPr>
        <w:t>十一、预算绩效的情况说明</w:t>
      </w:r>
    </w:p>
    <w:p w14:paraId="28175CB8">
      <w:pPr>
        <w:widowControl/>
        <w:jc w:val="left"/>
        <w:rPr>
          <w:rFonts w:ascii="仿宋_GB2312" w:eastAsia="仿宋_GB2312"/>
          <w:sz w:val="32"/>
          <w:szCs w:val="32"/>
        </w:rPr>
      </w:pPr>
      <w:r>
        <w:rPr>
          <w:rFonts w:ascii="仿宋_GB2312" w:eastAsia="仿宋_GB2312"/>
          <w:sz w:val="32"/>
          <w:szCs w:val="32"/>
        </w:rPr>
        <w:t>十二、其他需说明的事项</w:t>
      </w:r>
    </w:p>
    <w:p w14:paraId="16BB3FFE">
      <w:pPr>
        <w:widowControl/>
        <w:jc w:val="left"/>
        <w:rPr>
          <w:rFonts w:ascii="仿宋_GB2312" w:eastAsia="仿宋_GB2312"/>
          <w:sz w:val="32"/>
          <w:szCs w:val="32"/>
        </w:rPr>
      </w:pPr>
      <w:r>
        <w:rPr>
          <w:rFonts w:ascii="仿宋_GB2312" w:eastAsia="仿宋_GB2312"/>
          <w:b/>
          <w:sz w:val="32"/>
          <w:szCs w:val="32"/>
        </w:rPr>
        <w:t>第三部分 专业名词解释</w:t>
      </w:r>
    </w:p>
    <w:p w14:paraId="08B21F4E">
      <w:pPr>
        <w:widowControl/>
        <w:jc w:val="left"/>
        <w:rPr>
          <w:rFonts w:ascii="仿宋_GB2312" w:eastAsia="仿宋_GB2312"/>
          <w:sz w:val="32"/>
          <w:szCs w:val="32"/>
        </w:rPr>
      </w:pPr>
      <w:r>
        <w:rPr>
          <w:rFonts w:ascii="仿宋_GB2312" w:eastAsia="仿宋_GB2312"/>
          <w:b/>
          <w:sz w:val="32"/>
          <w:szCs w:val="32"/>
        </w:rPr>
        <w:t>第四部分 部门决算报表（见附表）</w:t>
      </w:r>
    </w:p>
    <w:p w14:paraId="47FF85BE">
      <w:pPr>
        <w:widowControl/>
        <w:jc w:val="left"/>
        <w:rPr>
          <w:rFonts w:ascii="仿宋_GB2312" w:eastAsia="仿宋_GB2312"/>
          <w:sz w:val="32"/>
          <w:szCs w:val="32"/>
        </w:rPr>
      </w:pPr>
      <w:r>
        <w:rPr>
          <w:rFonts w:ascii="仿宋_GB2312" w:eastAsia="仿宋_GB2312"/>
          <w:sz w:val="32"/>
          <w:szCs w:val="32"/>
        </w:rPr>
        <w:t>一、《收入支出决算总表》</w:t>
      </w:r>
    </w:p>
    <w:p w14:paraId="45D0E117">
      <w:pPr>
        <w:widowControl/>
        <w:jc w:val="left"/>
        <w:rPr>
          <w:rFonts w:ascii="仿宋_GB2312" w:eastAsia="仿宋_GB2312"/>
          <w:sz w:val="32"/>
          <w:szCs w:val="32"/>
        </w:rPr>
      </w:pPr>
      <w:r>
        <w:rPr>
          <w:rFonts w:ascii="仿宋_GB2312" w:eastAsia="仿宋_GB2312"/>
          <w:sz w:val="32"/>
          <w:szCs w:val="32"/>
        </w:rPr>
        <w:t>二、《收入决算表》</w:t>
      </w:r>
    </w:p>
    <w:p w14:paraId="45E2D341">
      <w:pPr>
        <w:widowControl/>
        <w:jc w:val="left"/>
        <w:rPr>
          <w:rFonts w:ascii="仿宋_GB2312" w:eastAsia="仿宋_GB2312"/>
          <w:sz w:val="32"/>
          <w:szCs w:val="32"/>
        </w:rPr>
      </w:pPr>
      <w:r>
        <w:rPr>
          <w:rFonts w:ascii="仿宋_GB2312" w:eastAsia="仿宋_GB2312"/>
          <w:sz w:val="32"/>
          <w:szCs w:val="32"/>
        </w:rPr>
        <w:t>三、《支出决算表》</w:t>
      </w:r>
    </w:p>
    <w:p w14:paraId="1F989D0F">
      <w:pPr>
        <w:widowControl/>
        <w:jc w:val="left"/>
        <w:rPr>
          <w:rFonts w:ascii="仿宋_GB2312" w:eastAsia="仿宋_GB2312"/>
          <w:sz w:val="32"/>
          <w:szCs w:val="32"/>
        </w:rPr>
      </w:pPr>
      <w:r>
        <w:rPr>
          <w:rFonts w:ascii="仿宋_GB2312" w:eastAsia="仿宋_GB2312"/>
          <w:sz w:val="32"/>
          <w:szCs w:val="32"/>
        </w:rPr>
        <w:t>四、《财政拨款收入支出决算总表》</w:t>
      </w:r>
    </w:p>
    <w:p w14:paraId="2E9DC64B">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7AA2562B">
      <w:pPr>
        <w:widowControl/>
        <w:jc w:val="left"/>
        <w:rPr>
          <w:rFonts w:ascii="仿宋_GB2312" w:eastAsia="仿宋_GB2312"/>
          <w:sz w:val="32"/>
          <w:szCs w:val="32"/>
        </w:rPr>
      </w:pPr>
      <w:r>
        <w:rPr>
          <w:rFonts w:ascii="仿宋_GB2312" w:eastAsia="仿宋_GB2312"/>
          <w:sz w:val="32"/>
          <w:szCs w:val="32"/>
        </w:rPr>
        <w:t>六、《一般公共预算财政拨款基本支出决算表》</w:t>
      </w:r>
    </w:p>
    <w:p w14:paraId="0A8DBD2A">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35A404C2">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6B850C7F">
      <w:pPr>
        <w:widowControl/>
        <w:jc w:val="left"/>
        <w:rPr>
          <w:rFonts w:ascii="仿宋_GB2312" w:eastAsia="仿宋_GB2312"/>
          <w:sz w:val="32"/>
          <w:szCs w:val="32"/>
        </w:rPr>
      </w:pPr>
      <w:r>
        <w:rPr>
          <w:rFonts w:ascii="仿宋_GB2312" w:eastAsia="仿宋_GB2312"/>
          <w:sz w:val="32"/>
          <w:szCs w:val="32"/>
        </w:rPr>
        <w:t>九、《财政拨款“三公”经费支出决算表》</w:t>
      </w:r>
    </w:p>
    <w:p w14:paraId="2B78739F">
      <w:pPr>
        <w:widowControl/>
      </w:pPr>
      <w:r>
        <w:rPr>
          <w:sz w:val="0"/>
          <w:szCs w:val="0"/>
        </w:rPr>
        <w:br w:type="page"/>
      </w:r>
    </w:p>
    <w:p w14:paraId="69B2E0AF">
      <w:pPr>
        <w:widowControl/>
        <w:jc w:val="center"/>
        <w:outlineLvl w:val="0"/>
        <w:rPr>
          <w:rFonts w:ascii="黑体" w:eastAsia="黑体"/>
          <w:sz w:val="32"/>
          <w:szCs w:val="32"/>
        </w:rPr>
      </w:pPr>
      <w:r>
        <w:rPr>
          <w:rFonts w:ascii="黑体" w:eastAsia="黑体"/>
          <w:sz w:val="32"/>
          <w:szCs w:val="32"/>
        </w:rPr>
        <w:t>第一部分 单位概况</w:t>
      </w:r>
    </w:p>
    <w:p w14:paraId="0D478B2E">
      <w:pPr>
        <w:widowControl/>
        <w:ind w:firstLine="640" w:firstLineChars="200"/>
        <w:jc w:val="left"/>
        <w:outlineLvl w:val="1"/>
        <w:rPr>
          <w:rFonts w:ascii="黑体" w:eastAsia="黑体"/>
          <w:sz w:val="32"/>
          <w:szCs w:val="32"/>
        </w:rPr>
      </w:pPr>
      <w:r>
        <w:rPr>
          <w:rFonts w:ascii="黑体" w:eastAsia="黑体"/>
          <w:sz w:val="32"/>
          <w:szCs w:val="32"/>
        </w:rPr>
        <w:t> 一、主要职能</w:t>
      </w:r>
    </w:p>
    <w:p w14:paraId="1315992B">
      <w:pPr>
        <w:widowControl/>
        <w:ind w:firstLine="640" w:firstLineChars="200"/>
        <w:rPr>
          <w:rFonts w:ascii="仿宋_GB2312" w:eastAsia="仿宋_GB2312"/>
          <w:sz w:val="32"/>
          <w:szCs w:val="32"/>
        </w:rPr>
      </w:pPr>
      <w:r>
        <w:rPr>
          <w:rFonts w:hint="eastAsia" w:ascii="仿宋_GB2312" w:eastAsia="仿宋_GB2312"/>
          <w:sz w:val="32"/>
        </w:rPr>
        <w:t>本校是一所普通小学。主要是招收适龄儿童实施初等教育的独立设置学校。确立了“以市场为导向，以服务为宗旨，以需求为目标，以管理促效益，以质量求生存”的办学理念和工作思路</w:t>
      </w:r>
      <w:r>
        <w:rPr>
          <w:rFonts w:ascii="仿宋_GB2312" w:eastAsia="仿宋_GB2312"/>
          <w:sz w:val="32"/>
          <w:szCs w:val="32"/>
        </w:rPr>
        <w:t>。</w:t>
      </w:r>
    </w:p>
    <w:p w14:paraId="66C0EB7B">
      <w:pPr>
        <w:widowControl/>
        <w:ind w:firstLine="640" w:firstLineChars="200"/>
        <w:jc w:val="left"/>
        <w:outlineLvl w:val="1"/>
        <w:rPr>
          <w:rFonts w:ascii="黑体" w:eastAsia="黑体"/>
          <w:sz w:val="32"/>
          <w:szCs w:val="32"/>
        </w:rPr>
      </w:pPr>
      <w:r>
        <w:rPr>
          <w:rFonts w:ascii="黑体" w:eastAsia="黑体"/>
          <w:sz w:val="32"/>
          <w:szCs w:val="32"/>
        </w:rPr>
        <w:t>二、机构设置及人员情况</w:t>
      </w:r>
    </w:p>
    <w:p w14:paraId="5EE8491F">
      <w:pPr>
        <w:widowControl/>
        <w:ind w:firstLine="640" w:firstLineChars="200"/>
        <w:rPr>
          <w:rFonts w:ascii="仿宋_GB2312" w:eastAsia="仿宋_GB2312"/>
          <w:sz w:val="32"/>
          <w:szCs w:val="32"/>
        </w:rPr>
      </w:pPr>
      <w:r>
        <w:rPr>
          <w:rFonts w:ascii="仿宋_GB2312" w:eastAsia="仿宋_GB2312"/>
          <w:sz w:val="32"/>
          <w:szCs w:val="32"/>
        </w:rPr>
        <w:t>乌鲁木齐市第117小学2024年度，实有人数57人，其中：在职人员25人，减少1人；离休人员0人，较上年无变化；退休人员32人，增加1人。</w:t>
      </w:r>
    </w:p>
    <w:p w14:paraId="4FF59143">
      <w:pPr>
        <w:widowControl/>
        <w:ind w:firstLine="640" w:firstLineChars="200"/>
        <w:rPr>
          <w:rFonts w:ascii="仿宋_GB2312" w:eastAsia="仿宋_GB2312"/>
          <w:sz w:val="32"/>
          <w:szCs w:val="32"/>
        </w:rPr>
      </w:pPr>
      <w:r>
        <w:rPr>
          <w:rFonts w:ascii="仿宋_GB2312" w:eastAsia="仿宋_GB2312"/>
          <w:sz w:val="32"/>
          <w:szCs w:val="32"/>
        </w:rPr>
        <w:t>乌鲁木齐市第117小学无下属预算单位，下设6个科室，分别是：党政办、教务处、总务处、财务室、安全办、德育办。</w:t>
      </w:r>
    </w:p>
    <w:p w14:paraId="08C8E1CF">
      <w:pPr>
        <w:widowControl/>
      </w:pPr>
      <w:r>
        <w:rPr>
          <w:sz w:val="0"/>
          <w:szCs w:val="0"/>
        </w:rPr>
        <w:br w:type="page"/>
      </w:r>
    </w:p>
    <w:p w14:paraId="7989EE9F">
      <w:pPr>
        <w:widowControl/>
        <w:jc w:val="center"/>
        <w:outlineLvl w:val="0"/>
        <w:rPr>
          <w:rFonts w:ascii="黑体" w:eastAsia="黑体"/>
          <w:sz w:val="32"/>
          <w:szCs w:val="32"/>
        </w:rPr>
      </w:pPr>
      <w:r>
        <w:rPr>
          <w:rFonts w:ascii="黑体" w:eastAsia="黑体"/>
          <w:sz w:val="32"/>
          <w:szCs w:val="32"/>
        </w:rPr>
        <w:t>第二部分 部门决算情况说明</w:t>
      </w:r>
    </w:p>
    <w:p w14:paraId="193EA83B">
      <w:pPr>
        <w:widowControl/>
        <w:ind w:firstLine="640" w:firstLineChars="200"/>
        <w:jc w:val="left"/>
        <w:outlineLvl w:val="1"/>
        <w:rPr>
          <w:rFonts w:ascii="黑体" w:eastAsia="黑体"/>
          <w:sz w:val="32"/>
          <w:szCs w:val="32"/>
        </w:rPr>
      </w:pPr>
      <w:r>
        <w:rPr>
          <w:rFonts w:ascii="黑体" w:eastAsia="黑体"/>
          <w:sz w:val="32"/>
          <w:szCs w:val="32"/>
        </w:rPr>
        <w:t>一、收入支出决算总体情况说明</w:t>
      </w:r>
    </w:p>
    <w:p w14:paraId="7B14AF7B">
      <w:pPr>
        <w:widowControl/>
        <w:ind w:firstLine="640" w:firstLineChars="200"/>
        <w:rPr>
          <w:rFonts w:ascii="仿宋_GB2312" w:eastAsia="仿宋_GB2312"/>
          <w:sz w:val="32"/>
          <w:szCs w:val="32"/>
        </w:rPr>
      </w:pPr>
      <w:r>
        <w:rPr>
          <w:rFonts w:ascii="仿宋_GB2312" w:eastAsia="仿宋_GB2312"/>
          <w:sz w:val="32"/>
          <w:szCs w:val="32"/>
        </w:rPr>
        <w:t>2024年度收入总计529.33万元，其中：本年收入合计524.68万元，使用非财政拨款结余（含专用结余）0.00万元，年初结转和结余4.65万元。</w:t>
      </w:r>
    </w:p>
    <w:p w14:paraId="4C1121D8">
      <w:pPr>
        <w:widowControl/>
        <w:ind w:firstLine="640" w:firstLineChars="200"/>
        <w:rPr>
          <w:rFonts w:ascii="仿宋_GB2312" w:eastAsia="仿宋_GB2312"/>
          <w:sz w:val="32"/>
          <w:szCs w:val="32"/>
        </w:rPr>
      </w:pPr>
      <w:r>
        <w:rPr>
          <w:rFonts w:ascii="仿宋_GB2312" w:eastAsia="仿宋_GB2312"/>
          <w:sz w:val="32"/>
          <w:szCs w:val="32"/>
        </w:rPr>
        <w:t>2024年度支出总计529.33万元，其中：本年支出合计524.02万元，结余分配0.00万元，年末结转和结余5.31万元。</w:t>
      </w:r>
    </w:p>
    <w:p w14:paraId="44F4AE6B">
      <w:pPr>
        <w:widowControl/>
        <w:ind w:firstLine="640" w:firstLineChars="200"/>
        <w:rPr>
          <w:rFonts w:ascii="仿宋_GB2312" w:eastAsia="仿宋_GB2312"/>
          <w:sz w:val="32"/>
          <w:szCs w:val="32"/>
        </w:rPr>
      </w:pPr>
      <w:r>
        <w:rPr>
          <w:rFonts w:ascii="仿宋_GB2312" w:eastAsia="仿宋_GB2312"/>
          <w:sz w:val="32"/>
          <w:szCs w:val="32"/>
        </w:rPr>
        <w:t>收入支出总体与上年相比，减少50.35万元，下降8.69%，主要原因是：</w:t>
      </w:r>
      <w:r>
        <w:rPr>
          <w:rFonts w:hint="eastAsia" w:ascii="仿宋_GB2312" w:eastAsia="仿宋_GB2312"/>
          <w:sz w:val="32"/>
          <w:szCs w:val="32"/>
        </w:rPr>
        <w:t>城乡义务教育经费保障机制-公用经费、义务教育薄弱环节改善与能力提升专项资金、中小学和幼儿园自聘教师工资补助资金等项目经费减少。</w:t>
      </w:r>
    </w:p>
    <w:p w14:paraId="7748E554">
      <w:pPr>
        <w:widowControl/>
        <w:ind w:firstLine="640" w:firstLineChars="200"/>
        <w:jc w:val="left"/>
        <w:outlineLvl w:val="1"/>
        <w:rPr>
          <w:rFonts w:ascii="黑体" w:eastAsia="黑体"/>
          <w:sz w:val="32"/>
          <w:szCs w:val="32"/>
        </w:rPr>
      </w:pPr>
      <w:r>
        <w:rPr>
          <w:rFonts w:ascii="黑体" w:eastAsia="黑体"/>
          <w:sz w:val="32"/>
          <w:szCs w:val="32"/>
        </w:rPr>
        <w:t>二、收入决算情况说明</w:t>
      </w:r>
    </w:p>
    <w:p w14:paraId="171293E5">
      <w:pPr>
        <w:widowControl/>
        <w:ind w:firstLine="640" w:firstLineChars="200"/>
        <w:rPr>
          <w:rFonts w:ascii="仿宋_GB2312" w:eastAsia="仿宋_GB2312"/>
          <w:sz w:val="32"/>
          <w:szCs w:val="32"/>
        </w:rPr>
      </w:pPr>
      <w:r>
        <w:rPr>
          <w:rFonts w:ascii="仿宋_GB2312" w:eastAsia="仿宋_GB2312"/>
          <w:sz w:val="32"/>
          <w:szCs w:val="32"/>
        </w:rPr>
        <w:t>本年收入524.68万元，其中：财政拨款收入507.56万元,占96.74%；上级补助收入0.00万元,占0.00%；事业收入0.00万元，占0.00%；经营收入0.00万元,占0.00%；附属单位上缴收入0.00万元，占0.00%；其他收入17.13万元，占3.26%。</w:t>
      </w:r>
    </w:p>
    <w:p w14:paraId="60F160CF">
      <w:pPr>
        <w:widowControl/>
        <w:ind w:firstLine="640" w:firstLineChars="200"/>
        <w:jc w:val="left"/>
        <w:outlineLvl w:val="1"/>
        <w:rPr>
          <w:rFonts w:ascii="黑体" w:eastAsia="黑体"/>
          <w:sz w:val="32"/>
          <w:szCs w:val="32"/>
        </w:rPr>
      </w:pPr>
      <w:r>
        <w:rPr>
          <w:rFonts w:ascii="黑体" w:eastAsia="黑体"/>
          <w:sz w:val="32"/>
          <w:szCs w:val="32"/>
        </w:rPr>
        <w:t>三、支出决算情况说明</w:t>
      </w:r>
    </w:p>
    <w:p w14:paraId="227BAFFF">
      <w:pPr>
        <w:widowControl/>
        <w:ind w:firstLine="640" w:firstLineChars="200"/>
        <w:rPr>
          <w:rFonts w:ascii="仿宋_GB2312" w:eastAsia="仿宋_GB2312"/>
          <w:sz w:val="32"/>
          <w:szCs w:val="32"/>
        </w:rPr>
      </w:pPr>
      <w:r>
        <w:rPr>
          <w:rFonts w:ascii="仿宋_GB2312" w:eastAsia="仿宋_GB2312"/>
          <w:sz w:val="32"/>
          <w:szCs w:val="32"/>
        </w:rPr>
        <w:t>本年支出524.02万元，其中：基本支出480.61万元，占91.72%；项目支出43.41万元，占8.28%；上缴上级支出0.00万元，占0.00%；经营支出0.00万元，占0.00%；对附属单位补助支出0.00万元，占0.00%。</w:t>
      </w:r>
    </w:p>
    <w:p w14:paraId="5C94135E">
      <w:pPr>
        <w:widowControl/>
        <w:ind w:firstLine="640" w:firstLineChars="200"/>
        <w:jc w:val="left"/>
        <w:outlineLvl w:val="1"/>
        <w:rPr>
          <w:rFonts w:ascii="黑体" w:eastAsia="黑体"/>
          <w:sz w:val="32"/>
          <w:szCs w:val="32"/>
        </w:rPr>
      </w:pPr>
      <w:r>
        <w:rPr>
          <w:rFonts w:ascii="黑体" w:eastAsia="黑体"/>
          <w:sz w:val="32"/>
          <w:szCs w:val="32"/>
        </w:rPr>
        <w:t>四、财政拨款收入支出决算总体情况说明</w:t>
      </w:r>
    </w:p>
    <w:p w14:paraId="718EC75B">
      <w:pPr>
        <w:widowControl/>
        <w:ind w:firstLine="640" w:firstLineChars="200"/>
        <w:rPr>
          <w:rFonts w:ascii="仿宋_GB2312" w:eastAsia="仿宋_GB2312"/>
          <w:sz w:val="32"/>
          <w:szCs w:val="32"/>
        </w:rPr>
      </w:pPr>
      <w:r>
        <w:rPr>
          <w:rFonts w:ascii="仿宋_GB2312" w:eastAsia="仿宋_GB2312"/>
          <w:sz w:val="32"/>
          <w:szCs w:val="32"/>
        </w:rPr>
        <w:t>2024年度财政拨款收入总计511.81万元，其中：年初财政拨款结转和结余4.25万元，本年财政拨款收入507.56万元。财政拨款支出总计511.81万元，其中：年末财政拨款结转和结余4.00万元，本年财政拨款支出507.81万元。</w:t>
      </w:r>
    </w:p>
    <w:p w14:paraId="7175C100">
      <w:pPr>
        <w:widowControl/>
        <w:ind w:firstLine="640" w:firstLineChars="200"/>
        <w:rPr>
          <w:rFonts w:ascii="仿宋_GB2312" w:eastAsia="仿宋_GB2312"/>
          <w:sz w:val="32"/>
          <w:szCs w:val="32"/>
        </w:rPr>
      </w:pPr>
      <w:r>
        <w:rPr>
          <w:rFonts w:ascii="仿宋_GB2312" w:eastAsia="仿宋_GB2312"/>
          <w:sz w:val="32"/>
          <w:szCs w:val="32"/>
        </w:rPr>
        <w:t>财政拨款收入支出总体与上年相比，减少49.34万元，下降8.79%，主要原因是：</w:t>
      </w:r>
      <w:r>
        <w:rPr>
          <w:rFonts w:hint="eastAsia" w:ascii="仿宋_GB2312" w:eastAsia="仿宋_GB2312"/>
          <w:sz w:val="32"/>
          <w:szCs w:val="32"/>
        </w:rPr>
        <w:t>城乡义务教育经费保障机制-公用经费、义务教育薄弱环节改善与能力提升专项资金、中小学和幼儿园自聘教师工资补助资金等项目经费减少。</w:t>
      </w:r>
      <w:r>
        <w:rPr>
          <w:rFonts w:ascii="仿宋_GB2312" w:eastAsia="仿宋_GB2312"/>
          <w:sz w:val="32"/>
          <w:szCs w:val="32"/>
        </w:rPr>
        <w:t>与年初预算相比，年初预算数645.25万元，决算数511.81万元，预决算差异率-20.68%，主要原因是：</w:t>
      </w:r>
      <w:r>
        <w:rPr>
          <w:rFonts w:hint="eastAsia" w:ascii="仿宋_GB2312" w:eastAsia="仿宋_GB2312"/>
          <w:sz w:val="32"/>
          <w:szCs w:val="32"/>
        </w:rPr>
        <w:t>较预算减少城乡义务教育经费保障机制-公用经费、义务教育薄弱环节改善与能力提升专项资金、中小学和幼儿园自聘教师工资补助资金等项目经费。</w:t>
      </w:r>
    </w:p>
    <w:p w14:paraId="289DA4A0">
      <w:pPr>
        <w:widowControl/>
        <w:ind w:firstLine="640" w:firstLineChars="200"/>
        <w:jc w:val="left"/>
        <w:outlineLvl w:val="1"/>
        <w:rPr>
          <w:rFonts w:ascii="黑体" w:eastAsia="黑体"/>
          <w:sz w:val="32"/>
          <w:szCs w:val="32"/>
        </w:rPr>
      </w:pPr>
      <w:r>
        <w:rPr>
          <w:rFonts w:ascii="黑体" w:eastAsia="黑体"/>
          <w:sz w:val="32"/>
          <w:szCs w:val="32"/>
        </w:rPr>
        <w:t>五、一般公共预算财政拨款支出决算情况说明</w:t>
      </w:r>
    </w:p>
    <w:p w14:paraId="160C17DB">
      <w:pPr>
        <w:widowControl/>
        <w:ind w:firstLine="640" w:firstLineChars="200"/>
        <w:jc w:val="left"/>
        <w:outlineLvl w:val="2"/>
        <w:rPr>
          <w:rFonts w:ascii="黑体" w:eastAsia="黑体"/>
          <w:sz w:val="32"/>
          <w:szCs w:val="32"/>
        </w:rPr>
      </w:pPr>
      <w:r>
        <w:rPr>
          <w:rFonts w:ascii="黑体" w:eastAsia="黑体"/>
          <w:sz w:val="32"/>
          <w:szCs w:val="32"/>
        </w:rPr>
        <w:t>（一）一般公共预算财政拨款支出决算总体情况</w:t>
      </w:r>
    </w:p>
    <w:p w14:paraId="1DBCD89B">
      <w:pPr>
        <w:widowControl/>
        <w:ind w:firstLine="640" w:firstLineChars="200"/>
        <w:rPr>
          <w:rFonts w:ascii="仿宋_GB2312" w:eastAsia="仿宋_GB2312"/>
          <w:sz w:val="32"/>
          <w:szCs w:val="32"/>
        </w:rPr>
      </w:pPr>
      <w:r>
        <w:rPr>
          <w:rFonts w:ascii="仿宋_GB2312" w:eastAsia="仿宋_GB2312"/>
          <w:sz w:val="32"/>
          <w:szCs w:val="32"/>
        </w:rPr>
        <w:t>2024年度一般公共预算财政拨款支出507.81万元，占本年支出合计的96.91%。与上年相比，减少29.62万元，下降5.51%，主要原因是：</w:t>
      </w:r>
      <w:r>
        <w:rPr>
          <w:rFonts w:hint="eastAsia" w:ascii="仿宋_GB2312" w:eastAsia="仿宋_GB2312"/>
          <w:sz w:val="32"/>
          <w:szCs w:val="32"/>
        </w:rPr>
        <w:t>城乡义务教育经费保障机制-公用经费、义务教育薄弱环节改善与能力提升专项资金、中小学和幼儿园自聘教师工资补助资金等项目经费减少。</w:t>
      </w:r>
      <w:r>
        <w:rPr>
          <w:rFonts w:ascii="仿宋_GB2312" w:eastAsia="仿宋_GB2312"/>
          <w:sz w:val="32"/>
          <w:szCs w:val="32"/>
        </w:rPr>
        <w:t>与年初预算相比，年初预算数645.25万元，决算数507.81万元，预决算差异率-21.30%，主要原因是：</w:t>
      </w:r>
      <w:r>
        <w:rPr>
          <w:rFonts w:hint="eastAsia" w:ascii="仿宋_GB2312" w:eastAsia="仿宋_GB2312"/>
          <w:sz w:val="32"/>
          <w:szCs w:val="32"/>
        </w:rPr>
        <w:t>较预算减少城乡义务教育经费保障机制-公用经费、义务教育薄弱环节改善与能力提升专项资金、中小学和幼儿园自聘教师工资补助资金等项目经费。</w:t>
      </w:r>
    </w:p>
    <w:p w14:paraId="1D7997E7">
      <w:pPr>
        <w:widowControl/>
        <w:ind w:firstLine="640" w:firstLineChars="200"/>
        <w:jc w:val="left"/>
        <w:outlineLvl w:val="2"/>
        <w:rPr>
          <w:rFonts w:ascii="黑体" w:eastAsia="黑体"/>
          <w:sz w:val="32"/>
          <w:szCs w:val="32"/>
        </w:rPr>
      </w:pPr>
      <w:r>
        <w:rPr>
          <w:rFonts w:ascii="黑体" w:eastAsia="黑体"/>
          <w:sz w:val="32"/>
          <w:szCs w:val="32"/>
        </w:rPr>
        <w:t>（二）一般公共预算财政拨款支出决算结构情况</w:t>
      </w:r>
    </w:p>
    <w:p w14:paraId="044B1835">
      <w:pPr>
        <w:widowControl/>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教育支出（类）504.41万元，占99.33%。</w:t>
      </w:r>
    </w:p>
    <w:p w14:paraId="79FB850C">
      <w:pPr>
        <w:widowControl/>
        <w:ind w:firstLine="640" w:firstLineChars="200"/>
        <w:rPr>
          <w:rFonts w:ascii="仿宋_GB2312" w:eastAsia="仿宋_GB2312"/>
          <w:sz w:val="32"/>
          <w:szCs w:val="32"/>
        </w:rPr>
      </w:pPr>
      <w:r>
        <w:rPr>
          <w:rFonts w:hint="eastAsia" w:ascii="仿宋_GB2312" w:eastAsia="仿宋_GB2312"/>
          <w:sz w:val="32"/>
          <w:szCs w:val="32"/>
        </w:rPr>
        <w:t>2.</w:t>
      </w:r>
      <w:r>
        <w:rPr>
          <w:rFonts w:ascii="仿宋_GB2312" w:eastAsia="仿宋_GB2312"/>
          <w:sz w:val="32"/>
          <w:szCs w:val="32"/>
        </w:rPr>
        <w:t>社会保障和就业支出（类）3.40万元，占0.67%。</w:t>
      </w:r>
    </w:p>
    <w:p w14:paraId="5FFB17A9">
      <w:pPr>
        <w:widowControl/>
        <w:ind w:firstLine="640" w:firstLineChars="200"/>
        <w:jc w:val="left"/>
        <w:outlineLvl w:val="2"/>
        <w:rPr>
          <w:rFonts w:ascii="黑体" w:eastAsia="黑体"/>
          <w:sz w:val="32"/>
          <w:szCs w:val="32"/>
        </w:rPr>
      </w:pPr>
      <w:r>
        <w:rPr>
          <w:rFonts w:ascii="黑体" w:eastAsia="黑体"/>
          <w:sz w:val="32"/>
          <w:szCs w:val="32"/>
        </w:rPr>
        <w:t>（三）一般公共预算财政拨款支出决算具体情况</w:t>
      </w:r>
    </w:p>
    <w:p w14:paraId="665B4176">
      <w:pPr>
        <w:widowControl/>
        <w:ind w:firstLine="640" w:firstLineChars="200"/>
        <w:rPr>
          <w:rFonts w:ascii="仿宋_GB2312" w:eastAsia="仿宋_GB2312"/>
          <w:sz w:val="32"/>
          <w:szCs w:val="32"/>
        </w:rPr>
      </w:pPr>
      <w:r>
        <w:rPr>
          <w:rFonts w:ascii="仿宋_GB2312" w:eastAsia="仿宋_GB2312"/>
          <w:sz w:val="32"/>
          <w:szCs w:val="32"/>
        </w:rPr>
        <w:t>1、教育支出（类）普通教育（款）小学教育（项）：支出决算数为504.41万元，比上年决算减少33.02万元，下降6.14%，主要原因是：</w:t>
      </w:r>
      <w:r>
        <w:rPr>
          <w:rFonts w:hint="eastAsia" w:ascii="仿宋_GB2312" w:eastAsia="仿宋_GB2312"/>
          <w:sz w:val="32"/>
          <w:szCs w:val="32"/>
        </w:rPr>
        <w:t>城乡义务教育经费保障机制-公用经费、义务教育薄弱环节改善与能力提升专项资金、中小学和幼儿园自聘教师工资补助资金等项目经费减少。</w:t>
      </w:r>
    </w:p>
    <w:p w14:paraId="318CC4C3">
      <w:pPr>
        <w:widowControl/>
        <w:ind w:firstLine="640" w:firstLineChars="200"/>
        <w:rPr>
          <w:rFonts w:ascii="仿宋_GB2312" w:eastAsia="仿宋_GB2312"/>
          <w:sz w:val="32"/>
          <w:szCs w:val="32"/>
        </w:rPr>
      </w:pPr>
      <w:r>
        <w:rPr>
          <w:rFonts w:ascii="仿宋_GB2312" w:eastAsia="仿宋_GB2312"/>
          <w:sz w:val="32"/>
          <w:szCs w:val="32"/>
        </w:rPr>
        <w:t>2、社会保障和就业支出（类）企业改革补助（款）其他企业改革发展补助（项）：支出决算数为3.40万元，比上年决算增加3.40万元，增长100.00%，主要原因是：单位本年</w:t>
      </w:r>
      <w:r>
        <w:rPr>
          <w:rFonts w:hint="eastAsia" w:ascii="仿宋_GB2312" w:eastAsia="仿宋_GB2312"/>
          <w:sz w:val="32"/>
          <w:szCs w:val="32"/>
        </w:rPr>
        <w:t>新增</w:t>
      </w:r>
      <w:r>
        <w:rPr>
          <w:rFonts w:ascii="仿宋_GB2312" w:eastAsia="仿宋_GB2312"/>
          <w:sz w:val="32"/>
          <w:szCs w:val="32"/>
        </w:rPr>
        <w:t>企业移交退休教师三项费用</w:t>
      </w:r>
      <w:r>
        <w:rPr>
          <w:rFonts w:hint="eastAsia" w:ascii="仿宋_GB2312" w:eastAsia="仿宋_GB2312"/>
          <w:sz w:val="32"/>
          <w:szCs w:val="32"/>
        </w:rPr>
        <w:t>。</w:t>
      </w:r>
    </w:p>
    <w:p w14:paraId="34BF7233">
      <w:pPr>
        <w:widowControl/>
        <w:ind w:firstLine="640" w:firstLineChars="200"/>
        <w:jc w:val="left"/>
        <w:outlineLvl w:val="1"/>
        <w:rPr>
          <w:rFonts w:ascii="黑体" w:eastAsia="黑体"/>
          <w:sz w:val="32"/>
          <w:szCs w:val="32"/>
        </w:rPr>
      </w:pPr>
      <w:r>
        <w:rPr>
          <w:rFonts w:ascii="黑体" w:eastAsia="黑体"/>
          <w:sz w:val="32"/>
          <w:szCs w:val="32"/>
        </w:rPr>
        <w:t>六、一般公共预算财政拨款基本支出决算情况说明</w:t>
      </w:r>
    </w:p>
    <w:p w14:paraId="3A5422E6">
      <w:pPr>
        <w:widowControl/>
        <w:ind w:firstLine="640" w:firstLineChars="200"/>
        <w:rPr>
          <w:rFonts w:ascii="仿宋_GB2312" w:eastAsia="仿宋_GB2312"/>
          <w:sz w:val="32"/>
          <w:szCs w:val="32"/>
        </w:rPr>
      </w:pPr>
      <w:r>
        <w:rPr>
          <w:rFonts w:ascii="仿宋_GB2312" w:eastAsia="仿宋_GB2312"/>
          <w:sz w:val="32"/>
          <w:szCs w:val="32"/>
        </w:rPr>
        <w:t>2024年度一般公共预算财政拨款基本支出480.61万元，其中：人员经费448.27万元，包括：基本工资、津贴补贴、奖金、绩效工资、机关事业单位基本养老保险缴费、职工基本医疗保险缴费、公务员医疗补助缴费、其他社会保障缴费和住房公积金。</w:t>
      </w:r>
    </w:p>
    <w:p w14:paraId="7E551CE5">
      <w:pPr>
        <w:widowControl/>
        <w:ind w:firstLine="640" w:firstLineChars="200"/>
        <w:rPr>
          <w:rFonts w:ascii="仿宋_GB2312" w:eastAsia="仿宋_GB2312"/>
          <w:sz w:val="32"/>
          <w:szCs w:val="32"/>
        </w:rPr>
      </w:pPr>
      <w:r>
        <w:rPr>
          <w:rFonts w:ascii="仿宋_GB2312" w:eastAsia="仿宋_GB2312"/>
          <w:sz w:val="32"/>
          <w:szCs w:val="32"/>
        </w:rPr>
        <w:t>公用经费32.34万元，包括：办公费、手续费、水费、电费、取暖费、</w:t>
      </w:r>
      <w:bookmarkStart w:id="0" w:name="_GoBack"/>
      <w:bookmarkEnd w:id="0"/>
      <w:r>
        <w:rPr>
          <w:rFonts w:ascii="仿宋_GB2312" w:eastAsia="仿宋_GB2312"/>
          <w:sz w:val="32"/>
          <w:szCs w:val="32"/>
        </w:rPr>
        <w:t>专用材料费和工会经费。</w:t>
      </w:r>
    </w:p>
    <w:p w14:paraId="4B6B9B20">
      <w:pPr>
        <w:widowControl/>
        <w:ind w:firstLine="640" w:firstLineChars="200"/>
        <w:jc w:val="left"/>
        <w:outlineLvl w:val="1"/>
        <w:rPr>
          <w:rFonts w:ascii="黑体" w:eastAsia="黑体"/>
          <w:sz w:val="32"/>
          <w:szCs w:val="32"/>
        </w:rPr>
      </w:pPr>
      <w:r>
        <w:rPr>
          <w:rFonts w:ascii="黑体" w:eastAsia="黑体"/>
          <w:sz w:val="32"/>
          <w:szCs w:val="32"/>
        </w:rPr>
        <w:t>七、政府性基金预算财政拨款收入支出决算情况说明</w:t>
      </w:r>
    </w:p>
    <w:p w14:paraId="5251B303">
      <w:pPr>
        <w:widowControl/>
        <w:ind w:firstLine="640" w:firstLineChars="20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201D6D7E">
      <w:pPr>
        <w:widowControl/>
        <w:ind w:firstLine="640" w:firstLineChars="200"/>
        <w:jc w:val="left"/>
        <w:outlineLvl w:val="1"/>
        <w:rPr>
          <w:rFonts w:ascii="黑体" w:eastAsia="黑体"/>
          <w:sz w:val="32"/>
          <w:szCs w:val="32"/>
        </w:rPr>
      </w:pPr>
      <w:r>
        <w:rPr>
          <w:rFonts w:ascii="黑体" w:eastAsia="黑体"/>
          <w:sz w:val="32"/>
          <w:szCs w:val="32"/>
        </w:rPr>
        <w:t>八、国有资本经营预算财政拨款收入支出决算情况说明</w:t>
      </w:r>
    </w:p>
    <w:p w14:paraId="6AF8782F">
      <w:pPr>
        <w:widowControl/>
        <w:ind w:firstLine="640" w:firstLineChars="20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23C6DEC4">
      <w:pPr>
        <w:widowControl/>
        <w:ind w:firstLine="640" w:firstLineChars="200"/>
        <w:jc w:val="left"/>
        <w:outlineLvl w:val="1"/>
        <w:rPr>
          <w:rFonts w:ascii="黑体" w:eastAsia="黑体"/>
          <w:sz w:val="32"/>
          <w:szCs w:val="32"/>
        </w:rPr>
      </w:pPr>
      <w:r>
        <w:rPr>
          <w:rFonts w:ascii="黑体" w:eastAsia="黑体"/>
          <w:sz w:val="32"/>
          <w:szCs w:val="32"/>
        </w:rPr>
        <w:t>九、财政拨款“三公”经费支出决算情况说明</w:t>
      </w:r>
    </w:p>
    <w:p w14:paraId="7ADD3BB3">
      <w:pPr>
        <w:widowControl/>
        <w:ind w:firstLine="640" w:firstLineChars="200"/>
        <w:rPr>
          <w:rFonts w:ascii="仿宋_GB2312" w:eastAsia="仿宋_GB2312"/>
          <w:sz w:val="32"/>
          <w:szCs w:val="32"/>
        </w:rPr>
      </w:pPr>
      <w:r>
        <w:rPr>
          <w:rFonts w:ascii="仿宋_GB2312" w:eastAsia="仿宋_GB2312"/>
          <w:sz w:val="32"/>
          <w:szCs w:val="32"/>
        </w:rPr>
        <w:t>2024年度财政拨款“三公”经费支出0.00万元，与上年相比无变化，主要原因是：</w:t>
      </w:r>
      <w:r>
        <w:rPr>
          <w:rFonts w:hint="eastAsia" w:ascii="仿宋_GB2312" w:eastAsia="仿宋_GB2312"/>
          <w:sz w:val="32"/>
          <w:szCs w:val="32"/>
        </w:rPr>
        <w:t>我单位上年度与本年度均无</w:t>
      </w:r>
      <w:r>
        <w:rPr>
          <w:rFonts w:ascii="仿宋_GB2312" w:eastAsia="仿宋_GB2312"/>
          <w:sz w:val="32"/>
          <w:szCs w:val="32"/>
        </w:rPr>
        <w:t>“三公”经费。其中：因公出国（境）费支出0.00万元,占0.00%，与上年相比无变化，主要原因是：</w:t>
      </w:r>
      <w:r>
        <w:rPr>
          <w:rFonts w:hint="eastAsia" w:ascii="仿宋_GB2312" w:eastAsia="仿宋_GB2312"/>
          <w:sz w:val="32"/>
          <w:szCs w:val="32"/>
        </w:rPr>
        <w:t>我单位上年度与本年度均无因公出国（境）费</w:t>
      </w:r>
      <w:r>
        <w:rPr>
          <w:rFonts w:ascii="仿宋_GB2312" w:eastAsia="仿宋_GB2312"/>
          <w:sz w:val="32"/>
          <w:szCs w:val="32"/>
        </w:rPr>
        <w:t>；公务用车购置及运行维护费支出0.00万元，占0.00%，与上年相比无变化，主要原因是：</w:t>
      </w:r>
      <w:r>
        <w:rPr>
          <w:rFonts w:hint="eastAsia" w:ascii="仿宋_GB2312" w:eastAsia="仿宋_GB2312"/>
          <w:sz w:val="32"/>
          <w:szCs w:val="32"/>
        </w:rPr>
        <w:t>我单位上年度与本年度均无公务用车购置及运行维护费</w:t>
      </w:r>
      <w:r>
        <w:rPr>
          <w:rFonts w:ascii="仿宋_GB2312" w:eastAsia="仿宋_GB2312"/>
          <w:sz w:val="32"/>
          <w:szCs w:val="32"/>
        </w:rPr>
        <w:t>；公务接待费支出0.00万元，占0.00%，与上年相比无变化，主要原因是：</w:t>
      </w:r>
      <w:r>
        <w:rPr>
          <w:rFonts w:hint="eastAsia" w:ascii="仿宋_GB2312" w:eastAsia="仿宋_GB2312"/>
          <w:sz w:val="32"/>
          <w:szCs w:val="32"/>
        </w:rPr>
        <w:t>我单位上年度与本年度均无公务接待费</w:t>
      </w:r>
      <w:r>
        <w:rPr>
          <w:rFonts w:ascii="仿宋_GB2312" w:eastAsia="仿宋_GB2312"/>
          <w:sz w:val="32"/>
          <w:szCs w:val="32"/>
        </w:rPr>
        <w:t>。</w:t>
      </w:r>
    </w:p>
    <w:p w14:paraId="4B8393EE">
      <w:pPr>
        <w:widowControl/>
        <w:ind w:firstLine="640" w:firstLineChars="200"/>
        <w:jc w:val="left"/>
        <w:rPr>
          <w:rFonts w:ascii="仿宋_GB2312" w:eastAsia="仿宋_GB2312"/>
          <w:sz w:val="32"/>
          <w:szCs w:val="32"/>
        </w:rPr>
      </w:pPr>
      <w:r>
        <w:rPr>
          <w:rFonts w:ascii="仿宋_GB2312" w:eastAsia="仿宋_GB2312"/>
          <w:sz w:val="32"/>
          <w:szCs w:val="32"/>
        </w:rPr>
        <w:t>具体情况如下：</w:t>
      </w:r>
    </w:p>
    <w:p w14:paraId="5EB4C7A3">
      <w:pPr>
        <w:widowControl/>
        <w:ind w:firstLine="640" w:firstLineChars="200"/>
        <w:rPr>
          <w:rFonts w:ascii="仿宋_GB2312" w:eastAsia="仿宋_GB2312"/>
          <w:sz w:val="32"/>
          <w:szCs w:val="32"/>
        </w:rPr>
      </w:pPr>
      <w:r>
        <w:rPr>
          <w:rFonts w:ascii="仿宋_GB2312" w:eastAsia="仿宋_GB2312"/>
          <w:sz w:val="32"/>
          <w:szCs w:val="32"/>
        </w:rPr>
        <w:t>因公出国（境）费支出0.00万元，开支内容包括单位本年无</w:t>
      </w:r>
      <w:r>
        <w:rPr>
          <w:rFonts w:hint="eastAsia" w:ascii="仿宋_GB2312" w:eastAsia="仿宋_GB2312"/>
          <w:sz w:val="32"/>
          <w:szCs w:val="32"/>
        </w:rPr>
        <w:t>因公出国（境）费</w:t>
      </w:r>
      <w:r>
        <w:rPr>
          <w:rFonts w:ascii="仿宋_GB2312" w:eastAsia="仿宋_GB2312"/>
          <w:sz w:val="32"/>
          <w:szCs w:val="32"/>
        </w:rPr>
        <w:t>。单位全年安排的因公出国（境）团组0个，因公出国（境）0人次。</w:t>
      </w:r>
    </w:p>
    <w:p w14:paraId="10F98930">
      <w:pPr>
        <w:widowControl/>
        <w:ind w:firstLine="640" w:firstLineChars="20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单位本年无公务用车运行维护费。公务用车购置数0辆，公务用车保有量0辆。国有资产占用情况中固定资产车辆1辆，与公务用车保有量差异原因是：</w:t>
      </w:r>
      <w:r>
        <w:rPr>
          <w:rFonts w:hint="eastAsia" w:ascii="仿宋_GB2312" w:eastAsia="仿宋_GB2312"/>
          <w:sz w:val="32"/>
          <w:szCs w:val="32"/>
        </w:rPr>
        <w:t>差异车辆为一般业务用车1辆，车辆费用未使用财政拨款公务用车运行维护费支付</w:t>
      </w:r>
      <w:r>
        <w:rPr>
          <w:rFonts w:ascii="仿宋_GB2312" w:eastAsia="仿宋_GB2312"/>
          <w:sz w:val="32"/>
          <w:szCs w:val="32"/>
        </w:rPr>
        <w:t>。</w:t>
      </w:r>
    </w:p>
    <w:p w14:paraId="02133F51">
      <w:pPr>
        <w:widowControl/>
        <w:ind w:firstLine="640" w:firstLineChars="200"/>
        <w:rPr>
          <w:rFonts w:ascii="仿宋_GB2312" w:eastAsia="仿宋_GB2312"/>
          <w:sz w:val="32"/>
          <w:szCs w:val="32"/>
        </w:rPr>
      </w:pPr>
      <w:r>
        <w:rPr>
          <w:rFonts w:ascii="仿宋_GB2312" w:eastAsia="仿宋_GB2312"/>
          <w:sz w:val="32"/>
          <w:szCs w:val="32"/>
        </w:rPr>
        <w:t>公务接待费0.00万元，开支内容包括单位本年无</w:t>
      </w:r>
      <w:r>
        <w:rPr>
          <w:rFonts w:hint="eastAsia" w:ascii="仿宋_GB2312" w:eastAsia="仿宋_GB2312"/>
          <w:sz w:val="32"/>
          <w:szCs w:val="32"/>
        </w:rPr>
        <w:t>公务接待费</w:t>
      </w:r>
      <w:r>
        <w:rPr>
          <w:rFonts w:ascii="仿宋_GB2312" w:eastAsia="仿宋_GB2312"/>
          <w:sz w:val="32"/>
          <w:szCs w:val="32"/>
        </w:rPr>
        <w:t>。单位全年安排的国内公务接待0批次，0人次。</w:t>
      </w:r>
    </w:p>
    <w:p w14:paraId="31BC4A60">
      <w:pPr>
        <w:widowControl/>
        <w:ind w:firstLine="640" w:firstLineChars="200"/>
        <w:rPr>
          <w:rFonts w:ascii="仿宋_GB2312" w:eastAsia="仿宋_GB2312"/>
          <w:sz w:val="32"/>
          <w:szCs w:val="32"/>
        </w:rPr>
      </w:pPr>
      <w:r>
        <w:rPr>
          <w:rFonts w:ascii="仿宋_GB2312" w:eastAsia="仿宋_GB2312"/>
          <w:sz w:val="32"/>
          <w:szCs w:val="32"/>
        </w:rPr>
        <w:t>与全年预算相比，财政拨款“三公”经费支出全年预算数0.00万元，决算数0.00万元，预决算差异率0.00%，主要原因是：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；公务用车运行维护费全年预算数0.00万元，决算数0.00万元，预决算差异率0.00%，主要原因是：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w:t>
      </w:r>
    </w:p>
    <w:p w14:paraId="566D567F">
      <w:pPr>
        <w:widowControl/>
        <w:ind w:firstLine="640" w:firstLineChars="200"/>
        <w:jc w:val="left"/>
        <w:outlineLvl w:val="1"/>
        <w:rPr>
          <w:rFonts w:ascii="黑体" w:eastAsia="黑体"/>
          <w:sz w:val="32"/>
          <w:szCs w:val="32"/>
        </w:rPr>
      </w:pPr>
      <w:r>
        <w:rPr>
          <w:rFonts w:ascii="黑体" w:eastAsia="黑体"/>
          <w:sz w:val="32"/>
          <w:szCs w:val="32"/>
        </w:rPr>
        <w:t>十、其他重要事项的情况说明</w:t>
      </w:r>
    </w:p>
    <w:p w14:paraId="62289051">
      <w:pPr>
        <w:widowControl/>
        <w:ind w:firstLine="640" w:firstLineChars="200"/>
        <w:jc w:val="left"/>
        <w:outlineLvl w:val="2"/>
        <w:rPr>
          <w:rFonts w:ascii="黑体" w:eastAsia="黑体"/>
          <w:sz w:val="32"/>
          <w:szCs w:val="32"/>
        </w:rPr>
      </w:pPr>
      <w:r>
        <w:rPr>
          <w:rFonts w:ascii="黑体" w:eastAsia="黑体"/>
          <w:sz w:val="32"/>
          <w:szCs w:val="32"/>
        </w:rPr>
        <w:t>（一）机关运行经费及公用经费支出情况</w:t>
      </w:r>
    </w:p>
    <w:p w14:paraId="5883ADF1">
      <w:pPr>
        <w:widowControl/>
        <w:ind w:firstLine="640" w:firstLineChars="200"/>
        <w:rPr>
          <w:rFonts w:ascii="仿宋_GB2312" w:eastAsia="仿宋_GB2312"/>
          <w:sz w:val="32"/>
          <w:szCs w:val="32"/>
        </w:rPr>
      </w:pPr>
      <w:r>
        <w:rPr>
          <w:rFonts w:ascii="仿宋_GB2312" w:eastAsia="仿宋_GB2312"/>
          <w:sz w:val="32"/>
          <w:szCs w:val="32"/>
        </w:rPr>
        <w:t>2024年度乌鲁木齐市第117小学单位（事业单位）公用经费支出32.34万元，比上年增加6.44万元，增长24.86%，主要原因是：</w:t>
      </w:r>
      <w:r>
        <w:rPr>
          <w:rFonts w:hint="eastAsia" w:ascii="仿宋_GB2312" w:eastAsia="仿宋_GB2312"/>
          <w:sz w:val="32"/>
          <w:szCs w:val="32"/>
        </w:rPr>
        <w:t>单位本年取暖费、工会经费、专用材料费等经费增加。</w:t>
      </w:r>
    </w:p>
    <w:p w14:paraId="08E2B5CB">
      <w:pPr>
        <w:widowControl/>
        <w:ind w:firstLine="640" w:firstLineChars="200"/>
        <w:jc w:val="left"/>
        <w:outlineLvl w:val="2"/>
        <w:rPr>
          <w:rFonts w:ascii="黑体" w:eastAsia="黑体"/>
          <w:sz w:val="32"/>
          <w:szCs w:val="32"/>
        </w:rPr>
      </w:pPr>
      <w:r>
        <w:rPr>
          <w:rFonts w:ascii="黑体" w:eastAsia="黑体"/>
          <w:sz w:val="32"/>
          <w:szCs w:val="32"/>
        </w:rPr>
        <w:t>（二）政府采购情况</w:t>
      </w:r>
    </w:p>
    <w:p w14:paraId="7BF1EDC6">
      <w:pPr>
        <w:widowControl/>
        <w:ind w:firstLine="640" w:firstLineChars="200"/>
        <w:rPr>
          <w:rFonts w:ascii="仿宋_GB2312" w:eastAsia="仿宋_GB2312"/>
          <w:sz w:val="32"/>
          <w:szCs w:val="32"/>
        </w:rPr>
      </w:pPr>
      <w:r>
        <w:rPr>
          <w:rFonts w:ascii="仿宋_GB2312" w:eastAsia="仿宋_GB2312"/>
          <w:sz w:val="32"/>
          <w:szCs w:val="32"/>
        </w:rPr>
        <w:t>2024年度政府采购支出总额0.00万元，其中：政府采购货物支出0.00万元、政府采购工程支出0.00万元、政府采购服务支出0.00万元。</w:t>
      </w:r>
    </w:p>
    <w:p w14:paraId="004CD4D9">
      <w:pPr>
        <w:widowControl/>
        <w:ind w:firstLine="640" w:firstLineChars="200"/>
        <w:rPr>
          <w:rFonts w:ascii="仿宋_GB2312" w:eastAsia="仿宋_GB2312"/>
          <w:sz w:val="32"/>
          <w:szCs w:val="32"/>
        </w:rPr>
      </w:pPr>
      <w:r>
        <w:rPr>
          <w:rFonts w:ascii="仿宋_GB2312" w:eastAsia="仿宋_GB2312"/>
          <w:sz w:val="32"/>
          <w:szCs w:val="32"/>
        </w:rPr>
        <w:t>授予中小企业合同金额0.00万元，占政府采购支出总额的0.00%，其中：授予小微企业合同金额0.00万元，占政府采购支出总额的0.00%。</w:t>
      </w:r>
    </w:p>
    <w:p w14:paraId="7DEB91B0">
      <w:pPr>
        <w:widowControl/>
        <w:ind w:firstLine="640" w:firstLineChars="200"/>
        <w:jc w:val="left"/>
        <w:outlineLvl w:val="2"/>
        <w:rPr>
          <w:rFonts w:ascii="黑体" w:eastAsia="黑体"/>
          <w:sz w:val="32"/>
          <w:szCs w:val="32"/>
        </w:rPr>
      </w:pPr>
      <w:r>
        <w:rPr>
          <w:rFonts w:ascii="黑体" w:eastAsia="黑体"/>
          <w:sz w:val="32"/>
          <w:szCs w:val="32"/>
        </w:rPr>
        <w:t>（三）国有资产占用情况说明</w:t>
      </w:r>
    </w:p>
    <w:p w14:paraId="22604B9E">
      <w:pPr>
        <w:widowControl/>
        <w:ind w:firstLine="640" w:firstLineChars="200"/>
        <w:rPr>
          <w:rFonts w:ascii="仿宋_GB2312" w:eastAsia="仿宋_GB2312"/>
          <w:sz w:val="32"/>
          <w:szCs w:val="32"/>
        </w:rPr>
      </w:pPr>
      <w:r>
        <w:rPr>
          <w:rFonts w:ascii="仿宋_GB2312" w:eastAsia="仿宋_GB2312"/>
          <w:sz w:val="32"/>
          <w:szCs w:val="32"/>
        </w:rPr>
        <w:t>截至2024年12月31日，房屋3,174.05平方米，价值481.34万元。车辆1辆，价值3.73万元，其中：副部（省）级及以上领导用车0辆、主要负责人用车0辆、机要通信用车0辆、应急保障用车0辆、执法执勤用车0辆、特种专业技术用车0辆、离退休干部服务用车0辆、其他用车1辆，其他用车主要是：业务用车;单价100万元（含）以上设备（不含车辆）0台（套）。</w:t>
      </w:r>
    </w:p>
    <w:p w14:paraId="2652CCF3">
      <w:pPr>
        <w:widowControl/>
        <w:ind w:firstLine="640" w:firstLineChars="200"/>
        <w:jc w:val="left"/>
        <w:outlineLvl w:val="1"/>
        <w:rPr>
          <w:rFonts w:ascii="黑体" w:eastAsia="黑体"/>
          <w:sz w:val="32"/>
          <w:szCs w:val="32"/>
        </w:rPr>
      </w:pPr>
      <w:r>
        <w:rPr>
          <w:rFonts w:ascii="黑体" w:eastAsia="黑体"/>
          <w:sz w:val="32"/>
          <w:szCs w:val="32"/>
        </w:rPr>
        <w:t>十一、预算绩效的情况说明</w:t>
      </w:r>
    </w:p>
    <w:p w14:paraId="423FBE5E">
      <w:pPr>
        <w:widowControl/>
        <w:ind w:firstLine="640" w:firstLineChars="20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根据预算绩效管理要求，本单位2024年度预算绩效管理形成整体支出绩效自评表1个，全年预算总额529.33万元，实际执行总额524.02万元；预算绩效评价项目3个，全年预算数</w:t>
      </w:r>
      <w:r>
        <w:rPr>
          <w:rFonts w:hint="eastAsia" w:ascii="仿宋_GB2312" w:eastAsia="仿宋_GB2312"/>
          <w:sz w:val="32"/>
          <w:szCs w:val="32"/>
        </w:rPr>
        <w:t>2</w:t>
      </w:r>
      <w:r>
        <w:rPr>
          <w:rFonts w:ascii="仿宋_GB2312" w:eastAsia="仿宋_GB2312"/>
          <w:sz w:val="32"/>
          <w:szCs w:val="32"/>
        </w:rPr>
        <w:t>5.</w:t>
      </w:r>
      <w:r>
        <w:rPr>
          <w:rFonts w:hint="eastAsia" w:ascii="仿宋_GB2312" w:eastAsia="仿宋_GB2312"/>
          <w:sz w:val="32"/>
          <w:szCs w:val="32"/>
        </w:rPr>
        <w:t>2</w:t>
      </w:r>
      <w:r>
        <w:rPr>
          <w:rFonts w:ascii="仿宋_GB2312" w:eastAsia="仿宋_GB2312"/>
          <w:sz w:val="32"/>
          <w:szCs w:val="32"/>
        </w:rPr>
        <w:t>8万元，全年执行数</w:t>
      </w:r>
      <w:r>
        <w:rPr>
          <w:rFonts w:hint="eastAsia" w:ascii="仿宋_GB2312" w:eastAsia="仿宋_GB2312"/>
          <w:sz w:val="32"/>
          <w:szCs w:val="32"/>
        </w:rPr>
        <w:t>2</w:t>
      </w:r>
      <w:r>
        <w:rPr>
          <w:rFonts w:ascii="仿宋_GB2312" w:eastAsia="仿宋_GB2312"/>
          <w:sz w:val="32"/>
          <w:szCs w:val="32"/>
        </w:rPr>
        <w:t>3.</w:t>
      </w:r>
      <w:r>
        <w:rPr>
          <w:rFonts w:hint="eastAsia" w:ascii="仿宋_GB2312" w:eastAsia="仿宋_GB2312"/>
          <w:sz w:val="32"/>
          <w:szCs w:val="32"/>
        </w:rPr>
        <w:t>8</w:t>
      </w:r>
      <w:r>
        <w:rPr>
          <w:rFonts w:ascii="仿宋_GB2312" w:eastAsia="仿宋_GB2312"/>
          <w:sz w:val="32"/>
          <w:szCs w:val="32"/>
        </w:rPr>
        <w:t>1万元。预算绩效管理取得的成效：一是加强预算制定过程的科学性管理，提升预算方案的质量。在预算</w:t>
      </w:r>
      <w:r>
        <w:rPr>
          <w:rFonts w:hint="eastAsia" w:ascii="仿宋_GB2312" w:eastAsia="仿宋_GB2312"/>
          <w:sz w:val="32"/>
          <w:szCs w:val="32"/>
        </w:rPr>
        <w:t>管理明细</w:t>
      </w:r>
      <w:r>
        <w:rPr>
          <w:rFonts w:ascii="仿宋_GB2312" w:eastAsia="仿宋_GB2312"/>
          <w:sz w:val="32"/>
          <w:szCs w:val="32"/>
        </w:rPr>
        <w:t>上，加强预算编制的合理性及会计核算的规范性；二是注重长短期目标的衔接，合理设置年度绩效指标。在具体年度工作计划的安排上，可通过对比历年各项指标的增长情况，将规划中要实现的各项指标合理分配到年度的工作任务中，设定各年度绩效指标的目标增长率，从而确保规划目标的顺利实现。对于在当年度提前完成的绩效指标，应及时总结绩优经验，调整规划的绩效指标值，从而促进各规划的绩效指标对林业发展指导激励作用的有效发挥。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部门项目支出率低；另外，预算编制的不合理性还表现在绩效目标设置不明确，年度目标与长期规划衔接的紧密程度需要增强。下一步改进措施：一是重视对项目和资金的过程化管理，加强对项目的延伸性监管，建立健全项目督管理制度，落实各级项目监督管理责任；二是提高资产安全管理责任意识，设计并运行内部控制规范体系建立并完善各印门内部资产管理制度、风险防控及处置制度等重要的内部控制体系，使资产管理又谷项业务活动在内控体系完善的环境下实施运作。与此同时，建立资产管理责任制，增强相关人员的责任意识，对于资产处理，严格执行文件要求，履行必须的审批程序。具体附部门整体支出绩效自评表，项目支出绩效自评表和部门评价报告。</w:t>
      </w:r>
    </w:p>
    <w:p w14:paraId="40BD04B5">
      <w:pPr>
        <w:widowControl/>
        <w:ind w:firstLine="640" w:firstLineChars="200"/>
        <w:rPr>
          <w:rFonts w:ascii="仿宋_GB2312" w:eastAsia="仿宋_GB2312"/>
          <w:sz w:val="32"/>
          <w:szCs w:val="32"/>
        </w:rPr>
      </w:pPr>
      <w:r>
        <w:rPr>
          <w:rFonts w:ascii="仿宋_GB2312" w:eastAsia="仿宋_GB2312"/>
          <w:sz w:val="32"/>
          <w:szCs w:val="32"/>
        </w:rPr>
        <w:br w:type="page"/>
      </w:r>
    </w:p>
    <w:p w14:paraId="3ECE4F8F">
      <w:pPr>
        <w:jc w:val="center"/>
        <w:rPr>
          <w:rFonts w:hint="eastAsia" w:ascii="宋体" w:hAnsi="宋体" w:eastAsia="宋体" w:cs="宋体"/>
          <w:b/>
          <w:bCs/>
          <w:sz w:val="28"/>
          <w:szCs w:val="28"/>
        </w:rPr>
      </w:pPr>
      <w:r>
        <w:rPr>
          <w:rFonts w:hint="eastAsia" w:ascii="宋体" w:hAnsi="宋体" w:eastAsia="宋体" w:cs="宋体"/>
          <w:b/>
          <w:bCs/>
          <w:sz w:val="28"/>
          <w:szCs w:val="28"/>
        </w:rPr>
        <w:t>部门（单位）整体支出绩效目标自评表</w:t>
      </w:r>
    </w:p>
    <w:p w14:paraId="24C293A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584C8504">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AE55BE1">
            <w:pPr>
              <w:widowControl/>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FBC3B56">
            <w:pPr>
              <w:widowControl/>
              <w:jc w:val="center"/>
              <w:rPr>
                <w:rFonts w:hint="eastAsia" w:ascii="宋体" w:hAnsi="宋体" w:eastAsia="宋体" w:cs="宋体"/>
                <w:b/>
                <w:bCs/>
                <w:sz w:val="18"/>
                <w:szCs w:val="18"/>
              </w:rPr>
            </w:pPr>
            <w:r>
              <w:rPr>
                <w:rFonts w:hint="eastAsia" w:ascii="宋体" w:hAnsi="宋体" w:eastAsia="宋体" w:cs="宋体"/>
                <w:b/>
                <w:bCs/>
                <w:sz w:val="18"/>
                <w:szCs w:val="18"/>
              </w:rPr>
              <w:t>乌鲁木齐市第117小学</w:t>
            </w:r>
          </w:p>
        </w:tc>
        <w:tc>
          <w:tcPr>
            <w:tcW w:w="284" w:type="dxa"/>
            <w:tcBorders>
              <w:top w:val="nil"/>
              <w:left w:val="nil"/>
              <w:bottom w:val="nil"/>
              <w:right w:val="nil"/>
            </w:tcBorders>
            <w:noWrap/>
            <w:vAlign w:val="center"/>
          </w:tcPr>
          <w:p w14:paraId="6119B93A">
            <w:pPr>
              <w:widowControl/>
              <w:jc w:val="left"/>
              <w:rPr>
                <w:rFonts w:hint="eastAsia" w:ascii="宋体" w:hAnsi="宋体" w:eastAsia="宋体" w:cs="宋体"/>
                <w:b/>
                <w:bCs/>
                <w:sz w:val="18"/>
                <w:szCs w:val="18"/>
              </w:rPr>
            </w:pPr>
          </w:p>
        </w:tc>
      </w:tr>
      <w:tr w14:paraId="535547AC">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0FE48BE">
            <w:pPr>
              <w:widowControl/>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02EBD27F">
            <w:pPr>
              <w:widowControl/>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6A706E3">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5E4B5446">
            <w:pPr>
              <w:widowControl/>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2EA654C0">
            <w:pPr>
              <w:widowControl/>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2989CA0">
            <w:pPr>
              <w:widowControl/>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3DC1569E">
            <w:pPr>
              <w:widowControl/>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37CDA0F4">
            <w:pPr>
              <w:widowControl/>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7EC5F615">
            <w:pPr>
              <w:widowControl/>
              <w:jc w:val="center"/>
              <w:rPr>
                <w:rFonts w:hint="eastAsia" w:ascii="宋体" w:hAnsi="宋体" w:eastAsia="宋体" w:cs="宋体"/>
                <w:b/>
                <w:bCs/>
                <w:sz w:val="18"/>
                <w:szCs w:val="18"/>
              </w:rPr>
            </w:pPr>
          </w:p>
        </w:tc>
      </w:tr>
      <w:tr w14:paraId="68BDF56B">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D86AA40">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38D9E771">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52FF4EE1">
            <w:pPr>
              <w:widowControl/>
              <w:jc w:val="center"/>
              <w:rPr>
                <w:rFonts w:hint="eastAsia" w:ascii="宋体" w:hAnsi="宋体" w:eastAsia="宋体" w:cs="宋体"/>
                <w:sz w:val="18"/>
                <w:szCs w:val="18"/>
              </w:rPr>
            </w:pPr>
            <w:r>
              <w:rPr>
                <w:rFonts w:hint="eastAsia" w:ascii="宋体" w:hAnsi="宋体" w:eastAsia="宋体" w:cs="宋体"/>
                <w:sz w:val="18"/>
                <w:szCs w:val="18"/>
              </w:rPr>
              <w:t>645.25</w:t>
            </w:r>
          </w:p>
        </w:tc>
        <w:tc>
          <w:tcPr>
            <w:tcW w:w="1276" w:type="dxa"/>
            <w:tcBorders>
              <w:top w:val="nil"/>
              <w:left w:val="nil"/>
              <w:bottom w:val="single" w:color="auto" w:sz="4" w:space="0"/>
              <w:right w:val="single" w:color="auto" w:sz="4" w:space="0"/>
            </w:tcBorders>
            <w:vAlign w:val="center"/>
          </w:tcPr>
          <w:p w14:paraId="0F60EED5">
            <w:pPr>
              <w:widowControl/>
              <w:jc w:val="center"/>
              <w:rPr>
                <w:rFonts w:hint="eastAsia" w:ascii="宋体" w:hAnsi="宋体" w:eastAsia="宋体" w:cs="宋体"/>
                <w:sz w:val="18"/>
                <w:szCs w:val="18"/>
              </w:rPr>
            </w:pPr>
            <w:r>
              <w:rPr>
                <w:rFonts w:hint="eastAsia" w:ascii="宋体" w:hAnsi="宋体" w:eastAsia="宋体" w:cs="宋体"/>
                <w:sz w:val="18"/>
                <w:szCs w:val="18"/>
              </w:rPr>
              <w:t>529.33</w:t>
            </w:r>
          </w:p>
        </w:tc>
        <w:tc>
          <w:tcPr>
            <w:tcW w:w="1701" w:type="dxa"/>
            <w:tcBorders>
              <w:top w:val="nil"/>
              <w:left w:val="nil"/>
              <w:bottom w:val="single" w:color="auto" w:sz="4" w:space="0"/>
              <w:right w:val="single" w:color="auto" w:sz="4" w:space="0"/>
            </w:tcBorders>
            <w:vAlign w:val="center"/>
          </w:tcPr>
          <w:p w14:paraId="6F3EA6BB">
            <w:pPr>
              <w:widowControl/>
              <w:jc w:val="center"/>
              <w:rPr>
                <w:rFonts w:hint="eastAsia" w:ascii="宋体" w:hAnsi="宋体" w:eastAsia="宋体" w:cs="宋体"/>
                <w:sz w:val="18"/>
                <w:szCs w:val="18"/>
              </w:rPr>
            </w:pPr>
            <w:r>
              <w:rPr>
                <w:rFonts w:hint="eastAsia" w:ascii="宋体" w:hAnsi="宋体" w:eastAsia="宋体" w:cs="宋体"/>
                <w:sz w:val="18"/>
                <w:szCs w:val="18"/>
              </w:rPr>
              <w:t>524.02</w:t>
            </w:r>
          </w:p>
        </w:tc>
        <w:tc>
          <w:tcPr>
            <w:tcW w:w="1134" w:type="dxa"/>
            <w:tcBorders>
              <w:top w:val="nil"/>
              <w:left w:val="nil"/>
              <w:bottom w:val="single" w:color="auto" w:sz="4" w:space="0"/>
              <w:right w:val="single" w:color="auto" w:sz="4" w:space="0"/>
            </w:tcBorders>
            <w:vAlign w:val="center"/>
          </w:tcPr>
          <w:p w14:paraId="44FE1C77">
            <w:pPr>
              <w:widowControl/>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430B284F">
            <w:pPr>
              <w:widowControl/>
              <w:jc w:val="center"/>
              <w:rPr>
                <w:rFonts w:hint="eastAsia" w:ascii="宋体" w:hAnsi="宋体" w:eastAsia="宋体" w:cs="宋体"/>
                <w:sz w:val="18"/>
                <w:szCs w:val="18"/>
              </w:rPr>
            </w:pPr>
            <w:r>
              <w:rPr>
                <w:rFonts w:hint="eastAsia" w:ascii="宋体" w:hAnsi="宋体" w:eastAsia="宋体" w:cs="宋体"/>
                <w:sz w:val="18"/>
                <w:szCs w:val="18"/>
              </w:rPr>
              <w:t>99%</w:t>
            </w:r>
          </w:p>
        </w:tc>
        <w:tc>
          <w:tcPr>
            <w:tcW w:w="720" w:type="dxa"/>
            <w:tcBorders>
              <w:top w:val="nil"/>
              <w:left w:val="nil"/>
              <w:bottom w:val="single" w:color="auto" w:sz="4" w:space="0"/>
              <w:right w:val="single" w:color="auto" w:sz="4" w:space="0"/>
            </w:tcBorders>
            <w:vAlign w:val="center"/>
          </w:tcPr>
          <w:p w14:paraId="79C20564">
            <w:pPr>
              <w:widowControl/>
              <w:jc w:val="center"/>
              <w:rPr>
                <w:rFonts w:hint="eastAsia" w:ascii="宋体" w:hAnsi="宋体" w:eastAsia="宋体" w:cs="宋体"/>
                <w:sz w:val="18"/>
                <w:szCs w:val="18"/>
              </w:rPr>
            </w:pPr>
            <w:r>
              <w:rPr>
                <w:rFonts w:hint="eastAsia" w:ascii="宋体" w:hAnsi="宋体" w:eastAsia="宋体" w:cs="宋体"/>
                <w:sz w:val="18"/>
                <w:szCs w:val="18"/>
              </w:rPr>
              <w:t>9</w:t>
            </w:r>
          </w:p>
        </w:tc>
        <w:tc>
          <w:tcPr>
            <w:tcW w:w="284" w:type="dxa"/>
            <w:tcBorders>
              <w:top w:val="nil"/>
              <w:left w:val="nil"/>
              <w:bottom w:val="nil"/>
              <w:right w:val="nil"/>
            </w:tcBorders>
            <w:noWrap/>
            <w:vAlign w:val="center"/>
          </w:tcPr>
          <w:p w14:paraId="4D50566B">
            <w:pPr>
              <w:widowControl/>
              <w:jc w:val="center"/>
              <w:rPr>
                <w:rFonts w:hint="eastAsia" w:ascii="宋体" w:hAnsi="宋体" w:eastAsia="宋体" w:cs="宋体"/>
                <w:b/>
                <w:bCs/>
                <w:sz w:val="18"/>
                <w:szCs w:val="18"/>
              </w:rPr>
            </w:pPr>
          </w:p>
        </w:tc>
      </w:tr>
      <w:tr w14:paraId="11F41473">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D53102D">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15FB5D4">
            <w:pPr>
              <w:widowControl/>
              <w:jc w:val="center"/>
              <w:rPr>
                <w:rFonts w:hint="eastAsia" w:ascii="宋体" w:hAnsi="宋体" w:eastAsia="宋体" w:cs="宋体"/>
                <w:b/>
                <w:bCs/>
                <w:sz w:val="18"/>
                <w:szCs w:val="18"/>
              </w:rPr>
            </w:pPr>
            <w:r>
              <w:rPr>
                <w:rFonts w:hint="eastAsia" w:ascii="宋体" w:hAnsi="宋体" w:eastAsia="宋体" w:cs="宋体"/>
                <w:b/>
                <w:bCs/>
                <w:sz w:val="18"/>
                <w:szCs w:val="18"/>
              </w:rPr>
              <w:t>其中:上级资金（万元）</w:t>
            </w:r>
          </w:p>
        </w:tc>
        <w:tc>
          <w:tcPr>
            <w:tcW w:w="1418" w:type="dxa"/>
            <w:tcBorders>
              <w:top w:val="nil"/>
              <w:left w:val="nil"/>
              <w:bottom w:val="single" w:color="auto" w:sz="4" w:space="0"/>
              <w:right w:val="single" w:color="auto" w:sz="4" w:space="0"/>
            </w:tcBorders>
            <w:vAlign w:val="center"/>
          </w:tcPr>
          <w:p w14:paraId="4737FD35">
            <w:pPr>
              <w:widowControl/>
              <w:jc w:val="center"/>
              <w:rPr>
                <w:rFonts w:hint="eastAsia" w:ascii="宋体" w:hAnsi="宋体" w:eastAsia="宋体" w:cs="宋体"/>
                <w:sz w:val="18"/>
                <w:szCs w:val="18"/>
              </w:rPr>
            </w:pPr>
            <w:r>
              <w:rPr>
                <w:rFonts w:hint="eastAsia" w:ascii="宋体" w:hAnsi="宋体" w:eastAsia="宋体" w:cs="宋体"/>
                <w:sz w:val="18"/>
                <w:szCs w:val="18"/>
              </w:rPr>
              <w:t>19.32</w:t>
            </w:r>
          </w:p>
        </w:tc>
        <w:tc>
          <w:tcPr>
            <w:tcW w:w="1276" w:type="dxa"/>
            <w:tcBorders>
              <w:top w:val="nil"/>
              <w:left w:val="nil"/>
              <w:bottom w:val="single" w:color="auto" w:sz="4" w:space="0"/>
              <w:right w:val="single" w:color="auto" w:sz="4" w:space="0"/>
            </w:tcBorders>
            <w:vAlign w:val="center"/>
          </w:tcPr>
          <w:p w14:paraId="47667C6C">
            <w:pPr>
              <w:widowControl/>
              <w:jc w:val="center"/>
              <w:rPr>
                <w:rFonts w:hint="eastAsia" w:ascii="宋体" w:hAnsi="宋体" w:eastAsia="宋体" w:cs="宋体"/>
                <w:sz w:val="18"/>
                <w:szCs w:val="18"/>
              </w:rPr>
            </w:pPr>
            <w:r>
              <w:rPr>
                <w:rFonts w:hint="eastAsia" w:ascii="宋体" w:hAnsi="宋体" w:eastAsia="宋体" w:cs="宋体"/>
                <w:sz w:val="18"/>
                <w:szCs w:val="18"/>
              </w:rPr>
              <w:t>33.77</w:t>
            </w:r>
          </w:p>
        </w:tc>
        <w:tc>
          <w:tcPr>
            <w:tcW w:w="1701" w:type="dxa"/>
            <w:tcBorders>
              <w:top w:val="nil"/>
              <w:left w:val="nil"/>
              <w:bottom w:val="single" w:color="auto" w:sz="4" w:space="0"/>
              <w:right w:val="single" w:color="auto" w:sz="4" w:space="0"/>
            </w:tcBorders>
            <w:vAlign w:val="center"/>
          </w:tcPr>
          <w:p w14:paraId="7BD59A03">
            <w:pPr>
              <w:widowControl/>
              <w:jc w:val="center"/>
              <w:rPr>
                <w:rFonts w:hint="eastAsia" w:ascii="宋体" w:hAnsi="宋体" w:eastAsia="宋体" w:cs="宋体"/>
                <w:sz w:val="18"/>
                <w:szCs w:val="18"/>
              </w:rPr>
            </w:pPr>
            <w:r>
              <w:rPr>
                <w:rFonts w:hint="eastAsia" w:ascii="宋体" w:hAnsi="宋体" w:eastAsia="宋体" w:cs="宋体"/>
                <w:sz w:val="18"/>
                <w:szCs w:val="18"/>
              </w:rPr>
              <w:t>31.60</w:t>
            </w:r>
          </w:p>
        </w:tc>
        <w:tc>
          <w:tcPr>
            <w:tcW w:w="1134" w:type="dxa"/>
            <w:tcBorders>
              <w:top w:val="nil"/>
              <w:left w:val="nil"/>
              <w:bottom w:val="single" w:color="auto" w:sz="4" w:space="0"/>
              <w:right w:val="single" w:color="auto" w:sz="4" w:space="0"/>
            </w:tcBorders>
            <w:vAlign w:val="center"/>
          </w:tcPr>
          <w:p w14:paraId="471F606D">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992" w:type="dxa"/>
            <w:tcBorders>
              <w:top w:val="nil"/>
              <w:left w:val="nil"/>
              <w:bottom w:val="single" w:color="auto" w:sz="4" w:space="0"/>
              <w:right w:val="single" w:color="auto" w:sz="4" w:space="0"/>
            </w:tcBorders>
            <w:vAlign w:val="center"/>
          </w:tcPr>
          <w:p w14:paraId="7118AC1B">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720" w:type="dxa"/>
            <w:tcBorders>
              <w:top w:val="nil"/>
              <w:left w:val="nil"/>
              <w:bottom w:val="single" w:color="auto" w:sz="4" w:space="0"/>
              <w:right w:val="single" w:color="auto" w:sz="4" w:space="0"/>
            </w:tcBorders>
            <w:vAlign w:val="center"/>
          </w:tcPr>
          <w:p w14:paraId="1CED08BA">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284" w:type="dxa"/>
            <w:tcBorders>
              <w:top w:val="nil"/>
              <w:left w:val="nil"/>
              <w:bottom w:val="nil"/>
              <w:right w:val="nil"/>
            </w:tcBorders>
            <w:noWrap/>
            <w:vAlign w:val="center"/>
          </w:tcPr>
          <w:p w14:paraId="63FB25D1">
            <w:pPr>
              <w:widowControl/>
              <w:jc w:val="center"/>
              <w:rPr>
                <w:rFonts w:hint="eastAsia" w:ascii="宋体" w:hAnsi="宋体" w:eastAsia="宋体" w:cs="宋体"/>
                <w:sz w:val="18"/>
                <w:szCs w:val="18"/>
              </w:rPr>
            </w:pPr>
          </w:p>
        </w:tc>
      </w:tr>
      <w:tr w14:paraId="2D7A6277">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2ACA72D">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9E11CCC">
            <w:pPr>
              <w:widowControl/>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30DDCDAD">
            <w:pPr>
              <w:widowControl/>
              <w:jc w:val="center"/>
              <w:rPr>
                <w:rFonts w:hint="eastAsia" w:ascii="宋体" w:hAnsi="宋体" w:eastAsia="宋体" w:cs="宋体"/>
                <w:sz w:val="18"/>
                <w:szCs w:val="18"/>
              </w:rPr>
            </w:pPr>
            <w:r>
              <w:rPr>
                <w:rFonts w:hint="eastAsia" w:ascii="宋体" w:hAnsi="宋体" w:eastAsia="宋体" w:cs="宋体"/>
                <w:sz w:val="18"/>
                <w:szCs w:val="18"/>
              </w:rPr>
              <w:t>614.12</w:t>
            </w:r>
          </w:p>
        </w:tc>
        <w:tc>
          <w:tcPr>
            <w:tcW w:w="1276" w:type="dxa"/>
            <w:tcBorders>
              <w:top w:val="nil"/>
              <w:left w:val="nil"/>
              <w:bottom w:val="single" w:color="auto" w:sz="4" w:space="0"/>
              <w:right w:val="single" w:color="auto" w:sz="4" w:space="0"/>
            </w:tcBorders>
            <w:vAlign w:val="center"/>
          </w:tcPr>
          <w:p w14:paraId="1A5AC5D9">
            <w:pPr>
              <w:widowControl/>
              <w:jc w:val="center"/>
              <w:rPr>
                <w:rFonts w:hint="eastAsia" w:ascii="宋体" w:hAnsi="宋体" w:eastAsia="宋体" w:cs="宋体"/>
                <w:sz w:val="18"/>
                <w:szCs w:val="18"/>
              </w:rPr>
            </w:pPr>
            <w:r>
              <w:rPr>
                <w:rFonts w:hint="eastAsia" w:ascii="宋体" w:hAnsi="宋体" w:eastAsia="宋体" w:cs="宋体"/>
                <w:sz w:val="18"/>
                <w:szCs w:val="18"/>
              </w:rPr>
              <w:t>483.75</w:t>
            </w:r>
          </w:p>
        </w:tc>
        <w:tc>
          <w:tcPr>
            <w:tcW w:w="1701" w:type="dxa"/>
            <w:tcBorders>
              <w:top w:val="nil"/>
              <w:left w:val="nil"/>
              <w:bottom w:val="single" w:color="auto" w:sz="4" w:space="0"/>
              <w:right w:val="single" w:color="auto" w:sz="4" w:space="0"/>
            </w:tcBorders>
            <w:vAlign w:val="center"/>
          </w:tcPr>
          <w:p w14:paraId="2D78AFBE">
            <w:pPr>
              <w:widowControl/>
              <w:jc w:val="center"/>
              <w:rPr>
                <w:rFonts w:hint="eastAsia" w:ascii="宋体" w:hAnsi="宋体" w:eastAsia="宋体" w:cs="宋体"/>
                <w:sz w:val="18"/>
                <w:szCs w:val="18"/>
              </w:rPr>
            </w:pPr>
            <w:r>
              <w:rPr>
                <w:rFonts w:hint="eastAsia" w:ascii="宋体" w:hAnsi="宋体" w:eastAsia="宋体" w:cs="宋体"/>
                <w:sz w:val="18"/>
                <w:szCs w:val="18"/>
              </w:rPr>
              <w:t>480.61</w:t>
            </w:r>
          </w:p>
        </w:tc>
        <w:tc>
          <w:tcPr>
            <w:tcW w:w="1134" w:type="dxa"/>
            <w:tcBorders>
              <w:top w:val="nil"/>
              <w:left w:val="nil"/>
              <w:bottom w:val="single" w:color="auto" w:sz="4" w:space="0"/>
              <w:right w:val="single" w:color="auto" w:sz="4" w:space="0"/>
            </w:tcBorders>
            <w:vAlign w:val="center"/>
          </w:tcPr>
          <w:p w14:paraId="4BF6532E">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992" w:type="dxa"/>
            <w:tcBorders>
              <w:top w:val="nil"/>
              <w:left w:val="nil"/>
              <w:bottom w:val="single" w:color="auto" w:sz="4" w:space="0"/>
              <w:right w:val="single" w:color="auto" w:sz="4" w:space="0"/>
            </w:tcBorders>
            <w:vAlign w:val="center"/>
          </w:tcPr>
          <w:p w14:paraId="340292BD">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720" w:type="dxa"/>
            <w:tcBorders>
              <w:top w:val="nil"/>
              <w:left w:val="nil"/>
              <w:bottom w:val="single" w:color="auto" w:sz="4" w:space="0"/>
              <w:right w:val="single" w:color="auto" w:sz="4" w:space="0"/>
            </w:tcBorders>
            <w:vAlign w:val="center"/>
          </w:tcPr>
          <w:p w14:paraId="4BF86EBA">
            <w:pPr>
              <w:widowControl/>
              <w:jc w:val="center"/>
              <w:rPr>
                <w:rFonts w:hint="eastAsia" w:ascii="宋体" w:hAnsi="宋体" w:eastAsia="宋体" w:cs="宋体"/>
                <w:sz w:val="18"/>
                <w:szCs w:val="18"/>
              </w:rPr>
            </w:pPr>
            <w:r>
              <w:rPr>
                <w:rFonts w:hint="eastAsia" w:ascii="宋体" w:hAnsi="宋体" w:eastAsia="宋体" w:cs="Times New Roman"/>
                <w:kern w:val="2"/>
                <w:sz w:val="18"/>
                <w:szCs w:val="18"/>
                <w14:ligatures w14:val="standardContextual"/>
              </w:rPr>
              <w:t>-</w:t>
            </w:r>
          </w:p>
        </w:tc>
        <w:tc>
          <w:tcPr>
            <w:tcW w:w="284" w:type="dxa"/>
            <w:tcBorders>
              <w:top w:val="nil"/>
              <w:left w:val="nil"/>
              <w:bottom w:val="nil"/>
              <w:right w:val="nil"/>
            </w:tcBorders>
            <w:noWrap/>
            <w:vAlign w:val="center"/>
          </w:tcPr>
          <w:p w14:paraId="564CA80E">
            <w:pPr>
              <w:widowControl/>
              <w:jc w:val="center"/>
              <w:rPr>
                <w:rFonts w:hint="eastAsia" w:ascii="宋体" w:hAnsi="宋体" w:eastAsia="宋体" w:cs="宋体"/>
                <w:sz w:val="18"/>
                <w:szCs w:val="18"/>
              </w:rPr>
            </w:pPr>
          </w:p>
        </w:tc>
      </w:tr>
      <w:tr w14:paraId="5EF596BF">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4749CCC">
            <w:pPr>
              <w:widowControl/>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C602F26">
            <w:pPr>
              <w:widowControl/>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51CC10D2">
            <w:pPr>
              <w:widowControl/>
              <w:jc w:val="center"/>
              <w:rPr>
                <w:rFonts w:hint="eastAsia" w:ascii="宋体" w:hAnsi="宋体" w:eastAsia="宋体" w:cs="宋体"/>
                <w:sz w:val="18"/>
                <w:szCs w:val="18"/>
              </w:rPr>
            </w:pPr>
            <w:r>
              <w:rPr>
                <w:rFonts w:hint="eastAsia" w:ascii="宋体" w:hAnsi="宋体" w:eastAsia="宋体" w:cs="宋体"/>
                <w:sz w:val="18"/>
                <w:szCs w:val="18"/>
              </w:rPr>
              <w:t>11.81</w:t>
            </w:r>
          </w:p>
        </w:tc>
        <w:tc>
          <w:tcPr>
            <w:tcW w:w="1276" w:type="dxa"/>
            <w:tcBorders>
              <w:top w:val="nil"/>
              <w:left w:val="nil"/>
              <w:bottom w:val="single" w:color="auto" w:sz="4" w:space="0"/>
              <w:right w:val="single" w:color="auto" w:sz="4" w:space="0"/>
            </w:tcBorders>
            <w:vAlign w:val="center"/>
          </w:tcPr>
          <w:p w14:paraId="6D8C22DD">
            <w:pPr>
              <w:widowControl/>
              <w:jc w:val="center"/>
              <w:rPr>
                <w:rFonts w:hint="eastAsia" w:ascii="宋体" w:hAnsi="宋体" w:eastAsia="宋体" w:cs="宋体"/>
                <w:sz w:val="18"/>
                <w:szCs w:val="18"/>
              </w:rPr>
            </w:pPr>
            <w:r>
              <w:rPr>
                <w:rFonts w:hint="eastAsia" w:ascii="宋体" w:hAnsi="宋体" w:eastAsia="宋体" w:cs="宋体"/>
                <w:sz w:val="18"/>
                <w:szCs w:val="18"/>
              </w:rPr>
              <w:t>11.81</w:t>
            </w:r>
          </w:p>
        </w:tc>
        <w:tc>
          <w:tcPr>
            <w:tcW w:w="1701" w:type="dxa"/>
            <w:tcBorders>
              <w:top w:val="nil"/>
              <w:left w:val="nil"/>
              <w:bottom w:val="single" w:color="auto" w:sz="4" w:space="0"/>
              <w:right w:val="single" w:color="auto" w:sz="4" w:space="0"/>
            </w:tcBorders>
            <w:vAlign w:val="center"/>
          </w:tcPr>
          <w:p w14:paraId="1EF1427C">
            <w:pPr>
              <w:widowControl/>
              <w:jc w:val="center"/>
              <w:rPr>
                <w:rFonts w:hint="eastAsia" w:ascii="宋体" w:hAnsi="宋体" w:eastAsia="宋体" w:cs="宋体"/>
                <w:sz w:val="18"/>
                <w:szCs w:val="18"/>
              </w:rPr>
            </w:pPr>
            <w:r>
              <w:rPr>
                <w:rFonts w:hint="eastAsia" w:ascii="宋体" w:hAnsi="宋体" w:eastAsia="宋体" w:cs="宋体"/>
                <w:sz w:val="18"/>
                <w:szCs w:val="18"/>
              </w:rPr>
              <w:t>11.81</w:t>
            </w:r>
          </w:p>
        </w:tc>
        <w:tc>
          <w:tcPr>
            <w:tcW w:w="1134" w:type="dxa"/>
            <w:tcBorders>
              <w:top w:val="nil"/>
              <w:left w:val="nil"/>
              <w:bottom w:val="single" w:color="auto" w:sz="4" w:space="0"/>
              <w:right w:val="single" w:color="auto" w:sz="4" w:space="0"/>
            </w:tcBorders>
            <w:vAlign w:val="center"/>
          </w:tcPr>
          <w:p w14:paraId="745E27EE">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6210C4F4">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76C8FB91">
            <w:pPr>
              <w:widowControl/>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6FA5DB5D">
            <w:pPr>
              <w:widowControl/>
              <w:jc w:val="center"/>
              <w:rPr>
                <w:rFonts w:hint="eastAsia" w:ascii="宋体" w:hAnsi="宋体" w:eastAsia="宋体" w:cs="宋体"/>
                <w:sz w:val="18"/>
                <w:szCs w:val="18"/>
              </w:rPr>
            </w:pPr>
          </w:p>
        </w:tc>
      </w:tr>
      <w:tr w14:paraId="73E5793F">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ABE557E">
            <w:pPr>
              <w:widowControl/>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63BF34D3">
            <w:pPr>
              <w:widowControl/>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774DF81A">
            <w:pPr>
              <w:widowControl/>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616824C6">
            <w:pPr>
              <w:widowControl/>
              <w:jc w:val="left"/>
              <w:rPr>
                <w:rFonts w:hint="eastAsia" w:ascii="宋体" w:hAnsi="宋体" w:eastAsia="宋体" w:cs="宋体"/>
                <w:b/>
                <w:bCs/>
                <w:sz w:val="18"/>
                <w:szCs w:val="18"/>
              </w:rPr>
            </w:pPr>
          </w:p>
        </w:tc>
      </w:tr>
      <w:tr w14:paraId="70425C4A">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077016B">
            <w:pPr>
              <w:widowControl/>
              <w:jc w:val="left"/>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751A6F9B">
            <w:pPr>
              <w:widowControl/>
              <w:jc w:val="left"/>
              <w:rPr>
                <w:rFonts w:hint="eastAsia" w:ascii="宋体" w:hAnsi="宋体" w:eastAsia="宋体" w:cs="宋体"/>
                <w:sz w:val="18"/>
                <w:szCs w:val="18"/>
              </w:rPr>
            </w:pPr>
            <w:r>
              <w:rPr>
                <w:rFonts w:hint="eastAsia" w:ascii="宋体" w:hAnsi="宋体" w:eastAsia="宋体" w:cs="宋体"/>
                <w:sz w:val="18"/>
                <w:szCs w:val="18"/>
              </w:rPr>
              <w:t>单位职责：1、贯彻执行党和国家的教育方针、政策、法规，确保教育活动的正常进行。2、配合各级人民政府依法动员、组织适龄儿童、少年入学，严格控制辍学、推进普及义务教育。3、组织开展本校的教育教学科研和教育教学改革，科研兴教，科研兴校。4、负责对本校教育教学业务的具体管理，负责教育教学管理及教研教改工作。本年度主要任务：1、以教学为中心，以课改为抓手，教师以身试范，狠抓养成教育，全面提升教育教学质量。2、安全工作，继续加大安全教育工作，安全责任到人，责任区一天一安全隐患排查。3、德育工作，在全员德育的氛围中，创设阳光少年德育评价体系。4、培训教育，组织开展教师业务培训及学生安全教育活动。5、维修工作，认真开展隐患排查，及时发现校园内可能存在的安全隐患并及时进行维修。</w:t>
            </w:r>
          </w:p>
        </w:tc>
        <w:tc>
          <w:tcPr>
            <w:tcW w:w="4547" w:type="dxa"/>
            <w:gridSpan w:val="4"/>
            <w:tcBorders>
              <w:top w:val="single" w:color="auto" w:sz="4" w:space="0"/>
              <w:left w:val="nil"/>
              <w:bottom w:val="single" w:color="auto" w:sz="4" w:space="0"/>
              <w:right w:val="single" w:color="auto" w:sz="4" w:space="0"/>
            </w:tcBorders>
          </w:tcPr>
          <w:p w14:paraId="6ADFCFF9">
            <w:pPr>
              <w:widowControl/>
              <w:jc w:val="left"/>
              <w:rPr>
                <w:rFonts w:hint="eastAsia" w:ascii="宋体" w:hAnsi="宋体" w:eastAsia="宋体" w:cs="宋体"/>
                <w:sz w:val="18"/>
                <w:szCs w:val="18"/>
              </w:rPr>
            </w:pPr>
            <w:r>
              <w:rPr>
                <w:rFonts w:hint="eastAsia" w:ascii="宋体" w:hAnsi="宋体" w:eastAsia="宋体" w:cs="宋体"/>
                <w:sz w:val="18"/>
                <w:szCs w:val="18"/>
              </w:rPr>
              <w:t>2024年度我校在教育局的指引下顺利的完成了年初设定的目标任务：1、持续深入开展“党史”学习教育活动，通过开展思想政治教育活动使全体师生的思想政治素养有了明显的提高；2、围绕党建工作，积极开展党建活动，更好的服务于群众；3、2024年所有的工作都为教学工作提供有效保障，使我校保质保量的完成了教学工作，并有效的提高了学校的教育教学质量；4、通过课后服务项目正常开展了特色的课程，有效提高了学生的综合素质；5、在安全</w:t>
            </w:r>
            <w:r>
              <w:rPr>
                <w:rFonts w:hint="eastAsia" w:ascii="宋体" w:hAnsi="宋体" w:eastAsia="宋体" w:cs="宋体"/>
                <w:sz w:val="18"/>
                <w:szCs w:val="18"/>
                <w:lang w:eastAsia="zh-CN"/>
              </w:rPr>
              <w:t>维护稳定</w:t>
            </w:r>
            <w:r>
              <w:rPr>
                <w:rFonts w:hint="eastAsia" w:ascii="宋体" w:hAnsi="宋体" w:eastAsia="宋体" w:cs="宋体"/>
                <w:sz w:val="18"/>
                <w:szCs w:val="18"/>
              </w:rPr>
              <w:t>及综合治理工作方面，我校也顺利的完成了任务。</w:t>
            </w:r>
          </w:p>
        </w:tc>
        <w:tc>
          <w:tcPr>
            <w:tcW w:w="284" w:type="dxa"/>
            <w:tcBorders>
              <w:top w:val="nil"/>
              <w:left w:val="nil"/>
              <w:bottom w:val="nil"/>
              <w:right w:val="nil"/>
            </w:tcBorders>
            <w:noWrap/>
            <w:vAlign w:val="center"/>
          </w:tcPr>
          <w:p w14:paraId="0450445C">
            <w:pPr>
              <w:widowControl/>
              <w:jc w:val="left"/>
              <w:rPr>
                <w:rFonts w:hint="eastAsia" w:ascii="宋体" w:hAnsi="宋体" w:eastAsia="宋体" w:cs="宋体"/>
                <w:sz w:val="18"/>
                <w:szCs w:val="18"/>
              </w:rPr>
            </w:pPr>
          </w:p>
        </w:tc>
      </w:tr>
      <w:tr w14:paraId="2571A181">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7E1C3A4">
            <w:pPr>
              <w:widowControl/>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05720BA8">
            <w:pPr>
              <w:widowControl/>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6600EC2C">
            <w:pPr>
              <w:widowControl/>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4B96F027">
            <w:pPr>
              <w:widowControl/>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65B40893">
            <w:pPr>
              <w:widowControl/>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081371DF">
            <w:pPr>
              <w:widowControl/>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3C64B7F4">
            <w:pPr>
              <w:widowControl/>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6094D7D8">
            <w:pPr>
              <w:widowControl/>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0B9D0576">
            <w:pPr>
              <w:widowControl/>
              <w:jc w:val="left"/>
              <w:rPr>
                <w:rFonts w:hint="eastAsia" w:ascii="宋体" w:hAnsi="宋体" w:eastAsia="宋体" w:cs="宋体"/>
                <w:b/>
                <w:bCs/>
                <w:sz w:val="18"/>
                <w:szCs w:val="18"/>
              </w:rPr>
            </w:pPr>
          </w:p>
        </w:tc>
      </w:tr>
      <w:tr w14:paraId="5CD7C19F">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652412D5">
            <w:pPr>
              <w:widowControl/>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3AA3C43D">
            <w:pPr>
              <w:widowControl/>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455A1BB3">
            <w:pPr>
              <w:widowControl/>
              <w:jc w:val="center"/>
              <w:rPr>
                <w:rFonts w:hint="eastAsia" w:ascii="宋体" w:hAnsi="宋体" w:eastAsia="宋体" w:cs="宋体"/>
                <w:sz w:val="18"/>
                <w:szCs w:val="18"/>
              </w:rPr>
            </w:pPr>
            <w:r>
              <w:rPr>
                <w:rFonts w:hint="eastAsia" w:ascii="宋体" w:hAnsi="宋体" w:eastAsia="宋体" w:cs="宋体"/>
                <w:sz w:val="18"/>
                <w:szCs w:val="18"/>
              </w:rPr>
              <w:t>法治思想专题学习次数</w:t>
            </w:r>
          </w:p>
        </w:tc>
        <w:tc>
          <w:tcPr>
            <w:tcW w:w="1276" w:type="dxa"/>
            <w:tcBorders>
              <w:top w:val="nil"/>
              <w:left w:val="nil"/>
              <w:bottom w:val="single" w:color="auto" w:sz="4" w:space="0"/>
              <w:right w:val="single" w:color="auto" w:sz="4" w:space="0"/>
            </w:tcBorders>
            <w:noWrap/>
            <w:vAlign w:val="center"/>
          </w:tcPr>
          <w:p w14:paraId="0994E096">
            <w:pPr>
              <w:widowControl/>
              <w:jc w:val="center"/>
              <w:rPr>
                <w:rFonts w:hint="eastAsia" w:ascii="宋体" w:hAnsi="宋体" w:eastAsia="宋体" w:cs="宋体"/>
                <w:sz w:val="18"/>
                <w:szCs w:val="18"/>
              </w:rPr>
            </w:pPr>
            <w:r>
              <w:rPr>
                <w:rFonts w:hint="eastAsia" w:ascii="宋体" w:hAnsi="宋体" w:eastAsia="宋体" w:cs="宋体"/>
                <w:sz w:val="18"/>
                <w:szCs w:val="18"/>
              </w:rPr>
              <w:t>&gt;=3次</w:t>
            </w:r>
          </w:p>
        </w:tc>
        <w:tc>
          <w:tcPr>
            <w:tcW w:w="1701" w:type="dxa"/>
            <w:tcBorders>
              <w:top w:val="nil"/>
              <w:left w:val="nil"/>
              <w:bottom w:val="single" w:color="auto" w:sz="4" w:space="0"/>
              <w:right w:val="single" w:color="auto" w:sz="4" w:space="0"/>
            </w:tcBorders>
            <w:noWrap/>
            <w:vAlign w:val="center"/>
          </w:tcPr>
          <w:p w14:paraId="300C2295">
            <w:pPr>
              <w:widowControl/>
              <w:jc w:val="left"/>
              <w:rPr>
                <w:rFonts w:hint="eastAsia" w:ascii="宋体" w:hAnsi="宋体" w:eastAsia="宋体" w:cs="宋体"/>
                <w:sz w:val="18"/>
                <w:szCs w:val="18"/>
              </w:rPr>
            </w:pPr>
            <w:r>
              <w:rPr>
                <w:rFonts w:hint="eastAsia" w:ascii="宋体" w:hAnsi="宋体" w:eastAsia="宋体" w:cs="宋体"/>
                <w:sz w:val="18"/>
                <w:szCs w:val="18"/>
              </w:rPr>
              <w:t>《乌鲁木齐市教育系统开展法治宣传教育的第八个五年规划（2021-2025年）》</w:t>
            </w:r>
          </w:p>
        </w:tc>
        <w:tc>
          <w:tcPr>
            <w:tcW w:w="1134" w:type="dxa"/>
            <w:tcBorders>
              <w:top w:val="nil"/>
              <w:left w:val="nil"/>
              <w:bottom w:val="single" w:color="auto" w:sz="4" w:space="0"/>
              <w:right w:val="single" w:color="auto" w:sz="4" w:space="0"/>
            </w:tcBorders>
            <w:noWrap/>
            <w:vAlign w:val="center"/>
          </w:tcPr>
          <w:p w14:paraId="4EE778D5">
            <w:pPr>
              <w:widowControl/>
              <w:jc w:val="center"/>
              <w:rPr>
                <w:rFonts w:hint="eastAsia" w:ascii="宋体" w:hAnsi="宋体" w:eastAsia="宋体" w:cs="宋体"/>
                <w:sz w:val="18"/>
                <w:szCs w:val="18"/>
              </w:rPr>
            </w:pPr>
            <w:r>
              <w:rPr>
                <w:rFonts w:hint="eastAsia" w:ascii="宋体" w:hAnsi="宋体" w:eastAsia="宋体" w:cs="宋体"/>
                <w:sz w:val="18"/>
                <w:szCs w:val="18"/>
              </w:rPr>
              <w:tab/>
            </w:r>
            <w:r>
              <w:rPr>
                <w:rFonts w:hint="eastAsia" w:ascii="宋体" w:hAnsi="宋体" w:eastAsia="宋体" w:cs="宋体"/>
                <w:sz w:val="18"/>
                <w:szCs w:val="18"/>
              </w:rPr>
              <w:t>=3次</w:t>
            </w:r>
          </w:p>
        </w:tc>
        <w:tc>
          <w:tcPr>
            <w:tcW w:w="992" w:type="dxa"/>
            <w:tcBorders>
              <w:top w:val="nil"/>
              <w:left w:val="nil"/>
              <w:bottom w:val="single" w:color="auto" w:sz="4" w:space="0"/>
              <w:right w:val="single" w:color="auto" w:sz="4" w:space="0"/>
            </w:tcBorders>
            <w:noWrap/>
            <w:vAlign w:val="center"/>
          </w:tcPr>
          <w:p w14:paraId="7F8D9302">
            <w:pPr>
              <w:widowControl/>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242F9AB9">
            <w:pPr>
              <w:widowControl/>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460C152D">
            <w:pPr>
              <w:widowControl/>
              <w:jc w:val="center"/>
              <w:rPr>
                <w:rFonts w:hint="eastAsia" w:ascii="宋体" w:hAnsi="宋体" w:eastAsia="宋体" w:cs="宋体"/>
                <w:sz w:val="18"/>
                <w:szCs w:val="18"/>
              </w:rPr>
            </w:pPr>
          </w:p>
        </w:tc>
      </w:tr>
      <w:tr w14:paraId="7AF4AFF9">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4A3783BA">
            <w:pPr>
              <w:widowControl/>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7BEC0830">
            <w:pPr>
              <w:widowControl/>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E5D3611">
            <w:pPr>
              <w:widowControl/>
              <w:jc w:val="center"/>
              <w:rPr>
                <w:rFonts w:hint="eastAsia" w:ascii="宋体" w:hAnsi="宋体" w:eastAsia="宋体" w:cs="宋体"/>
                <w:sz w:val="18"/>
                <w:szCs w:val="18"/>
              </w:rPr>
            </w:pPr>
            <w:r>
              <w:rPr>
                <w:rFonts w:hint="eastAsia" w:ascii="宋体" w:hAnsi="宋体" w:eastAsia="宋体" w:cs="宋体"/>
                <w:sz w:val="18"/>
                <w:szCs w:val="18"/>
              </w:rPr>
              <w:t>中小学教师接受法制教育培训课时数</w:t>
            </w:r>
          </w:p>
        </w:tc>
        <w:tc>
          <w:tcPr>
            <w:tcW w:w="1276" w:type="dxa"/>
            <w:tcBorders>
              <w:top w:val="nil"/>
              <w:left w:val="nil"/>
              <w:bottom w:val="single" w:color="auto" w:sz="4" w:space="0"/>
              <w:right w:val="single" w:color="auto" w:sz="4" w:space="0"/>
            </w:tcBorders>
            <w:noWrap/>
            <w:vAlign w:val="center"/>
          </w:tcPr>
          <w:p w14:paraId="6EF91548">
            <w:pPr>
              <w:widowControl/>
              <w:jc w:val="center"/>
              <w:rPr>
                <w:rFonts w:hint="eastAsia" w:ascii="宋体" w:hAnsi="宋体" w:eastAsia="宋体" w:cs="宋体"/>
                <w:sz w:val="18"/>
                <w:szCs w:val="18"/>
              </w:rPr>
            </w:pPr>
            <w:r>
              <w:rPr>
                <w:rFonts w:hint="eastAsia" w:ascii="宋体" w:hAnsi="宋体" w:eastAsia="宋体" w:cs="宋体"/>
                <w:sz w:val="18"/>
                <w:szCs w:val="18"/>
              </w:rPr>
              <w:t>&gt;=4课时</w:t>
            </w:r>
          </w:p>
        </w:tc>
        <w:tc>
          <w:tcPr>
            <w:tcW w:w="1701" w:type="dxa"/>
            <w:tcBorders>
              <w:top w:val="nil"/>
              <w:left w:val="nil"/>
              <w:bottom w:val="single" w:color="auto" w:sz="4" w:space="0"/>
              <w:right w:val="single" w:color="auto" w:sz="4" w:space="0"/>
            </w:tcBorders>
            <w:noWrap/>
            <w:vAlign w:val="center"/>
          </w:tcPr>
          <w:p w14:paraId="623CDF4A">
            <w:pPr>
              <w:widowControl/>
              <w:jc w:val="left"/>
              <w:rPr>
                <w:rFonts w:hint="eastAsia" w:ascii="宋体" w:hAnsi="宋体" w:eastAsia="宋体" w:cs="宋体"/>
                <w:sz w:val="18"/>
                <w:szCs w:val="18"/>
              </w:rPr>
            </w:pPr>
            <w:r>
              <w:rPr>
                <w:rFonts w:hint="eastAsia" w:ascii="宋体" w:hAnsi="宋体" w:eastAsia="宋体" w:cs="宋体"/>
                <w:sz w:val="18"/>
                <w:szCs w:val="18"/>
              </w:rPr>
              <w:t>《乌鲁木齐市教育系统开展法治宣传教育的第八个五年规划（2021-2025年）》</w:t>
            </w:r>
          </w:p>
        </w:tc>
        <w:tc>
          <w:tcPr>
            <w:tcW w:w="1134" w:type="dxa"/>
            <w:tcBorders>
              <w:top w:val="nil"/>
              <w:left w:val="nil"/>
              <w:bottom w:val="single" w:color="auto" w:sz="4" w:space="0"/>
              <w:right w:val="single" w:color="auto" w:sz="4" w:space="0"/>
            </w:tcBorders>
            <w:noWrap/>
            <w:vAlign w:val="center"/>
          </w:tcPr>
          <w:p w14:paraId="0F325BEC">
            <w:pPr>
              <w:widowControl/>
              <w:jc w:val="center"/>
              <w:rPr>
                <w:rFonts w:hint="eastAsia" w:ascii="宋体" w:hAnsi="宋体" w:eastAsia="宋体" w:cs="宋体"/>
                <w:sz w:val="18"/>
                <w:szCs w:val="18"/>
              </w:rPr>
            </w:pPr>
            <w:r>
              <w:rPr>
                <w:rFonts w:hint="eastAsia" w:ascii="宋体" w:hAnsi="宋体" w:eastAsia="宋体" w:cs="宋体"/>
                <w:sz w:val="18"/>
                <w:szCs w:val="18"/>
              </w:rPr>
              <w:t>=4课时</w:t>
            </w:r>
          </w:p>
        </w:tc>
        <w:tc>
          <w:tcPr>
            <w:tcW w:w="992" w:type="dxa"/>
            <w:tcBorders>
              <w:top w:val="nil"/>
              <w:left w:val="nil"/>
              <w:bottom w:val="single" w:color="auto" w:sz="4" w:space="0"/>
              <w:right w:val="single" w:color="auto" w:sz="4" w:space="0"/>
            </w:tcBorders>
            <w:noWrap/>
            <w:vAlign w:val="center"/>
          </w:tcPr>
          <w:p w14:paraId="2009C8A6">
            <w:pPr>
              <w:widowControl/>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4531B1F5">
            <w:pPr>
              <w:widowControl/>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1B2EF523">
            <w:pPr>
              <w:widowControl/>
              <w:jc w:val="center"/>
              <w:rPr>
                <w:rFonts w:hint="eastAsia" w:ascii="宋体" w:hAnsi="宋体" w:eastAsia="宋体" w:cs="宋体"/>
                <w:sz w:val="18"/>
                <w:szCs w:val="18"/>
              </w:rPr>
            </w:pPr>
          </w:p>
        </w:tc>
      </w:tr>
      <w:tr w14:paraId="62B78F8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3F8B15C">
            <w:pPr>
              <w:widowControl/>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46EDDFE3">
            <w:pPr>
              <w:widowControl/>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80CAA42">
            <w:pPr>
              <w:widowControl/>
              <w:jc w:val="center"/>
              <w:rPr>
                <w:rFonts w:hint="eastAsia" w:ascii="宋体" w:hAnsi="宋体" w:eastAsia="宋体" w:cs="宋体"/>
                <w:sz w:val="18"/>
                <w:szCs w:val="18"/>
              </w:rPr>
            </w:pPr>
            <w:r>
              <w:rPr>
                <w:rFonts w:hint="eastAsia" w:ascii="宋体" w:hAnsi="宋体" w:eastAsia="宋体" w:cs="宋体"/>
                <w:sz w:val="18"/>
                <w:szCs w:val="18"/>
              </w:rPr>
              <w:t>备课组每周开展活动次数</w:t>
            </w:r>
          </w:p>
        </w:tc>
        <w:tc>
          <w:tcPr>
            <w:tcW w:w="1276" w:type="dxa"/>
            <w:tcBorders>
              <w:top w:val="nil"/>
              <w:left w:val="nil"/>
              <w:bottom w:val="single" w:color="auto" w:sz="4" w:space="0"/>
              <w:right w:val="single" w:color="auto" w:sz="4" w:space="0"/>
            </w:tcBorders>
            <w:noWrap/>
            <w:vAlign w:val="center"/>
          </w:tcPr>
          <w:p w14:paraId="46DB433B">
            <w:pPr>
              <w:widowControl/>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66EBFE50">
            <w:pPr>
              <w:widowControl/>
              <w:jc w:val="left"/>
              <w:rPr>
                <w:rFonts w:hint="eastAsia" w:ascii="宋体" w:hAnsi="宋体" w:eastAsia="宋体" w:cs="宋体"/>
                <w:sz w:val="18"/>
                <w:szCs w:val="18"/>
              </w:rPr>
            </w:pPr>
            <w:r>
              <w:rPr>
                <w:rFonts w:hint="eastAsia" w:ascii="宋体" w:hAnsi="宋体" w:eastAsia="宋体" w:cs="宋体"/>
                <w:sz w:val="18"/>
                <w:szCs w:val="18"/>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7448651E">
            <w:pPr>
              <w:widowControl/>
              <w:jc w:val="center"/>
              <w:rPr>
                <w:rFonts w:hint="eastAsia" w:ascii="宋体" w:hAnsi="宋体" w:eastAsia="宋体" w:cs="宋体"/>
                <w:sz w:val="18"/>
                <w:szCs w:val="18"/>
              </w:rPr>
            </w:pPr>
            <w:r>
              <w:rPr>
                <w:rFonts w:hint="eastAsia" w:ascii="宋体" w:hAnsi="宋体" w:eastAsia="宋体" w:cs="宋体"/>
                <w:sz w:val="18"/>
                <w:szCs w:val="18"/>
              </w:rPr>
              <w:tab/>
            </w: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071691F8">
            <w:pPr>
              <w:widowControl/>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72F00A88">
            <w:pPr>
              <w:widowControl/>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463AB909">
            <w:pPr>
              <w:widowControl/>
              <w:jc w:val="center"/>
              <w:rPr>
                <w:rFonts w:hint="eastAsia" w:ascii="宋体" w:hAnsi="宋体" w:eastAsia="宋体" w:cs="宋体"/>
                <w:sz w:val="18"/>
                <w:szCs w:val="18"/>
              </w:rPr>
            </w:pPr>
          </w:p>
        </w:tc>
      </w:tr>
      <w:tr w14:paraId="199A6DB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338E170D">
            <w:pPr>
              <w:widowControl/>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3EA075DE">
            <w:pPr>
              <w:widowControl/>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0175020">
            <w:pPr>
              <w:widowControl/>
              <w:jc w:val="center"/>
              <w:rPr>
                <w:rFonts w:hint="eastAsia" w:ascii="宋体" w:hAnsi="宋体" w:eastAsia="宋体" w:cs="宋体"/>
                <w:sz w:val="18"/>
                <w:szCs w:val="18"/>
              </w:rPr>
            </w:pPr>
            <w:r>
              <w:rPr>
                <w:rFonts w:hint="eastAsia" w:ascii="宋体" w:hAnsi="宋体" w:eastAsia="宋体" w:cs="宋体"/>
                <w:sz w:val="18"/>
                <w:szCs w:val="18"/>
              </w:rPr>
              <w:t>教研组每2周开展活动次数</w:t>
            </w:r>
          </w:p>
        </w:tc>
        <w:tc>
          <w:tcPr>
            <w:tcW w:w="1276" w:type="dxa"/>
            <w:tcBorders>
              <w:top w:val="nil"/>
              <w:left w:val="nil"/>
              <w:bottom w:val="single" w:color="auto" w:sz="4" w:space="0"/>
              <w:right w:val="single" w:color="auto" w:sz="4" w:space="0"/>
            </w:tcBorders>
            <w:noWrap/>
            <w:vAlign w:val="center"/>
          </w:tcPr>
          <w:p w14:paraId="1162227D">
            <w:pPr>
              <w:widowControl/>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595171C6">
            <w:pPr>
              <w:widowControl/>
              <w:jc w:val="left"/>
              <w:rPr>
                <w:rFonts w:hint="eastAsia" w:ascii="宋体" w:hAnsi="宋体" w:eastAsia="宋体" w:cs="宋体"/>
                <w:sz w:val="18"/>
                <w:szCs w:val="18"/>
              </w:rPr>
            </w:pPr>
            <w:r>
              <w:rPr>
                <w:rFonts w:hint="eastAsia" w:ascii="宋体" w:hAnsi="宋体" w:eastAsia="宋体" w:cs="宋体"/>
                <w:sz w:val="18"/>
                <w:szCs w:val="18"/>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126D0B98">
            <w:pPr>
              <w:widowControl/>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354CF43E">
            <w:pPr>
              <w:widowControl/>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36396F90">
            <w:pPr>
              <w:widowControl/>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25059327">
            <w:pPr>
              <w:widowControl/>
              <w:jc w:val="center"/>
              <w:rPr>
                <w:rFonts w:hint="eastAsia" w:ascii="宋体" w:hAnsi="宋体" w:eastAsia="宋体" w:cs="宋体"/>
                <w:sz w:val="18"/>
                <w:szCs w:val="18"/>
              </w:rPr>
            </w:pPr>
          </w:p>
        </w:tc>
      </w:tr>
      <w:tr w14:paraId="0CC2885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26896A1C">
            <w:pPr>
              <w:widowControl/>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64F2A846">
            <w:pPr>
              <w:widowControl/>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682E3C56">
            <w:pPr>
              <w:widowControl/>
              <w:jc w:val="center"/>
              <w:rPr>
                <w:rFonts w:hint="eastAsia" w:ascii="宋体" w:hAnsi="宋体" w:eastAsia="宋体" w:cs="宋体"/>
                <w:sz w:val="18"/>
                <w:szCs w:val="18"/>
              </w:rPr>
            </w:pPr>
            <w:r>
              <w:rPr>
                <w:rFonts w:hint="eastAsia" w:ascii="宋体" w:hAnsi="宋体" w:eastAsia="宋体" w:cs="宋体"/>
                <w:sz w:val="18"/>
                <w:szCs w:val="18"/>
              </w:rPr>
              <w:t>每位教师每学年开展公开课次数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1DDA028B">
            <w:pPr>
              <w:widowControl/>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6CBFBEEB">
            <w:pPr>
              <w:widowControl/>
              <w:jc w:val="left"/>
              <w:rPr>
                <w:rFonts w:hint="eastAsia" w:ascii="宋体" w:hAnsi="宋体" w:eastAsia="宋体" w:cs="宋体"/>
                <w:sz w:val="18"/>
                <w:szCs w:val="18"/>
              </w:rPr>
            </w:pPr>
            <w:r>
              <w:rPr>
                <w:rFonts w:hint="eastAsia" w:ascii="宋体" w:hAnsi="宋体" w:eastAsia="宋体" w:cs="宋体"/>
                <w:sz w:val="18"/>
                <w:szCs w:val="18"/>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70D04ECF">
            <w:pPr>
              <w:widowControl/>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6A801226">
            <w:pPr>
              <w:widowControl/>
              <w:jc w:val="center"/>
              <w:rPr>
                <w:rFonts w:hint="eastAsia" w:ascii="宋体" w:hAnsi="宋体" w:eastAsia="宋体" w:cs="宋体"/>
                <w:sz w:val="18"/>
                <w:szCs w:val="18"/>
              </w:rPr>
            </w:pPr>
            <w:r>
              <w:rPr>
                <w:rFonts w:hint="eastAsia" w:ascii="宋体" w:hAnsi="宋体" w:eastAsia="宋体" w:cs="宋体"/>
                <w:sz w:val="18"/>
                <w:szCs w:val="18"/>
              </w:rPr>
              <w:t>10</w:t>
            </w:r>
          </w:p>
        </w:tc>
        <w:tc>
          <w:tcPr>
            <w:tcW w:w="720" w:type="dxa"/>
            <w:tcBorders>
              <w:top w:val="single" w:color="auto" w:sz="4" w:space="0"/>
              <w:left w:val="nil"/>
              <w:bottom w:val="single" w:color="auto" w:sz="4" w:space="0"/>
              <w:right w:val="single" w:color="auto" w:sz="4" w:space="0"/>
            </w:tcBorders>
            <w:noWrap/>
            <w:vAlign w:val="center"/>
          </w:tcPr>
          <w:p w14:paraId="106998EA">
            <w:pPr>
              <w:widowControl/>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06C09A12">
            <w:pPr>
              <w:widowControl/>
              <w:jc w:val="center"/>
              <w:rPr>
                <w:rFonts w:hint="eastAsia" w:ascii="宋体" w:hAnsi="宋体" w:eastAsia="宋体" w:cs="宋体"/>
                <w:sz w:val="18"/>
                <w:szCs w:val="18"/>
              </w:rPr>
            </w:pPr>
          </w:p>
        </w:tc>
      </w:tr>
      <w:tr w14:paraId="07D06E34">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2D0A5B84">
            <w:pPr>
              <w:widowControl/>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294876C7">
            <w:pPr>
              <w:widowControl/>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2277F188">
            <w:pPr>
              <w:widowControl/>
              <w:jc w:val="center"/>
              <w:rPr>
                <w:rFonts w:hint="eastAsia" w:ascii="宋体" w:hAnsi="宋体" w:eastAsia="宋体" w:cs="宋体"/>
                <w:sz w:val="18"/>
                <w:szCs w:val="18"/>
              </w:rPr>
            </w:pPr>
            <w:r>
              <w:rPr>
                <w:rFonts w:hint="eastAsia" w:ascii="宋体" w:hAnsi="宋体" w:eastAsia="宋体" w:cs="宋体"/>
                <w:sz w:val="18"/>
                <w:szCs w:val="18"/>
              </w:rPr>
              <w:t>99</w:t>
            </w:r>
          </w:p>
        </w:tc>
        <w:tc>
          <w:tcPr>
            <w:tcW w:w="284" w:type="dxa"/>
            <w:tcBorders>
              <w:top w:val="nil"/>
              <w:left w:val="nil"/>
              <w:bottom w:val="nil"/>
              <w:right w:val="nil"/>
            </w:tcBorders>
            <w:noWrap/>
            <w:vAlign w:val="center"/>
          </w:tcPr>
          <w:p w14:paraId="310557CE">
            <w:pPr>
              <w:widowControl/>
              <w:jc w:val="center"/>
              <w:rPr>
                <w:rFonts w:hint="eastAsia" w:ascii="宋体" w:hAnsi="宋体" w:eastAsia="宋体" w:cs="宋体"/>
                <w:sz w:val="18"/>
                <w:szCs w:val="18"/>
              </w:rPr>
            </w:pPr>
          </w:p>
        </w:tc>
      </w:tr>
    </w:tbl>
    <w:p w14:paraId="267BBB2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3CF49F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5EBB3A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367537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FFFB2F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乌财科教[2023]167号-关于提前下达2024年城乡义务教育补助经费预算（公用经费）5%培训费-小学</w:t>
            </w:r>
          </w:p>
        </w:tc>
      </w:tr>
      <w:tr w14:paraId="791140F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8E3DB8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74DCD6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331A71D1">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6CCFA8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乌鲁木齐市第117小学</w:t>
            </w:r>
          </w:p>
        </w:tc>
      </w:tr>
      <w:tr w14:paraId="1CD4BA6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E7C032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31542733">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590D563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913B02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128CC0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DD9401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65255F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99C368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BB7821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CFB3369">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C67CFC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3EBB8BE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19.17</w:t>
            </w:r>
          </w:p>
        </w:tc>
        <w:tc>
          <w:tcPr>
            <w:tcW w:w="1125" w:type="dxa"/>
            <w:tcBorders>
              <w:top w:val="nil"/>
              <w:left w:val="nil"/>
              <w:bottom w:val="single" w:color="auto" w:sz="4" w:space="0"/>
              <w:right w:val="single" w:color="auto" w:sz="4" w:space="0"/>
            </w:tcBorders>
            <w:noWrap/>
            <w:vAlign w:val="center"/>
          </w:tcPr>
          <w:p w14:paraId="71BBDCA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20.06</w:t>
            </w:r>
          </w:p>
        </w:tc>
        <w:tc>
          <w:tcPr>
            <w:tcW w:w="1275" w:type="dxa"/>
            <w:gridSpan w:val="2"/>
            <w:tcBorders>
              <w:top w:val="single" w:color="auto" w:sz="4" w:space="0"/>
              <w:left w:val="nil"/>
              <w:bottom w:val="single" w:color="auto" w:sz="4" w:space="0"/>
              <w:right w:val="single" w:color="000000" w:sz="4" w:space="0"/>
            </w:tcBorders>
            <w:noWrap/>
            <w:vAlign w:val="center"/>
          </w:tcPr>
          <w:p w14:paraId="32A5855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20.03</w:t>
            </w:r>
          </w:p>
        </w:tc>
        <w:tc>
          <w:tcPr>
            <w:tcW w:w="1134" w:type="dxa"/>
            <w:gridSpan w:val="2"/>
            <w:tcBorders>
              <w:top w:val="single" w:color="auto" w:sz="4" w:space="0"/>
              <w:left w:val="nil"/>
              <w:bottom w:val="single" w:color="auto" w:sz="4" w:space="0"/>
              <w:right w:val="single" w:color="auto" w:sz="4" w:space="0"/>
            </w:tcBorders>
            <w:vAlign w:val="center"/>
          </w:tcPr>
          <w:p w14:paraId="148E3E6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E01CEF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99.85%</w:t>
            </w:r>
          </w:p>
        </w:tc>
        <w:tc>
          <w:tcPr>
            <w:tcW w:w="1275" w:type="dxa"/>
            <w:tcBorders>
              <w:top w:val="nil"/>
              <w:left w:val="nil"/>
              <w:bottom w:val="single" w:color="auto" w:sz="4" w:space="0"/>
              <w:right w:val="single" w:color="auto" w:sz="4" w:space="0"/>
            </w:tcBorders>
            <w:vAlign w:val="center"/>
          </w:tcPr>
          <w:p w14:paraId="1540087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9.99分</w:t>
            </w:r>
          </w:p>
        </w:tc>
      </w:tr>
      <w:tr w14:paraId="3460761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F80803F">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73044A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DC3169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16.90</w:t>
            </w:r>
          </w:p>
        </w:tc>
        <w:tc>
          <w:tcPr>
            <w:tcW w:w="1125" w:type="dxa"/>
            <w:tcBorders>
              <w:top w:val="nil"/>
              <w:left w:val="nil"/>
              <w:bottom w:val="single" w:color="auto" w:sz="4" w:space="0"/>
              <w:right w:val="single" w:color="auto" w:sz="4" w:space="0"/>
            </w:tcBorders>
            <w:noWrap/>
            <w:vAlign w:val="center"/>
          </w:tcPr>
          <w:p w14:paraId="225E1E9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17.79</w:t>
            </w:r>
          </w:p>
        </w:tc>
        <w:tc>
          <w:tcPr>
            <w:tcW w:w="1275" w:type="dxa"/>
            <w:gridSpan w:val="2"/>
            <w:tcBorders>
              <w:top w:val="single" w:color="auto" w:sz="4" w:space="0"/>
              <w:left w:val="nil"/>
              <w:bottom w:val="single" w:color="auto" w:sz="4" w:space="0"/>
              <w:right w:val="single" w:color="000000" w:sz="4" w:space="0"/>
            </w:tcBorders>
            <w:noWrap/>
            <w:vAlign w:val="center"/>
          </w:tcPr>
          <w:p w14:paraId="229D59B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17.76</w:t>
            </w:r>
          </w:p>
        </w:tc>
        <w:tc>
          <w:tcPr>
            <w:tcW w:w="1134" w:type="dxa"/>
            <w:gridSpan w:val="2"/>
            <w:tcBorders>
              <w:top w:val="single" w:color="auto" w:sz="4" w:space="0"/>
              <w:left w:val="nil"/>
              <w:bottom w:val="single" w:color="auto" w:sz="4" w:space="0"/>
              <w:right w:val="single" w:color="auto" w:sz="4" w:space="0"/>
            </w:tcBorders>
            <w:vAlign w:val="center"/>
          </w:tcPr>
          <w:p w14:paraId="166E6B5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1DEB78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321F59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4A31EF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F7EBC87">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E7482B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AB9637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2.27</w:t>
            </w:r>
          </w:p>
        </w:tc>
        <w:tc>
          <w:tcPr>
            <w:tcW w:w="1125" w:type="dxa"/>
            <w:tcBorders>
              <w:top w:val="nil"/>
              <w:left w:val="nil"/>
              <w:bottom w:val="single" w:color="auto" w:sz="4" w:space="0"/>
              <w:right w:val="single" w:color="auto" w:sz="4" w:space="0"/>
            </w:tcBorders>
            <w:noWrap/>
            <w:vAlign w:val="center"/>
          </w:tcPr>
          <w:p w14:paraId="38A991F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2.27</w:t>
            </w:r>
          </w:p>
        </w:tc>
        <w:tc>
          <w:tcPr>
            <w:tcW w:w="1275" w:type="dxa"/>
            <w:gridSpan w:val="2"/>
            <w:tcBorders>
              <w:top w:val="single" w:color="auto" w:sz="4" w:space="0"/>
              <w:left w:val="nil"/>
              <w:bottom w:val="single" w:color="auto" w:sz="4" w:space="0"/>
              <w:right w:val="single" w:color="000000" w:sz="4" w:space="0"/>
            </w:tcBorders>
            <w:noWrap/>
            <w:vAlign w:val="center"/>
          </w:tcPr>
          <w:p w14:paraId="426D552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2.27</w:t>
            </w:r>
          </w:p>
        </w:tc>
        <w:tc>
          <w:tcPr>
            <w:tcW w:w="1134" w:type="dxa"/>
            <w:gridSpan w:val="2"/>
            <w:tcBorders>
              <w:top w:val="single" w:color="auto" w:sz="4" w:space="0"/>
              <w:left w:val="nil"/>
              <w:bottom w:val="single" w:color="auto" w:sz="4" w:space="0"/>
              <w:right w:val="single" w:color="auto" w:sz="4" w:space="0"/>
            </w:tcBorders>
            <w:vAlign w:val="center"/>
          </w:tcPr>
          <w:p w14:paraId="3AA1958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E6221D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4A6663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B960B24">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79766E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45BF02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67DD7E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A9DDB6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590639F">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481E940">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本项目通过缴纳暖气费，改善我校办学硬件设施，明显改善办学条件，加强教师业务培训，确保我校推动义务教育均衡化发展</w:t>
            </w:r>
          </w:p>
        </w:tc>
        <w:tc>
          <w:tcPr>
            <w:tcW w:w="4677" w:type="dxa"/>
            <w:gridSpan w:val="7"/>
            <w:tcBorders>
              <w:top w:val="single" w:color="auto" w:sz="4" w:space="0"/>
              <w:left w:val="nil"/>
              <w:bottom w:val="single" w:color="auto" w:sz="4" w:space="0"/>
              <w:right w:val="single" w:color="000000" w:sz="4" w:space="0"/>
            </w:tcBorders>
          </w:tcPr>
          <w:p w14:paraId="25FDB915">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通过该项目的实施推动了我校教育发展，提高了我校教育质量，构建了良好的教育环境。该项目通过支付我校日常开支，保障了学校的正常运转所需，维持了我校日常教学工作开展。通过城乡义务教育经费的保障机制，我校能够在2024年完成日常教学业务，保障了我校正常业务开支，使得我校能够更好地服务于学生，创造了良好的育人环境，使学生安心，安全的学习。</w:t>
            </w:r>
          </w:p>
        </w:tc>
      </w:tr>
      <w:tr w14:paraId="13CDC531">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4E6E33C3">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296B51F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A07F17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A48489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9DC767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C6EAF1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76E4B2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D8C512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04A2A9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28D6DE9E">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86A4DAD">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4FABB1E1">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57F4482">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7D557A4">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2B43AA56">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44804F25">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D0B8ABA">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C57D5B8">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5BB4418">
            <w:pPr>
              <w:widowControl/>
              <w:jc w:val="left"/>
              <w:rPr>
                <w:rFonts w:hint="eastAsia" w:ascii="宋体" w:hAnsi="宋体" w:eastAsia="宋体" w:cs="宋体"/>
                <w:color w:val="000000"/>
                <w:sz w:val="18"/>
                <w:szCs w:val="18"/>
              </w:rPr>
            </w:pPr>
          </w:p>
        </w:tc>
      </w:tr>
      <w:tr w14:paraId="69603BA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081C54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55B29B2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524180D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D8595E6">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426AB43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=4684平方米</w:t>
            </w:r>
          </w:p>
        </w:tc>
        <w:tc>
          <w:tcPr>
            <w:tcW w:w="1229" w:type="dxa"/>
            <w:tcBorders>
              <w:top w:val="nil"/>
              <w:left w:val="nil"/>
              <w:bottom w:val="single" w:color="auto" w:sz="4" w:space="0"/>
              <w:right w:val="single" w:color="auto" w:sz="4" w:space="0"/>
            </w:tcBorders>
            <w:vAlign w:val="center"/>
          </w:tcPr>
          <w:p w14:paraId="090B729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4684平方米</w:t>
            </w:r>
          </w:p>
        </w:tc>
        <w:tc>
          <w:tcPr>
            <w:tcW w:w="755" w:type="dxa"/>
            <w:gridSpan w:val="2"/>
            <w:tcBorders>
              <w:top w:val="single" w:color="auto" w:sz="4" w:space="0"/>
              <w:left w:val="nil"/>
              <w:bottom w:val="single" w:color="auto" w:sz="4" w:space="0"/>
              <w:right w:val="single" w:color="000000" w:sz="4" w:space="0"/>
            </w:tcBorders>
            <w:vAlign w:val="center"/>
          </w:tcPr>
          <w:p w14:paraId="2C82C89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3E3921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309543C">
            <w:pPr>
              <w:widowControl/>
              <w:jc w:val="center"/>
              <w:rPr>
                <w:rFonts w:hint="eastAsia" w:ascii="宋体" w:hAnsi="宋体" w:eastAsia="宋体" w:cs="宋体"/>
                <w:color w:val="000000"/>
                <w:sz w:val="18"/>
                <w:szCs w:val="18"/>
              </w:rPr>
            </w:pPr>
          </w:p>
        </w:tc>
      </w:tr>
      <w:tr w14:paraId="5DE2164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9468EC">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4D79936">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833280E">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06421E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教师培训人次</w:t>
            </w:r>
          </w:p>
        </w:tc>
        <w:tc>
          <w:tcPr>
            <w:tcW w:w="1125" w:type="dxa"/>
            <w:tcBorders>
              <w:top w:val="nil"/>
              <w:left w:val="nil"/>
              <w:bottom w:val="single" w:color="auto" w:sz="4" w:space="0"/>
              <w:right w:val="single" w:color="auto" w:sz="4" w:space="0"/>
            </w:tcBorders>
            <w:vAlign w:val="center"/>
          </w:tcPr>
          <w:p w14:paraId="0F4CE11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&gt;=6人次</w:t>
            </w:r>
          </w:p>
        </w:tc>
        <w:tc>
          <w:tcPr>
            <w:tcW w:w="1229" w:type="dxa"/>
            <w:tcBorders>
              <w:top w:val="nil"/>
              <w:left w:val="nil"/>
              <w:bottom w:val="single" w:color="auto" w:sz="4" w:space="0"/>
              <w:right w:val="single" w:color="auto" w:sz="4" w:space="0"/>
            </w:tcBorders>
            <w:vAlign w:val="center"/>
          </w:tcPr>
          <w:p w14:paraId="1E301FA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6人次</w:t>
            </w:r>
          </w:p>
        </w:tc>
        <w:tc>
          <w:tcPr>
            <w:tcW w:w="755" w:type="dxa"/>
            <w:gridSpan w:val="2"/>
            <w:tcBorders>
              <w:top w:val="single" w:color="auto" w:sz="4" w:space="0"/>
              <w:left w:val="nil"/>
              <w:bottom w:val="single" w:color="auto" w:sz="4" w:space="0"/>
              <w:right w:val="single" w:color="000000" w:sz="4" w:space="0"/>
            </w:tcBorders>
            <w:vAlign w:val="center"/>
          </w:tcPr>
          <w:p w14:paraId="5C000D9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D16599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D971026">
            <w:pPr>
              <w:widowControl/>
              <w:jc w:val="center"/>
              <w:rPr>
                <w:rFonts w:hint="eastAsia" w:ascii="宋体" w:hAnsi="宋体" w:eastAsia="宋体" w:cs="宋体"/>
                <w:color w:val="000000"/>
                <w:sz w:val="18"/>
                <w:szCs w:val="18"/>
              </w:rPr>
            </w:pPr>
          </w:p>
        </w:tc>
      </w:tr>
      <w:tr w14:paraId="7EC75E1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8C7915">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C8869D5">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15EC9FB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96E6C3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学校全年正常运转率</w:t>
            </w:r>
          </w:p>
        </w:tc>
        <w:tc>
          <w:tcPr>
            <w:tcW w:w="1125" w:type="dxa"/>
            <w:tcBorders>
              <w:top w:val="nil"/>
              <w:left w:val="nil"/>
              <w:bottom w:val="single" w:color="auto" w:sz="4" w:space="0"/>
              <w:right w:val="single" w:color="auto" w:sz="4" w:space="0"/>
            </w:tcBorders>
            <w:vAlign w:val="center"/>
          </w:tcPr>
          <w:p w14:paraId="38F5A1A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w:t>
            </w:r>
          </w:p>
        </w:tc>
        <w:tc>
          <w:tcPr>
            <w:tcW w:w="1229" w:type="dxa"/>
            <w:tcBorders>
              <w:top w:val="nil"/>
              <w:left w:val="nil"/>
              <w:bottom w:val="single" w:color="auto" w:sz="4" w:space="0"/>
              <w:right w:val="single" w:color="auto" w:sz="4" w:space="0"/>
            </w:tcBorders>
            <w:vAlign w:val="center"/>
          </w:tcPr>
          <w:p w14:paraId="4092FD5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78EB76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ACACE1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BF2809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学校全年正常运转，运转率达到100%，设定绩效目标值98%有欠缺，因此产生偏差</w:t>
            </w:r>
          </w:p>
        </w:tc>
      </w:tr>
      <w:tr w14:paraId="33C78EF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4741E6">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2E1E248">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FED5E21">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5615E0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学校全年供暖覆盖率</w:t>
            </w:r>
          </w:p>
        </w:tc>
        <w:tc>
          <w:tcPr>
            <w:tcW w:w="1125" w:type="dxa"/>
            <w:tcBorders>
              <w:top w:val="nil"/>
              <w:left w:val="nil"/>
              <w:bottom w:val="single" w:color="auto" w:sz="4" w:space="0"/>
              <w:right w:val="single" w:color="auto" w:sz="4" w:space="0"/>
            </w:tcBorders>
            <w:vAlign w:val="center"/>
          </w:tcPr>
          <w:p w14:paraId="46CC4E9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9CA31B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95CD52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6ACCF0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F30046E">
            <w:pPr>
              <w:widowControl/>
              <w:jc w:val="center"/>
              <w:rPr>
                <w:rFonts w:hint="eastAsia" w:ascii="宋体" w:hAnsi="宋体" w:eastAsia="宋体" w:cs="宋体"/>
                <w:color w:val="000000"/>
                <w:sz w:val="18"/>
                <w:szCs w:val="18"/>
              </w:rPr>
            </w:pPr>
          </w:p>
        </w:tc>
      </w:tr>
      <w:tr w14:paraId="18FD2F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4D1432">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4898C4B">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577D47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1ED68F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65F8BF2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34B57EB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4C38788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F856C6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D968EF8">
            <w:pPr>
              <w:widowControl/>
              <w:jc w:val="center"/>
              <w:rPr>
                <w:rFonts w:hint="eastAsia" w:ascii="宋体" w:hAnsi="宋体" w:eastAsia="宋体" w:cs="宋体"/>
                <w:color w:val="000000"/>
                <w:sz w:val="18"/>
                <w:szCs w:val="18"/>
              </w:rPr>
            </w:pPr>
          </w:p>
        </w:tc>
      </w:tr>
      <w:tr w14:paraId="14D796D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7D645D">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602DC26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69E4A25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426D6F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提高社会服务发展力</w:t>
            </w:r>
          </w:p>
        </w:tc>
        <w:tc>
          <w:tcPr>
            <w:tcW w:w="1125" w:type="dxa"/>
            <w:tcBorders>
              <w:top w:val="nil"/>
              <w:left w:val="nil"/>
              <w:bottom w:val="single" w:color="auto" w:sz="4" w:space="0"/>
              <w:right w:val="single" w:color="auto" w:sz="4" w:space="0"/>
            </w:tcBorders>
            <w:vAlign w:val="center"/>
          </w:tcPr>
          <w:p w14:paraId="3AAFBE0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5E94A14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C03C05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2102B5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7C22A246">
            <w:pPr>
              <w:widowControl/>
              <w:jc w:val="center"/>
              <w:rPr>
                <w:rFonts w:hint="eastAsia" w:ascii="宋体" w:hAnsi="宋体" w:eastAsia="宋体" w:cs="宋体"/>
                <w:color w:val="000000"/>
                <w:sz w:val="18"/>
                <w:szCs w:val="18"/>
              </w:rPr>
            </w:pPr>
          </w:p>
        </w:tc>
      </w:tr>
      <w:tr w14:paraId="257C42E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3B2E74">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29416EE">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5955A74">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D5CAA6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保障学校教学工作顺利开展</w:t>
            </w:r>
          </w:p>
        </w:tc>
        <w:tc>
          <w:tcPr>
            <w:tcW w:w="1125" w:type="dxa"/>
            <w:tcBorders>
              <w:top w:val="nil"/>
              <w:left w:val="nil"/>
              <w:bottom w:val="single" w:color="auto" w:sz="4" w:space="0"/>
              <w:right w:val="single" w:color="auto" w:sz="4" w:space="0"/>
            </w:tcBorders>
            <w:vAlign w:val="center"/>
          </w:tcPr>
          <w:p w14:paraId="0AE5495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37A2BE1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1C7286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E44F6D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C217D19">
            <w:pPr>
              <w:widowControl/>
              <w:jc w:val="center"/>
              <w:rPr>
                <w:rFonts w:hint="eastAsia" w:ascii="宋体" w:hAnsi="宋体" w:eastAsia="宋体" w:cs="宋体"/>
                <w:color w:val="000000"/>
                <w:sz w:val="18"/>
                <w:szCs w:val="18"/>
              </w:rPr>
            </w:pPr>
          </w:p>
        </w:tc>
      </w:tr>
      <w:tr w14:paraId="7189F47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D52AF4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C3FAED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500154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99.99分</w:t>
            </w:r>
          </w:p>
        </w:tc>
        <w:tc>
          <w:tcPr>
            <w:tcW w:w="1984" w:type="dxa"/>
            <w:gridSpan w:val="2"/>
            <w:tcBorders>
              <w:top w:val="single" w:color="auto" w:sz="4" w:space="0"/>
              <w:left w:val="nil"/>
              <w:bottom w:val="single" w:color="auto" w:sz="4" w:space="0"/>
              <w:right w:val="single" w:color="auto" w:sz="4" w:space="0"/>
            </w:tcBorders>
            <w:vAlign w:val="center"/>
          </w:tcPr>
          <w:p w14:paraId="6FBDACE5">
            <w:pPr>
              <w:widowControl/>
              <w:jc w:val="center"/>
              <w:rPr>
                <w:rFonts w:hint="eastAsia" w:ascii="宋体" w:hAnsi="宋体" w:eastAsia="宋体" w:cs="宋体"/>
                <w:b/>
                <w:bCs/>
                <w:color w:val="000000"/>
                <w:sz w:val="18"/>
                <w:szCs w:val="18"/>
              </w:rPr>
            </w:pPr>
          </w:p>
        </w:tc>
      </w:tr>
    </w:tbl>
    <w:p w14:paraId="7CE388A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3B819D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4B0982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6A6CD4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105EE6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乌财科教【2023】167号-关于提前下达2024年中央城乡义务教育补助经费（家庭经济困难学生生活补助（小学）</w:t>
            </w:r>
          </w:p>
        </w:tc>
      </w:tr>
      <w:tr w14:paraId="49CA739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79A1EC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630261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5473A660">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9980EF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乌鲁木齐市第117小学</w:t>
            </w:r>
          </w:p>
        </w:tc>
      </w:tr>
      <w:tr w14:paraId="13DA101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B0494D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7B55E48">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0AB648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BEAC1C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FCE00C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0A84EC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BF7F01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5EFDDA7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61A57C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0F7B904">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936AEC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A63B68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3.03</w:t>
            </w:r>
          </w:p>
        </w:tc>
        <w:tc>
          <w:tcPr>
            <w:tcW w:w="1125" w:type="dxa"/>
            <w:tcBorders>
              <w:top w:val="nil"/>
              <w:left w:val="nil"/>
              <w:bottom w:val="single" w:color="auto" w:sz="4" w:space="0"/>
              <w:right w:val="single" w:color="auto" w:sz="4" w:space="0"/>
            </w:tcBorders>
            <w:noWrap/>
            <w:vAlign w:val="center"/>
          </w:tcPr>
          <w:p w14:paraId="5D56F96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2.85</w:t>
            </w:r>
          </w:p>
        </w:tc>
        <w:tc>
          <w:tcPr>
            <w:tcW w:w="1275" w:type="dxa"/>
            <w:gridSpan w:val="2"/>
            <w:tcBorders>
              <w:top w:val="single" w:color="auto" w:sz="4" w:space="0"/>
              <w:left w:val="nil"/>
              <w:bottom w:val="single" w:color="auto" w:sz="4" w:space="0"/>
              <w:right w:val="single" w:color="000000" w:sz="4" w:space="0"/>
            </w:tcBorders>
            <w:noWrap/>
            <w:vAlign w:val="center"/>
          </w:tcPr>
          <w:p w14:paraId="4CED7CC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1.41</w:t>
            </w:r>
          </w:p>
        </w:tc>
        <w:tc>
          <w:tcPr>
            <w:tcW w:w="1134" w:type="dxa"/>
            <w:gridSpan w:val="2"/>
            <w:tcBorders>
              <w:top w:val="single" w:color="auto" w:sz="4" w:space="0"/>
              <w:left w:val="nil"/>
              <w:bottom w:val="single" w:color="auto" w:sz="4" w:space="0"/>
              <w:right w:val="single" w:color="auto" w:sz="4" w:space="0"/>
            </w:tcBorders>
            <w:vAlign w:val="center"/>
          </w:tcPr>
          <w:p w14:paraId="32A1BF5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980C8A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49.47%</w:t>
            </w:r>
          </w:p>
        </w:tc>
        <w:tc>
          <w:tcPr>
            <w:tcW w:w="1275" w:type="dxa"/>
            <w:tcBorders>
              <w:top w:val="nil"/>
              <w:left w:val="nil"/>
              <w:bottom w:val="single" w:color="auto" w:sz="4" w:space="0"/>
              <w:right w:val="single" w:color="auto" w:sz="4" w:space="0"/>
            </w:tcBorders>
            <w:vAlign w:val="center"/>
          </w:tcPr>
          <w:p w14:paraId="6853366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4.95分</w:t>
            </w:r>
          </w:p>
        </w:tc>
      </w:tr>
      <w:tr w14:paraId="4BD30D3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8134F39">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3BB63D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F9CA04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1.87</w:t>
            </w:r>
          </w:p>
        </w:tc>
        <w:tc>
          <w:tcPr>
            <w:tcW w:w="1125" w:type="dxa"/>
            <w:tcBorders>
              <w:top w:val="nil"/>
              <w:left w:val="nil"/>
              <w:bottom w:val="single" w:color="auto" w:sz="4" w:space="0"/>
              <w:right w:val="single" w:color="auto" w:sz="4" w:space="0"/>
            </w:tcBorders>
            <w:noWrap/>
            <w:vAlign w:val="center"/>
          </w:tcPr>
          <w:p w14:paraId="4B51C23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1.69</w:t>
            </w:r>
          </w:p>
        </w:tc>
        <w:tc>
          <w:tcPr>
            <w:tcW w:w="1275" w:type="dxa"/>
            <w:gridSpan w:val="2"/>
            <w:tcBorders>
              <w:top w:val="single" w:color="auto" w:sz="4" w:space="0"/>
              <w:left w:val="nil"/>
              <w:bottom w:val="single" w:color="auto" w:sz="4" w:space="0"/>
              <w:right w:val="single" w:color="000000" w:sz="4" w:space="0"/>
            </w:tcBorders>
            <w:noWrap/>
            <w:vAlign w:val="center"/>
          </w:tcPr>
          <w:p w14:paraId="2685E1F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0.25</w:t>
            </w:r>
          </w:p>
        </w:tc>
        <w:tc>
          <w:tcPr>
            <w:tcW w:w="1134" w:type="dxa"/>
            <w:gridSpan w:val="2"/>
            <w:tcBorders>
              <w:top w:val="single" w:color="auto" w:sz="4" w:space="0"/>
              <w:left w:val="nil"/>
              <w:bottom w:val="single" w:color="auto" w:sz="4" w:space="0"/>
              <w:right w:val="single" w:color="auto" w:sz="4" w:space="0"/>
            </w:tcBorders>
            <w:vAlign w:val="center"/>
          </w:tcPr>
          <w:p w14:paraId="21C937C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6EC4AF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2F1126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0E73CF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A27C187">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DFA48B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448264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w:t>
            </w:r>
          </w:p>
        </w:tc>
        <w:tc>
          <w:tcPr>
            <w:tcW w:w="1125" w:type="dxa"/>
            <w:tcBorders>
              <w:top w:val="nil"/>
              <w:left w:val="nil"/>
              <w:bottom w:val="single" w:color="auto" w:sz="4" w:space="0"/>
              <w:right w:val="single" w:color="auto" w:sz="4" w:space="0"/>
            </w:tcBorders>
            <w:noWrap/>
            <w:vAlign w:val="center"/>
          </w:tcPr>
          <w:p w14:paraId="7F8D000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w:t>
            </w:r>
          </w:p>
        </w:tc>
        <w:tc>
          <w:tcPr>
            <w:tcW w:w="1275" w:type="dxa"/>
            <w:gridSpan w:val="2"/>
            <w:tcBorders>
              <w:top w:val="single" w:color="auto" w:sz="4" w:space="0"/>
              <w:left w:val="nil"/>
              <w:bottom w:val="single" w:color="auto" w:sz="4" w:space="0"/>
              <w:right w:val="single" w:color="000000" w:sz="4" w:space="0"/>
            </w:tcBorders>
            <w:noWrap/>
            <w:vAlign w:val="center"/>
          </w:tcPr>
          <w:p w14:paraId="6A8B57B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w:t>
            </w:r>
          </w:p>
        </w:tc>
        <w:tc>
          <w:tcPr>
            <w:tcW w:w="1134" w:type="dxa"/>
            <w:gridSpan w:val="2"/>
            <w:tcBorders>
              <w:top w:val="single" w:color="auto" w:sz="4" w:space="0"/>
              <w:left w:val="nil"/>
              <w:bottom w:val="single" w:color="auto" w:sz="4" w:space="0"/>
              <w:right w:val="single" w:color="auto" w:sz="4" w:space="0"/>
            </w:tcBorders>
            <w:vAlign w:val="center"/>
          </w:tcPr>
          <w:p w14:paraId="6B8A54E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ADDD73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1805E9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8C180F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733CD9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7E1022A">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01F6A86">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8554F4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24DD5D0">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907A373">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该项目资金主要用于向我校24名贫困生发放生活补助。该项目可改善贫困生家庭经济条件，帮助贫困生顺利完成学业，努力做到家庭经济困难学生资助“全覆盖”，利于推动自治区统筹教育改革，优化教育布局，并形成“精准资助”工作长效机制。</w:t>
            </w:r>
          </w:p>
        </w:tc>
        <w:tc>
          <w:tcPr>
            <w:tcW w:w="4677" w:type="dxa"/>
            <w:gridSpan w:val="7"/>
            <w:tcBorders>
              <w:top w:val="single" w:color="auto" w:sz="4" w:space="0"/>
              <w:left w:val="nil"/>
              <w:bottom w:val="single" w:color="auto" w:sz="4" w:space="0"/>
              <w:right w:val="single" w:color="000000" w:sz="4" w:space="0"/>
            </w:tcBorders>
          </w:tcPr>
          <w:p w14:paraId="69385CD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按照相关要求向我校符合条件的困难学生发放补助，减轻了贫困生家庭经济负担。项目的实施做到了公平、公正、公开，极大解决了众多家庭经济困难学生的生活费，缓解了困难家庭经济压力，保障了家庭经济困难学生公平接受义务教育的权利，为推进社会公平，阻断贫困代际传递发挥了积极作用，促进了我校教育事业稳定、健康发展。</w:t>
            </w:r>
          </w:p>
        </w:tc>
      </w:tr>
      <w:tr w14:paraId="5090802A">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3B41BEDF">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7BFE812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987EE8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5ABDD6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4D2821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75747C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6D246F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C7A863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FC96CA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097F172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1FA8D1E">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5CF4355">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69DC421">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842776F">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75154A91">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16DF5F9F">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F446F48">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BDFF133">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EE060AC">
            <w:pPr>
              <w:widowControl/>
              <w:jc w:val="left"/>
              <w:rPr>
                <w:rFonts w:hint="eastAsia" w:ascii="宋体" w:hAnsi="宋体" w:eastAsia="宋体" w:cs="宋体"/>
                <w:color w:val="000000"/>
                <w:sz w:val="18"/>
                <w:szCs w:val="18"/>
              </w:rPr>
            </w:pPr>
          </w:p>
        </w:tc>
      </w:tr>
      <w:tr w14:paraId="2C8EE2E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4F0670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39CAF4C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6963FDB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9108CE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发放贫困补助学生人数</w:t>
            </w:r>
          </w:p>
        </w:tc>
        <w:tc>
          <w:tcPr>
            <w:tcW w:w="1125" w:type="dxa"/>
            <w:tcBorders>
              <w:top w:val="nil"/>
              <w:left w:val="nil"/>
              <w:bottom w:val="single" w:color="auto" w:sz="4" w:space="0"/>
              <w:right w:val="single" w:color="auto" w:sz="4" w:space="0"/>
            </w:tcBorders>
            <w:vAlign w:val="center"/>
          </w:tcPr>
          <w:p w14:paraId="7E7D087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&gt;=24人</w:t>
            </w:r>
          </w:p>
        </w:tc>
        <w:tc>
          <w:tcPr>
            <w:tcW w:w="1229" w:type="dxa"/>
            <w:tcBorders>
              <w:top w:val="nil"/>
              <w:left w:val="nil"/>
              <w:bottom w:val="single" w:color="auto" w:sz="4" w:space="0"/>
              <w:right w:val="single" w:color="auto" w:sz="4" w:space="0"/>
            </w:tcBorders>
            <w:vAlign w:val="center"/>
          </w:tcPr>
          <w:p w14:paraId="6A9002B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23人</w:t>
            </w:r>
          </w:p>
        </w:tc>
        <w:tc>
          <w:tcPr>
            <w:tcW w:w="755" w:type="dxa"/>
            <w:gridSpan w:val="2"/>
            <w:tcBorders>
              <w:top w:val="single" w:color="auto" w:sz="4" w:space="0"/>
              <w:left w:val="nil"/>
              <w:bottom w:val="single" w:color="auto" w:sz="4" w:space="0"/>
              <w:right w:val="single" w:color="000000" w:sz="4" w:space="0"/>
            </w:tcBorders>
            <w:vAlign w:val="center"/>
          </w:tcPr>
          <w:p w14:paraId="03978E0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20DC46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w:t>
            </w:r>
          </w:p>
        </w:tc>
        <w:tc>
          <w:tcPr>
            <w:tcW w:w="1984" w:type="dxa"/>
            <w:gridSpan w:val="2"/>
            <w:tcBorders>
              <w:top w:val="single" w:color="auto" w:sz="4" w:space="0"/>
              <w:left w:val="nil"/>
              <w:bottom w:val="single" w:color="auto" w:sz="4" w:space="0"/>
              <w:right w:val="single" w:color="auto" w:sz="4" w:space="0"/>
            </w:tcBorders>
            <w:vAlign w:val="center"/>
          </w:tcPr>
          <w:p w14:paraId="60D9B65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根据2023年贫困生人数预估2024年贫困生人数，但2024年春季贫困生人数减少，秋季增多。</w:t>
            </w:r>
          </w:p>
        </w:tc>
      </w:tr>
      <w:tr w14:paraId="3A3326D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A68B4A">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105F11E">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7B6A613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5FCB52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贫困生补助覆盖率</w:t>
            </w:r>
          </w:p>
        </w:tc>
        <w:tc>
          <w:tcPr>
            <w:tcW w:w="1125" w:type="dxa"/>
            <w:tcBorders>
              <w:top w:val="nil"/>
              <w:left w:val="nil"/>
              <w:bottom w:val="single" w:color="auto" w:sz="4" w:space="0"/>
              <w:right w:val="single" w:color="auto" w:sz="4" w:space="0"/>
            </w:tcBorders>
            <w:vAlign w:val="center"/>
          </w:tcPr>
          <w:p w14:paraId="7F3DD5B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E1A0CC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DE6365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96B289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EF2FB27">
            <w:pPr>
              <w:widowControl/>
              <w:jc w:val="center"/>
              <w:rPr>
                <w:rFonts w:hint="eastAsia" w:ascii="宋体" w:hAnsi="宋体" w:eastAsia="宋体" w:cs="宋体"/>
                <w:color w:val="000000"/>
                <w:sz w:val="18"/>
                <w:szCs w:val="18"/>
              </w:rPr>
            </w:pPr>
          </w:p>
        </w:tc>
      </w:tr>
      <w:tr w14:paraId="68A1A3B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26C1D0">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655A76E">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1A56E80">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20153E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贫困生补助发放准确率</w:t>
            </w:r>
          </w:p>
        </w:tc>
        <w:tc>
          <w:tcPr>
            <w:tcW w:w="1125" w:type="dxa"/>
            <w:tcBorders>
              <w:top w:val="nil"/>
              <w:left w:val="nil"/>
              <w:bottom w:val="single" w:color="auto" w:sz="4" w:space="0"/>
              <w:right w:val="single" w:color="auto" w:sz="4" w:space="0"/>
            </w:tcBorders>
            <w:vAlign w:val="center"/>
          </w:tcPr>
          <w:p w14:paraId="1E91DE4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BB0EE4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AB0716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A185BF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4B7D4DC">
            <w:pPr>
              <w:widowControl/>
              <w:jc w:val="center"/>
              <w:rPr>
                <w:rFonts w:hint="eastAsia" w:ascii="宋体" w:hAnsi="宋体" w:eastAsia="宋体" w:cs="宋体"/>
                <w:color w:val="000000"/>
                <w:sz w:val="18"/>
                <w:szCs w:val="18"/>
              </w:rPr>
            </w:pPr>
          </w:p>
        </w:tc>
      </w:tr>
      <w:tr w14:paraId="30F31FC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D6341E">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545FFF2">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3CA54C5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9703F13">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享受补助时长</w:t>
            </w:r>
          </w:p>
        </w:tc>
        <w:tc>
          <w:tcPr>
            <w:tcW w:w="1125" w:type="dxa"/>
            <w:tcBorders>
              <w:top w:val="nil"/>
              <w:left w:val="nil"/>
              <w:bottom w:val="single" w:color="auto" w:sz="4" w:space="0"/>
              <w:right w:val="single" w:color="auto" w:sz="4" w:space="0"/>
            </w:tcBorders>
            <w:vAlign w:val="center"/>
          </w:tcPr>
          <w:p w14:paraId="75E79AA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1229" w:type="dxa"/>
            <w:tcBorders>
              <w:top w:val="nil"/>
              <w:left w:val="nil"/>
              <w:bottom w:val="single" w:color="auto" w:sz="4" w:space="0"/>
              <w:right w:val="single" w:color="auto" w:sz="4" w:space="0"/>
            </w:tcBorders>
            <w:vAlign w:val="center"/>
          </w:tcPr>
          <w:p w14:paraId="7BB8A4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755" w:type="dxa"/>
            <w:gridSpan w:val="2"/>
            <w:tcBorders>
              <w:top w:val="single" w:color="auto" w:sz="4" w:space="0"/>
              <w:left w:val="nil"/>
              <w:bottom w:val="single" w:color="auto" w:sz="4" w:space="0"/>
              <w:right w:val="single" w:color="000000" w:sz="4" w:space="0"/>
            </w:tcBorders>
            <w:vAlign w:val="center"/>
          </w:tcPr>
          <w:p w14:paraId="6E74F54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2D3726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2F66538">
            <w:pPr>
              <w:widowControl/>
              <w:jc w:val="center"/>
              <w:rPr>
                <w:rFonts w:hint="eastAsia" w:ascii="宋体" w:hAnsi="宋体" w:eastAsia="宋体" w:cs="宋体"/>
                <w:color w:val="000000"/>
                <w:sz w:val="18"/>
                <w:szCs w:val="18"/>
              </w:rPr>
            </w:pPr>
          </w:p>
        </w:tc>
      </w:tr>
      <w:tr w14:paraId="0CE09F1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69CE14">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556A36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7B6F7C9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938A371">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享受补助标准</w:t>
            </w:r>
          </w:p>
        </w:tc>
        <w:tc>
          <w:tcPr>
            <w:tcW w:w="1125" w:type="dxa"/>
            <w:tcBorders>
              <w:top w:val="nil"/>
              <w:left w:val="nil"/>
              <w:bottom w:val="single" w:color="auto" w:sz="4" w:space="0"/>
              <w:right w:val="single" w:color="auto" w:sz="4" w:space="0"/>
            </w:tcBorders>
            <w:vAlign w:val="center"/>
          </w:tcPr>
          <w:p w14:paraId="18C35AC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=312.50元/人/学期</w:t>
            </w:r>
          </w:p>
        </w:tc>
        <w:tc>
          <w:tcPr>
            <w:tcW w:w="1229" w:type="dxa"/>
            <w:tcBorders>
              <w:top w:val="nil"/>
              <w:left w:val="nil"/>
              <w:bottom w:val="single" w:color="auto" w:sz="4" w:space="0"/>
              <w:right w:val="single" w:color="auto" w:sz="4" w:space="0"/>
            </w:tcBorders>
            <w:vAlign w:val="center"/>
          </w:tcPr>
          <w:p w14:paraId="5C52535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312.5元/人/学期</w:t>
            </w:r>
          </w:p>
        </w:tc>
        <w:tc>
          <w:tcPr>
            <w:tcW w:w="755" w:type="dxa"/>
            <w:gridSpan w:val="2"/>
            <w:tcBorders>
              <w:top w:val="single" w:color="auto" w:sz="4" w:space="0"/>
              <w:left w:val="nil"/>
              <w:bottom w:val="single" w:color="auto" w:sz="4" w:space="0"/>
              <w:right w:val="single" w:color="000000" w:sz="4" w:space="0"/>
            </w:tcBorders>
            <w:vAlign w:val="center"/>
          </w:tcPr>
          <w:p w14:paraId="15DFDDF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3DDA7F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E4D9BE5">
            <w:pPr>
              <w:widowControl/>
              <w:jc w:val="center"/>
              <w:rPr>
                <w:rFonts w:hint="eastAsia" w:ascii="宋体" w:hAnsi="宋体" w:eastAsia="宋体" w:cs="宋体"/>
                <w:color w:val="000000"/>
                <w:sz w:val="18"/>
                <w:szCs w:val="18"/>
              </w:rPr>
            </w:pPr>
          </w:p>
        </w:tc>
      </w:tr>
      <w:tr w14:paraId="0B4465C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840161">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0C72CC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30E7E97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87639A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解决贫困生生活困难</w:t>
            </w:r>
          </w:p>
        </w:tc>
        <w:tc>
          <w:tcPr>
            <w:tcW w:w="1125" w:type="dxa"/>
            <w:tcBorders>
              <w:top w:val="nil"/>
              <w:left w:val="nil"/>
              <w:bottom w:val="single" w:color="auto" w:sz="4" w:space="0"/>
              <w:right w:val="single" w:color="auto" w:sz="4" w:space="0"/>
            </w:tcBorders>
            <w:vAlign w:val="center"/>
          </w:tcPr>
          <w:p w14:paraId="4BE168B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1229" w:type="dxa"/>
            <w:tcBorders>
              <w:top w:val="nil"/>
              <w:left w:val="nil"/>
              <w:bottom w:val="single" w:color="auto" w:sz="4" w:space="0"/>
              <w:right w:val="single" w:color="auto" w:sz="4" w:space="0"/>
            </w:tcBorders>
            <w:vAlign w:val="center"/>
          </w:tcPr>
          <w:p w14:paraId="4660FC0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完成达到预期</w:t>
            </w:r>
          </w:p>
        </w:tc>
        <w:tc>
          <w:tcPr>
            <w:tcW w:w="755" w:type="dxa"/>
            <w:gridSpan w:val="2"/>
            <w:tcBorders>
              <w:top w:val="single" w:color="auto" w:sz="4" w:space="0"/>
              <w:left w:val="nil"/>
              <w:bottom w:val="single" w:color="auto" w:sz="4" w:space="0"/>
              <w:right w:val="single" w:color="000000" w:sz="4" w:space="0"/>
            </w:tcBorders>
            <w:vAlign w:val="center"/>
          </w:tcPr>
          <w:p w14:paraId="2480F20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07B8DC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1DD34EF">
            <w:pPr>
              <w:widowControl/>
              <w:jc w:val="center"/>
              <w:rPr>
                <w:rFonts w:hint="eastAsia" w:ascii="宋体" w:hAnsi="宋体" w:eastAsia="宋体" w:cs="宋体"/>
                <w:color w:val="000000"/>
                <w:sz w:val="18"/>
                <w:szCs w:val="18"/>
              </w:rPr>
            </w:pPr>
          </w:p>
        </w:tc>
      </w:tr>
      <w:tr w14:paraId="3278925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024F8B">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707651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27D96F9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24B344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贫困生家长满意度</w:t>
            </w:r>
          </w:p>
        </w:tc>
        <w:tc>
          <w:tcPr>
            <w:tcW w:w="1125" w:type="dxa"/>
            <w:tcBorders>
              <w:top w:val="nil"/>
              <w:left w:val="nil"/>
              <w:bottom w:val="single" w:color="auto" w:sz="4" w:space="0"/>
              <w:right w:val="single" w:color="auto" w:sz="4" w:space="0"/>
            </w:tcBorders>
            <w:vAlign w:val="center"/>
          </w:tcPr>
          <w:p w14:paraId="508CD36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6C687E4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E902C1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84767C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978C52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目标值为95%，实际调查中家长均表示满意，故满意度为100%</w:t>
            </w:r>
          </w:p>
        </w:tc>
      </w:tr>
      <w:tr w14:paraId="5D6FC2F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271732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AE6F20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7712F8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94.55分</w:t>
            </w:r>
          </w:p>
        </w:tc>
        <w:tc>
          <w:tcPr>
            <w:tcW w:w="1984" w:type="dxa"/>
            <w:gridSpan w:val="2"/>
            <w:tcBorders>
              <w:top w:val="single" w:color="auto" w:sz="4" w:space="0"/>
              <w:left w:val="nil"/>
              <w:bottom w:val="single" w:color="auto" w:sz="4" w:space="0"/>
              <w:right w:val="single" w:color="auto" w:sz="4" w:space="0"/>
            </w:tcBorders>
            <w:vAlign w:val="center"/>
          </w:tcPr>
          <w:p w14:paraId="32EA1845">
            <w:pPr>
              <w:widowControl/>
              <w:jc w:val="center"/>
              <w:rPr>
                <w:rFonts w:hint="eastAsia" w:ascii="宋体" w:hAnsi="宋体" w:eastAsia="宋体" w:cs="宋体"/>
                <w:b/>
                <w:bCs/>
                <w:color w:val="000000"/>
                <w:sz w:val="18"/>
                <w:szCs w:val="18"/>
              </w:rPr>
            </w:pPr>
          </w:p>
        </w:tc>
      </w:tr>
    </w:tbl>
    <w:p w14:paraId="0ED0E9B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93DCAF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C5B0D9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BADB6ED">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69A7A3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乌财科教【2023】170号-关于提前下达2024年自治区教育项目经费（自聘教师工资补助）</w:t>
            </w:r>
          </w:p>
        </w:tc>
      </w:tr>
      <w:tr w14:paraId="0688210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5B5A16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75ACA1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3730AC56">
            <w:pPr>
              <w:widowControl/>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ABA35B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乌鲁木齐市第117小学</w:t>
            </w:r>
          </w:p>
        </w:tc>
      </w:tr>
      <w:tr w14:paraId="1A30A61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8CFFF1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41B4E7E">
            <w:pPr>
              <w:widowControl/>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8EC3C3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0EBC7060">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99F93D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3ABC03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B6C6CA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1BC06022">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5E50BF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5F06A66">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0819B55">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5BE6CC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1.78</w:t>
            </w:r>
          </w:p>
        </w:tc>
        <w:tc>
          <w:tcPr>
            <w:tcW w:w="1125" w:type="dxa"/>
            <w:tcBorders>
              <w:top w:val="nil"/>
              <w:left w:val="nil"/>
              <w:bottom w:val="single" w:color="auto" w:sz="4" w:space="0"/>
              <w:right w:val="single" w:color="auto" w:sz="4" w:space="0"/>
            </w:tcBorders>
            <w:noWrap/>
            <w:vAlign w:val="center"/>
          </w:tcPr>
          <w:p w14:paraId="3DB55A7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2.37</w:t>
            </w:r>
          </w:p>
        </w:tc>
        <w:tc>
          <w:tcPr>
            <w:tcW w:w="1275" w:type="dxa"/>
            <w:gridSpan w:val="2"/>
            <w:tcBorders>
              <w:top w:val="single" w:color="auto" w:sz="4" w:space="0"/>
              <w:left w:val="nil"/>
              <w:bottom w:val="single" w:color="auto" w:sz="4" w:space="0"/>
              <w:right w:val="single" w:color="000000" w:sz="4" w:space="0"/>
            </w:tcBorders>
            <w:noWrap/>
            <w:vAlign w:val="center"/>
          </w:tcPr>
          <w:p w14:paraId="581245B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2.37</w:t>
            </w:r>
          </w:p>
        </w:tc>
        <w:tc>
          <w:tcPr>
            <w:tcW w:w="1134" w:type="dxa"/>
            <w:gridSpan w:val="2"/>
            <w:tcBorders>
              <w:top w:val="single" w:color="auto" w:sz="4" w:space="0"/>
              <w:left w:val="nil"/>
              <w:bottom w:val="single" w:color="auto" w:sz="4" w:space="0"/>
              <w:right w:val="single" w:color="auto" w:sz="4" w:space="0"/>
            </w:tcBorders>
            <w:vAlign w:val="center"/>
          </w:tcPr>
          <w:p w14:paraId="68C55A0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5EE7B9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61A4471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1BA8F31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BB2F800">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DB0B15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AC8001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0.74</w:t>
            </w:r>
          </w:p>
        </w:tc>
        <w:tc>
          <w:tcPr>
            <w:tcW w:w="1125" w:type="dxa"/>
            <w:tcBorders>
              <w:top w:val="nil"/>
              <w:left w:val="nil"/>
              <w:bottom w:val="single" w:color="auto" w:sz="4" w:space="0"/>
              <w:right w:val="single" w:color="auto" w:sz="4" w:space="0"/>
            </w:tcBorders>
            <w:noWrap/>
            <w:vAlign w:val="center"/>
          </w:tcPr>
          <w:p w14:paraId="45594D2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1.33</w:t>
            </w:r>
          </w:p>
        </w:tc>
        <w:tc>
          <w:tcPr>
            <w:tcW w:w="1275" w:type="dxa"/>
            <w:gridSpan w:val="2"/>
            <w:tcBorders>
              <w:top w:val="single" w:color="auto" w:sz="4" w:space="0"/>
              <w:left w:val="nil"/>
              <w:bottom w:val="single" w:color="auto" w:sz="4" w:space="0"/>
              <w:right w:val="single" w:color="000000" w:sz="4" w:space="0"/>
            </w:tcBorders>
            <w:noWrap/>
            <w:vAlign w:val="center"/>
          </w:tcPr>
          <w:p w14:paraId="04ECF04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1.33</w:t>
            </w:r>
          </w:p>
        </w:tc>
        <w:tc>
          <w:tcPr>
            <w:tcW w:w="1134" w:type="dxa"/>
            <w:gridSpan w:val="2"/>
            <w:tcBorders>
              <w:top w:val="single" w:color="auto" w:sz="4" w:space="0"/>
              <w:left w:val="nil"/>
              <w:bottom w:val="single" w:color="auto" w:sz="4" w:space="0"/>
              <w:right w:val="single" w:color="auto" w:sz="4" w:space="0"/>
            </w:tcBorders>
            <w:vAlign w:val="center"/>
          </w:tcPr>
          <w:p w14:paraId="0B9C25F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5DC848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E12995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7A2CE5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7B60109">
            <w:pPr>
              <w:widowControl/>
              <w:jc w:val="left"/>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D041CE7">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CE6310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1.04</w:t>
            </w:r>
          </w:p>
        </w:tc>
        <w:tc>
          <w:tcPr>
            <w:tcW w:w="1125" w:type="dxa"/>
            <w:tcBorders>
              <w:top w:val="nil"/>
              <w:left w:val="nil"/>
              <w:bottom w:val="single" w:color="auto" w:sz="4" w:space="0"/>
              <w:right w:val="single" w:color="auto" w:sz="4" w:space="0"/>
            </w:tcBorders>
            <w:noWrap/>
            <w:vAlign w:val="center"/>
          </w:tcPr>
          <w:p w14:paraId="38D684F6">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1.04</w:t>
            </w:r>
          </w:p>
        </w:tc>
        <w:tc>
          <w:tcPr>
            <w:tcW w:w="1275" w:type="dxa"/>
            <w:gridSpan w:val="2"/>
            <w:tcBorders>
              <w:top w:val="single" w:color="auto" w:sz="4" w:space="0"/>
              <w:left w:val="nil"/>
              <w:bottom w:val="single" w:color="auto" w:sz="4" w:space="0"/>
              <w:right w:val="single" w:color="000000" w:sz="4" w:space="0"/>
            </w:tcBorders>
            <w:noWrap/>
            <w:vAlign w:val="center"/>
          </w:tcPr>
          <w:p w14:paraId="6FEDC4B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1.04</w:t>
            </w:r>
          </w:p>
        </w:tc>
        <w:tc>
          <w:tcPr>
            <w:tcW w:w="1134" w:type="dxa"/>
            <w:gridSpan w:val="2"/>
            <w:tcBorders>
              <w:top w:val="single" w:color="auto" w:sz="4" w:space="0"/>
              <w:left w:val="nil"/>
              <w:bottom w:val="single" w:color="auto" w:sz="4" w:space="0"/>
              <w:right w:val="single" w:color="auto" w:sz="4" w:space="0"/>
            </w:tcBorders>
            <w:vAlign w:val="center"/>
          </w:tcPr>
          <w:p w14:paraId="0CCC9589">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96F97E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5971F8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AF95B6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818488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C77FBF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F62E8D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848125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DEC02F6">
            <w:pPr>
              <w:widowControl/>
              <w:jc w:val="left"/>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B52673B">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聘用1名代课教师，弥补现有师资力量的不足，保障学校各项正常教学工作的完成，提高教师工作效率。</w:t>
            </w:r>
          </w:p>
        </w:tc>
        <w:tc>
          <w:tcPr>
            <w:tcW w:w="4677" w:type="dxa"/>
            <w:gridSpan w:val="7"/>
            <w:tcBorders>
              <w:top w:val="single" w:color="auto" w:sz="4" w:space="0"/>
              <w:left w:val="nil"/>
              <w:bottom w:val="single" w:color="auto" w:sz="4" w:space="0"/>
              <w:right w:val="single" w:color="000000" w:sz="4" w:space="0"/>
            </w:tcBorders>
          </w:tcPr>
          <w:p w14:paraId="38535B1A">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完成了同工同酬教师人数发放1人，保障了资金发放的准确性，弥补了现有师资力量的不足，保障了学校各项正常教学工作的完成；调动了代课教师的工作热情和积极性，提高了教学质量和教师的工作效率，提高了受益对象的满意度。</w:t>
            </w:r>
          </w:p>
        </w:tc>
      </w:tr>
      <w:tr w14:paraId="5A04C462">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50927181">
            <w:pPr>
              <w:widowControl/>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0F5B58CC">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DB82DE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F9CC1FF">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CEA5C2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CC9980B">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EDAC068">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CAFAAC4">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F953FA1">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偏差原因分析及改进措施</w:t>
            </w:r>
          </w:p>
        </w:tc>
      </w:tr>
      <w:tr w14:paraId="589BABAD">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3FD8EC6">
            <w:pPr>
              <w:widowControl/>
              <w:jc w:val="left"/>
              <w:rPr>
                <w:rFonts w:hint="eastAsia" w:ascii="宋体" w:hAnsi="宋体" w:eastAsia="宋体" w:cs="宋体"/>
                <w:color w:val="00000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61DCF4C2">
            <w:pPr>
              <w:widowControl/>
              <w:jc w:val="left"/>
              <w:rPr>
                <w:rFonts w:hint="eastAsia" w:ascii="宋体" w:hAnsi="宋体" w:eastAsia="宋体" w:cs="宋体"/>
                <w:color w:val="00000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66F84FF">
            <w:pPr>
              <w:widowControl/>
              <w:jc w:val="left"/>
              <w:rPr>
                <w:rFonts w:hint="eastAsia" w:ascii="宋体" w:hAnsi="宋体" w:eastAsia="宋体" w:cs="宋体"/>
                <w:color w:val="00000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525F1EC">
            <w:pPr>
              <w:widowControl/>
              <w:jc w:val="left"/>
              <w:rPr>
                <w:rFonts w:hint="eastAsia" w:ascii="宋体" w:hAnsi="宋体" w:eastAsia="宋体" w:cs="宋体"/>
                <w:color w:val="000000"/>
                <w:sz w:val="18"/>
                <w:szCs w:val="18"/>
              </w:rPr>
            </w:pPr>
          </w:p>
        </w:tc>
        <w:tc>
          <w:tcPr>
            <w:tcW w:w="1125" w:type="dxa"/>
            <w:vMerge w:val="continue"/>
            <w:tcBorders>
              <w:top w:val="nil"/>
              <w:left w:val="single" w:color="auto" w:sz="4" w:space="0"/>
              <w:bottom w:val="single" w:color="auto" w:sz="4" w:space="0"/>
              <w:right w:val="single" w:color="auto" w:sz="4" w:space="0"/>
            </w:tcBorders>
            <w:vAlign w:val="center"/>
          </w:tcPr>
          <w:p w14:paraId="3C09F795">
            <w:pPr>
              <w:widowControl/>
              <w:jc w:val="left"/>
              <w:rPr>
                <w:rFonts w:hint="eastAsia" w:ascii="宋体" w:hAnsi="宋体" w:eastAsia="宋体" w:cs="宋体"/>
                <w:color w:val="000000"/>
                <w:sz w:val="18"/>
                <w:szCs w:val="18"/>
              </w:rPr>
            </w:pPr>
          </w:p>
        </w:tc>
        <w:tc>
          <w:tcPr>
            <w:tcW w:w="1229" w:type="dxa"/>
            <w:vMerge w:val="continue"/>
            <w:tcBorders>
              <w:top w:val="nil"/>
              <w:left w:val="single" w:color="auto" w:sz="4" w:space="0"/>
              <w:bottom w:val="single" w:color="auto" w:sz="4" w:space="0"/>
              <w:right w:val="single" w:color="auto" w:sz="4" w:space="0"/>
            </w:tcBorders>
            <w:vAlign w:val="center"/>
          </w:tcPr>
          <w:p w14:paraId="6389CE6E">
            <w:pPr>
              <w:widowControl/>
              <w:jc w:val="left"/>
              <w:rPr>
                <w:rFonts w:hint="eastAsia" w:ascii="宋体" w:hAnsi="宋体" w:eastAsia="宋体" w:cs="宋体"/>
                <w:color w:val="000000"/>
                <w:sz w:val="18"/>
                <w:szCs w:val="18"/>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7B7CC5A">
            <w:pPr>
              <w:widowControl/>
              <w:jc w:val="left"/>
              <w:rPr>
                <w:rFonts w:hint="eastAsia" w:ascii="宋体" w:hAnsi="宋体" w:eastAsia="宋体" w:cs="宋体"/>
                <w:color w:val="000000"/>
                <w:sz w:val="18"/>
                <w:szCs w:val="18"/>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3DE897E">
            <w:pPr>
              <w:widowControl/>
              <w:jc w:val="left"/>
              <w:rPr>
                <w:rFonts w:hint="eastAsia" w:ascii="宋体" w:hAnsi="宋体" w:eastAsia="宋体" w:cs="宋体"/>
                <w:color w:val="000000"/>
                <w:sz w:val="18"/>
                <w:szCs w:val="18"/>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D8CDE6F">
            <w:pPr>
              <w:widowControl/>
              <w:jc w:val="left"/>
              <w:rPr>
                <w:rFonts w:hint="eastAsia" w:ascii="宋体" w:hAnsi="宋体" w:eastAsia="宋体" w:cs="宋体"/>
                <w:color w:val="000000"/>
                <w:sz w:val="18"/>
                <w:szCs w:val="18"/>
              </w:rPr>
            </w:pPr>
          </w:p>
        </w:tc>
      </w:tr>
      <w:tr w14:paraId="1C7A41E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DC74129">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年度绩效指标完成情况</w:t>
            </w:r>
          </w:p>
        </w:tc>
        <w:tc>
          <w:tcPr>
            <w:tcW w:w="707" w:type="dxa"/>
            <w:vMerge w:val="restart"/>
            <w:tcBorders>
              <w:top w:val="nil"/>
              <w:left w:val="nil"/>
              <w:right w:val="single" w:color="auto" w:sz="4" w:space="0"/>
            </w:tcBorders>
            <w:vAlign w:val="center"/>
          </w:tcPr>
          <w:p w14:paraId="7BA7B7C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0FD0E7B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30B8D64">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自聘教师人数</w:t>
            </w:r>
          </w:p>
        </w:tc>
        <w:tc>
          <w:tcPr>
            <w:tcW w:w="1125" w:type="dxa"/>
            <w:tcBorders>
              <w:top w:val="nil"/>
              <w:left w:val="nil"/>
              <w:bottom w:val="single" w:color="auto" w:sz="4" w:space="0"/>
              <w:right w:val="single" w:color="auto" w:sz="4" w:space="0"/>
            </w:tcBorders>
            <w:vAlign w:val="center"/>
          </w:tcPr>
          <w:p w14:paraId="07EC2C7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1229" w:type="dxa"/>
            <w:tcBorders>
              <w:top w:val="nil"/>
              <w:left w:val="nil"/>
              <w:bottom w:val="single" w:color="auto" w:sz="4" w:space="0"/>
              <w:right w:val="single" w:color="auto" w:sz="4" w:space="0"/>
            </w:tcBorders>
            <w:vAlign w:val="center"/>
          </w:tcPr>
          <w:p w14:paraId="2151849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755" w:type="dxa"/>
            <w:gridSpan w:val="2"/>
            <w:tcBorders>
              <w:top w:val="single" w:color="auto" w:sz="4" w:space="0"/>
              <w:left w:val="nil"/>
              <w:bottom w:val="single" w:color="auto" w:sz="4" w:space="0"/>
              <w:right w:val="single" w:color="000000" w:sz="4" w:space="0"/>
            </w:tcBorders>
            <w:vAlign w:val="center"/>
          </w:tcPr>
          <w:p w14:paraId="154A30E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DC02B3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66A832C">
            <w:pPr>
              <w:widowControl/>
              <w:jc w:val="center"/>
              <w:rPr>
                <w:rFonts w:hint="eastAsia" w:ascii="宋体" w:hAnsi="宋体" w:eastAsia="宋体" w:cs="宋体"/>
                <w:color w:val="000000"/>
                <w:sz w:val="18"/>
                <w:szCs w:val="18"/>
              </w:rPr>
            </w:pPr>
          </w:p>
        </w:tc>
      </w:tr>
      <w:tr w14:paraId="571F3D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314CA9">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CF33886">
            <w:pPr>
              <w:widowControl/>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033800F7">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45F7B88">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14:paraId="368767A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5474F9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066B0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6B9321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63C2B33">
            <w:pPr>
              <w:widowControl/>
              <w:jc w:val="center"/>
              <w:rPr>
                <w:rFonts w:hint="eastAsia" w:ascii="宋体" w:hAnsi="宋体" w:eastAsia="宋体" w:cs="宋体"/>
                <w:color w:val="000000"/>
                <w:sz w:val="18"/>
                <w:szCs w:val="18"/>
              </w:rPr>
            </w:pPr>
          </w:p>
        </w:tc>
      </w:tr>
      <w:tr w14:paraId="5DFB11D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685482">
            <w:pPr>
              <w:widowControl/>
              <w:jc w:val="left"/>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D9ACFC7">
            <w:pPr>
              <w:widowControl/>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45150FD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3BA9962">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440E277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3921A46D">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2263A27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53B1D3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E90129C">
            <w:pPr>
              <w:widowControl/>
              <w:jc w:val="center"/>
              <w:rPr>
                <w:rFonts w:hint="eastAsia" w:ascii="宋体" w:hAnsi="宋体" w:eastAsia="宋体" w:cs="宋体"/>
                <w:color w:val="000000"/>
                <w:sz w:val="18"/>
                <w:szCs w:val="18"/>
              </w:rPr>
            </w:pPr>
          </w:p>
        </w:tc>
      </w:tr>
      <w:tr w14:paraId="2B7BE1E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A6EB84">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C409247">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009487F">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B099AFE">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资金发放及时率</w:t>
            </w:r>
          </w:p>
        </w:tc>
        <w:tc>
          <w:tcPr>
            <w:tcW w:w="1125" w:type="dxa"/>
            <w:tcBorders>
              <w:top w:val="nil"/>
              <w:left w:val="nil"/>
              <w:bottom w:val="single" w:color="auto" w:sz="4" w:space="0"/>
              <w:right w:val="single" w:color="auto" w:sz="4" w:space="0"/>
            </w:tcBorders>
            <w:vAlign w:val="center"/>
          </w:tcPr>
          <w:p w14:paraId="0E744A6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30E04E8">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BFC2D0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64B067E">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4654F8C">
            <w:pPr>
              <w:widowControl/>
              <w:jc w:val="center"/>
              <w:rPr>
                <w:rFonts w:hint="eastAsia" w:ascii="宋体" w:hAnsi="宋体" w:eastAsia="宋体" w:cs="宋体"/>
                <w:color w:val="000000"/>
                <w:sz w:val="18"/>
                <w:szCs w:val="18"/>
              </w:rPr>
            </w:pPr>
          </w:p>
        </w:tc>
      </w:tr>
      <w:tr w14:paraId="45A9F3E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E5FCB5">
            <w:pPr>
              <w:widowControl/>
              <w:jc w:val="left"/>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64E31F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3C270AB0">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12566F59">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同工同酬教师工资标准</w:t>
            </w:r>
          </w:p>
        </w:tc>
        <w:tc>
          <w:tcPr>
            <w:tcW w:w="1125" w:type="dxa"/>
            <w:tcBorders>
              <w:top w:val="nil"/>
              <w:left w:val="nil"/>
              <w:bottom w:val="single" w:color="auto" w:sz="4" w:space="0"/>
              <w:right w:val="single" w:color="auto" w:sz="4" w:space="0"/>
            </w:tcBorders>
            <w:vAlign w:val="center"/>
          </w:tcPr>
          <w:p w14:paraId="2485929C">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=5904元/月</w:t>
            </w:r>
          </w:p>
        </w:tc>
        <w:tc>
          <w:tcPr>
            <w:tcW w:w="1229" w:type="dxa"/>
            <w:tcBorders>
              <w:top w:val="nil"/>
              <w:left w:val="nil"/>
              <w:bottom w:val="single" w:color="auto" w:sz="4" w:space="0"/>
              <w:right w:val="single" w:color="auto" w:sz="4" w:space="0"/>
            </w:tcBorders>
            <w:vAlign w:val="center"/>
          </w:tcPr>
          <w:p w14:paraId="44AC1DB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7092元/月</w:t>
            </w:r>
          </w:p>
        </w:tc>
        <w:tc>
          <w:tcPr>
            <w:tcW w:w="755" w:type="dxa"/>
            <w:gridSpan w:val="2"/>
            <w:tcBorders>
              <w:top w:val="single" w:color="auto" w:sz="4" w:space="0"/>
              <w:left w:val="nil"/>
              <w:bottom w:val="single" w:color="auto" w:sz="4" w:space="0"/>
              <w:right w:val="single" w:color="000000" w:sz="4" w:space="0"/>
            </w:tcBorders>
            <w:vAlign w:val="center"/>
          </w:tcPr>
          <w:p w14:paraId="59728782">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CB3461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534BA49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绩效目标值为5904元/月，因绩效目标填报时将金额填成实发工资，导致有所偏差</w:t>
            </w:r>
          </w:p>
        </w:tc>
      </w:tr>
      <w:tr w14:paraId="0521B97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4B207DB">
            <w:pPr>
              <w:widowControl/>
              <w:jc w:val="left"/>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27A8105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7EF8794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D340DBC">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保障教学工作正常开展</w:t>
            </w:r>
          </w:p>
        </w:tc>
        <w:tc>
          <w:tcPr>
            <w:tcW w:w="1125" w:type="dxa"/>
            <w:tcBorders>
              <w:top w:val="nil"/>
              <w:left w:val="nil"/>
              <w:bottom w:val="single" w:color="auto" w:sz="4" w:space="0"/>
              <w:right w:val="single" w:color="auto" w:sz="4" w:space="0"/>
            </w:tcBorders>
            <w:vAlign w:val="center"/>
          </w:tcPr>
          <w:p w14:paraId="7EA78A1A">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1183C9D5">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004960B">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00DE9D7F">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FE7D024">
            <w:pPr>
              <w:widowControl/>
              <w:jc w:val="center"/>
              <w:rPr>
                <w:rFonts w:hint="eastAsia" w:ascii="宋体" w:hAnsi="宋体" w:eastAsia="宋体" w:cs="宋体"/>
                <w:color w:val="000000"/>
                <w:sz w:val="18"/>
                <w:szCs w:val="18"/>
              </w:rPr>
            </w:pPr>
          </w:p>
        </w:tc>
      </w:tr>
      <w:tr w14:paraId="6CD261F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2396BA">
            <w:pPr>
              <w:widowControl/>
              <w:jc w:val="left"/>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8D1CDC9">
            <w:pPr>
              <w:widowControl/>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9E2E35B">
            <w:pPr>
              <w:widowControl/>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5A35D3F">
            <w:pPr>
              <w:widowControl/>
              <w:jc w:val="left"/>
              <w:rPr>
                <w:rFonts w:hint="eastAsia" w:ascii="宋体" w:hAnsi="宋体" w:eastAsia="宋体" w:cs="宋体"/>
                <w:color w:val="000000"/>
                <w:sz w:val="18"/>
                <w:szCs w:val="18"/>
              </w:rPr>
            </w:pPr>
            <w:r>
              <w:rPr>
                <w:rFonts w:hint="eastAsia" w:ascii="宋体" w:hAnsi="宋体" w:eastAsia="宋体" w:cs="宋体"/>
                <w:color w:val="000000"/>
                <w:sz w:val="18"/>
                <w:szCs w:val="18"/>
              </w:rPr>
              <w:t>保障教师队伍稳定性</w:t>
            </w:r>
          </w:p>
        </w:tc>
        <w:tc>
          <w:tcPr>
            <w:tcW w:w="1125" w:type="dxa"/>
            <w:tcBorders>
              <w:top w:val="nil"/>
              <w:left w:val="nil"/>
              <w:bottom w:val="single" w:color="auto" w:sz="4" w:space="0"/>
              <w:right w:val="single" w:color="auto" w:sz="4" w:space="0"/>
            </w:tcBorders>
            <w:vAlign w:val="center"/>
          </w:tcPr>
          <w:p w14:paraId="5A3EF98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36ECCA83">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46A9744">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31248AF1">
            <w:pPr>
              <w:widowControl/>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4AD130E3">
            <w:pPr>
              <w:widowControl/>
              <w:jc w:val="center"/>
              <w:rPr>
                <w:rFonts w:hint="eastAsia" w:ascii="宋体" w:hAnsi="宋体" w:eastAsia="宋体" w:cs="宋体"/>
                <w:color w:val="000000"/>
                <w:sz w:val="18"/>
                <w:szCs w:val="18"/>
              </w:rPr>
            </w:pPr>
          </w:p>
        </w:tc>
      </w:tr>
      <w:tr w14:paraId="0DA0925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D4B75C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686A3CE">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618C1B3">
            <w:pPr>
              <w:widowControl/>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80.00分</w:t>
            </w:r>
          </w:p>
        </w:tc>
        <w:tc>
          <w:tcPr>
            <w:tcW w:w="1984" w:type="dxa"/>
            <w:gridSpan w:val="2"/>
            <w:tcBorders>
              <w:top w:val="single" w:color="auto" w:sz="4" w:space="0"/>
              <w:left w:val="nil"/>
              <w:bottom w:val="single" w:color="auto" w:sz="4" w:space="0"/>
              <w:right w:val="single" w:color="auto" w:sz="4" w:space="0"/>
            </w:tcBorders>
            <w:vAlign w:val="center"/>
          </w:tcPr>
          <w:p w14:paraId="5FEDE4B1">
            <w:pPr>
              <w:widowControl/>
              <w:jc w:val="center"/>
              <w:rPr>
                <w:rFonts w:hint="eastAsia" w:ascii="宋体" w:hAnsi="宋体" w:eastAsia="宋体" w:cs="宋体"/>
                <w:b/>
                <w:bCs/>
                <w:color w:val="000000"/>
                <w:sz w:val="18"/>
                <w:szCs w:val="18"/>
              </w:rPr>
            </w:pPr>
          </w:p>
        </w:tc>
      </w:tr>
    </w:tbl>
    <w:p w14:paraId="0B55A9F9">
      <w:pPr>
        <w:widowControl/>
        <w:ind w:firstLine="640" w:firstLineChars="200"/>
        <w:rPr>
          <w:rFonts w:ascii="仿宋_GB2312" w:eastAsia="仿宋_GB2312"/>
          <w:sz w:val="32"/>
          <w:szCs w:val="32"/>
        </w:rPr>
      </w:pPr>
    </w:p>
    <w:p w14:paraId="57BAFE33">
      <w:pPr>
        <w:widowControl/>
        <w:ind w:firstLine="640" w:firstLineChars="200"/>
        <w:jc w:val="left"/>
        <w:outlineLvl w:val="1"/>
        <w:rPr>
          <w:rFonts w:ascii="黑体" w:eastAsia="黑体"/>
          <w:sz w:val="32"/>
          <w:szCs w:val="32"/>
        </w:rPr>
      </w:pPr>
      <w:r>
        <w:rPr>
          <w:rFonts w:ascii="黑体" w:eastAsia="黑体"/>
          <w:sz w:val="32"/>
          <w:szCs w:val="32"/>
        </w:rPr>
        <w:t>十二、其他需说明的事项</w:t>
      </w:r>
    </w:p>
    <w:p w14:paraId="0EEC83A4">
      <w:pPr>
        <w:widowControl/>
        <w:ind w:firstLine="640" w:firstLineChars="200"/>
        <w:jc w:val="left"/>
        <w:rPr>
          <w:rFonts w:ascii="仿宋_GB2312" w:eastAsia="仿宋_GB2312"/>
          <w:sz w:val="32"/>
          <w:szCs w:val="32"/>
        </w:rPr>
      </w:pPr>
      <w:r>
        <w:rPr>
          <w:rFonts w:hint="eastAsia" w:ascii="仿宋_GB2312" w:eastAsia="仿宋_GB2312"/>
          <w:sz w:val="32"/>
          <w:szCs w:val="32"/>
        </w:rPr>
        <w:t>我单位2024年度无政府采购支出，授予中小企业合同金额0.00万元。</w:t>
      </w:r>
    </w:p>
    <w:p w14:paraId="76D14376">
      <w:pPr>
        <w:widowControl/>
      </w:pPr>
      <w:r>
        <w:rPr>
          <w:sz w:val="0"/>
          <w:szCs w:val="0"/>
        </w:rPr>
        <w:br w:type="page"/>
      </w:r>
    </w:p>
    <w:p w14:paraId="2EF47EF7">
      <w:pPr>
        <w:widowControl/>
        <w:jc w:val="center"/>
        <w:outlineLvl w:val="0"/>
        <w:rPr>
          <w:rFonts w:ascii="黑体" w:eastAsia="黑体"/>
          <w:sz w:val="32"/>
          <w:szCs w:val="32"/>
        </w:rPr>
      </w:pPr>
      <w:r>
        <w:rPr>
          <w:rFonts w:ascii="黑体" w:eastAsia="黑体"/>
          <w:sz w:val="32"/>
          <w:szCs w:val="32"/>
        </w:rPr>
        <w:t>第三部分 专业名词解释</w:t>
      </w:r>
    </w:p>
    <w:p w14:paraId="5AA52BA1">
      <w:pPr>
        <w:widowControl/>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4767A0CB">
      <w:pPr>
        <w:widowControl/>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05C3CA92">
      <w:pPr>
        <w:widowControl/>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6CCAF41C">
      <w:pPr>
        <w:widowControl/>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53D4F4A7">
      <w:pPr>
        <w:widowControl/>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018149D2">
      <w:pPr>
        <w:widowControl/>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指除上述“财政拨款收入”、“事业收入”、“经营收入”、“附属单位上缴收入”等之外取得的收入。</w:t>
      </w:r>
    </w:p>
    <w:p w14:paraId="3645597A">
      <w:pPr>
        <w:widowControl/>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2A19174">
      <w:pPr>
        <w:widowControl/>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B35BB5F">
      <w:pPr>
        <w:widowControl/>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0A84F898">
      <w:pPr>
        <w:widowControl/>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6E41FB62">
      <w:pPr>
        <w:widowControl/>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027E8DEE">
      <w:pPr>
        <w:widowControl/>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49879707">
      <w:pPr>
        <w:widowControl/>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E057956">
      <w:pPr>
        <w:widowControl/>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0AB90C8A">
      <w:pPr>
        <w:widowControl/>
      </w:pPr>
      <w:r>
        <w:rPr>
          <w:sz w:val="0"/>
          <w:szCs w:val="0"/>
        </w:rPr>
        <w:br w:type="page"/>
      </w:r>
    </w:p>
    <w:p w14:paraId="5481EEA3">
      <w:pPr>
        <w:widowControl/>
        <w:jc w:val="center"/>
        <w:outlineLvl w:val="0"/>
        <w:rPr>
          <w:rFonts w:ascii="黑体" w:eastAsia="黑体"/>
          <w:sz w:val="32"/>
          <w:szCs w:val="32"/>
        </w:rPr>
      </w:pPr>
      <w:r>
        <w:rPr>
          <w:rFonts w:ascii="黑体" w:eastAsia="黑体"/>
          <w:sz w:val="32"/>
          <w:szCs w:val="32"/>
        </w:rPr>
        <w:t>第四部分 部门决算报表（见附表）</w:t>
      </w:r>
    </w:p>
    <w:p w14:paraId="2552BB7C">
      <w:pPr>
        <w:widowControl/>
        <w:ind w:firstLine="640" w:firstLineChars="200"/>
        <w:jc w:val="left"/>
        <w:outlineLvl w:val="1"/>
        <w:rPr>
          <w:rFonts w:ascii="仿宋_GB2312" w:eastAsia="仿宋_GB2312"/>
          <w:sz w:val="32"/>
          <w:szCs w:val="32"/>
        </w:rPr>
      </w:pPr>
      <w:r>
        <w:rPr>
          <w:rFonts w:ascii="仿宋_GB2312" w:eastAsia="仿宋_GB2312"/>
          <w:sz w:val="32"/>
          <w:szCs w:val="32"/>
        </w:rPr>
        <w:t>一、《收入支出决算总表》</w:t>
      </w:r>
    </w:p>
    <w:p w14:paraId="7AA9358D">
      <w:pPr>
        <w:widowControl/>
        <w:ind w:firstLine="640" w:firstLineChars="200"/>
        <w:jc w:val="left"/>
        <w:outlineLvl w:val="1"/>
        <w:rPr>
          <w:rFonts w:ascii="仿宋_GB2312" w:eastAsia="仿宋_GB2312"/>
          <w:sz w:val="32"/>
          <w:szCs w:val="32"/>
        </w:rPr>
      </w:pPr>
      <w:r>
        <w:rPr>
          <w:rFonts w:ascii="仿宋_GB2312" w:eastAsia="仿宋_GB2312"/>
          <w:sz w:val="32"/>
          <w:szCs w:val="32"/>
        </w:rPr>
        <w:t>二、《收入决算表》</w:t>
      </w:r>
    </w:p>
    <w:p w14:paraId="04150003">
      <w:pPr>
        <w:widowControl/>
        <w:ind w:firstLine="640" w:firstLineChars="200"/>
        <w:jc w:val="left"/>
        <w:outlineLvl w:val="1"/>
        <w:rPr>
          <w:rFonts w:ascii="仿宋_GB2312" w:eastAsia="仿宋_GB2312"/>
          <w:sz w:val="32"/>
          <w:szCs w:val="32"/>
        </w:rPr>
      </w:pPr>
      <w:r>
        <w:rPr>
          <w:rFonts w:ascii="仿宋_GB2312" w:eastAsia="仿宋_GB2312"/>
          <w:sz w:val="32"/>
          <w:szCs w:val="32"/>
        </w:rPr>
        <w:t>三、《支出决算表》</w:t>
      </w:r>
    </w:p>
    <w:p w14:paraId="6D7C7D39">
      <w:pPr>
        <w:widowControl/>
        <w:ind w:firstLine="640" w:firstLineChars="200"/>
        <w:jc w:val="left"/>
        <w:outlineLvl w:val="1"/>
        <w:rPr>
          <w:rFonts w:ascii="仿宋_GB2312" w:eastAsia="仿宋_GB2312"/>
          <w:sz w:val="32"/>
          <w:szCs w:val="32"/>
        </w:rPr>
      </w:pPr>
      <w:r>
        <w:rPr>
          <w:rFonts w:ascii="仿宋_GB2312" w:eastAsia="仿宋_GB2312"/>
          <w:sz w:val="32"/>
          <w:szCs w:val="32"/>
        </w:rPr>
        <w:t>四、《财政拨款收入支出决算总表》</w:t>
      </w:r>
    </w:p>
    <w:p w14:paraId="15952DD3">
      <w:pPr>
        <w:widowControl/>
        <w:ind w:firstLine="640" w:firstLineChars="20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2A4CB943">
      <w:pPr>
        <w:widowControl/>
        <w:ind w:firstLine="640" w:firstLineChars="20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3CAE10AF">
      <w:pPr>
        <w:widowControl/>
        <w:ind w:firstLine="640" w:firstLineChars="20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01E61319">
      <w:pPr>
        <w:widowControl/>
        <w:ind w:firstLine="640" w:firstLineChars="20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782E89E7">
      <w:pPr>
        <w:widowControl/>
        <w:ind w:firstLine="640" w:firstLineChars="200"/>
        <w:jc w:val="left"/>
        <w:outlineLvl w:val="1"/>
        <w:rPr>
          <w:rFonts w:ascii="仿宋_GB2312" w:eastAsia="仿宋_GB2312"/>
          <w:sz w:val="32"/>
          <w:szCs w:val="32"/>
        </w:rPr>
      </w:pPr>
      <w:r>
        <w:rPr>
          <w:rFonts w:ascii="仿宋_GB2312" w:eastAsia="仿宋_GB2312"/>
          <w:sz w:val="32"/>
          <w:szCs w:val="32"/>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compat>
    <w:useFELayout/>
    <w:splitPgBreakAndParaMark/>
    <w:compatSetting w:name="compatibilityMode" w:uri="http://schemas.microsoft.com/office/word" w:val="12"/>
  </w:compat>
  <w:rsids>
    <w:rsidRoot w:val="00602C97"/>
    <w:rsid w:val="00602C97"/>
    <w:rsid w:val="006613C2"/>
    <w:rsid w:val="0074617E"/>
    <w:rsid w:val="06640499"/>
    <w:rsid w:val="099A07E0"/>
    <w:rsid w:val="5933561D"/>
    <w:rsid w:val="66213B1A"/>
    <w:rsid w:val="69EA46B5"/>
    <w:rsid w:val="766906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8151</Words>
  <Characters>9089</Characters>
  <Lines>573</Lines>
  <Paragraphs>490</Paragraphs>
  <TotalTime>3</TotalTime>
  <ScaleCrop>false</ScaleCrop>
  <LinksUpToDate>false</LinksUpToDate>
  <CharactersWithSpaces>9101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2025-09-29T03:53:00Z</dcterms:created>
  <dc:creator>回上.LAPTOP-7R4U860U</dc:creator>
  <cp:lastModifiedBy>辣庅小</cp:lastModifiedBy>
  <dcterms:modified xsi:type="dcterms:W3CDTF">2025-10-15T08:15:04Z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eyJoZGlkIjoiYWZhNmNkZGMwMmRmY2FjMGFhZmQ4ZTZmODZiNzQyZDciLCJ1c2VySWQiOiI0NzAwMzQxNzAifQ==</vt:lpwstr>
  </property>
  <property fmtid="{D5CDD505-2E9C-101B-9397-08002B2CF9AE}" pid="4" name="ICV">
    <vt:lpwstr>68520E94E60B4B9AB33BB4E4A8FA99D5_12</vt:lpwstr>
  </property>
</Properties>
</file>