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339086">
      <w:pPr>
        <w:widowControl/>
        <w:jc w:val="left"/>
        <w:rPr>
          <w:rFonts w:ascii="宋体" w:eastAsia="宋体"/>
          <w:sz w:val="32"/>
          <w:szCs w:val="32"/>
        </w:rPr>
      </w:pPr>
    </w:p>
    <w:p w14:paraId="2FE187C8">
      <w:pPr>
        <w:widowControl/>
        <w:jc w:val="left"/>
        <w:rPr>
          <w:rFonts w:ascii="宋体" w:eastAsia="宋体"/>
          <w:sz w:val="44"/>
          <w:szCs w:val="44"/>
        </w:rPr>
      </w:pPr>
    </w:p>
    <w:p w14:paraId="4B0A4E1C">
      <w:pPr>
        <w:widowControl/>
        <w:jc w:val="left"/>
        <w:rPr>
          <w:rFonts w:ascii="宋体" w:eastAsia="宋体"/>
          <w:sz w:val="44"/>
          <w:szCs w:val="44"/>
        </w:rPr>
      </w:pPr>
    </w:p>
    <w:p w14:paraId="1327E8DA">
      <w:pPr>
        <w:widowControl/>
        <w:jc w:val="left"/>
        <w:rPr>
          <w:rFonts w:ascii="宋体" w:eastAsia="宋体"/>
          <w:sz w:val="44"/>
          <w:szCs w:val="44"/>
        </w:rPr>
      </w:pPr>
    </w:p>
    <w:p w14:paraId="40CD09AC">
      <w:pPr>
        <w:widowControl/>
        <w:jc w:val="center"/>
        <w:outlineLvl w:val="0"/>
        <w:rPr>
          <w:rFonts w:ascii="宋体" w:eastAsia="黑体"/>
          <w:sz w:val="44"/>
          <w:szCs w:val="44"/>
        </w:rPr>
      </w:pPr>
      <w:r>
        <w:rPr>
          <w:rFonts w:ascii="宋体" w:eastAsia="黑体"/>
          <w:sz w:val="44"/>
          <w:szCs w:val="44"/>
        </w:rPr>
        <w:t>乌鲁木齐市第128中学</w:t>
      </w:r>
    </w:p>
    <w:p w14:paraId="64D1A75F">
      <w:pPr>
        <w:widowControl/>
        <w:jc w:val="center"/>
        <w:outlineLvl w:val="0"/>
        <w:rPr>
          <w:rFonts w:ascii="宋体" w:eastAsia="黑体"/>
          <w:sz w:val="44"/>
          <w:szCs w:val="44"/>
        </w:rPr>
      </w:pPr>
      <w:r>
        <w:rPr>
          <w:rFonts w:ascii="宋体" w:eastAsia="黑体"/>
          <w:sz w:val="44"/>
          <w:szCs w:val="44"/>
        </w:rPr>
        <w:t>（乌鲁木齐市米东区东山中学）</w:t>
      </w:r>
    </w:p>
    <w:p w14:paraId="78E77BD0">
      <w:pPr>
        <w:widowControl/>
        <w:jc w:val="center"/>
        <w:outlineLvl w:val="0"/>
        <w:rPr>
          <w:rFonts w:ascii="黑体" w:eastAsia="黑体"/>
          <w:sz w:val="44"/>
          <w:szCs w:val="44"/>
        </w:rPr>
      </w:pPr>
      <w:r>
        <w:rPr>
          <w:rFonts w:ascii="黑体" w:eastAsia="黑体"/>
          <w:sz w:val="44"/>
          <w:szCs w:val="44"/>
        </w:rPr>
        <w:t>2024年度部门决算公开说明</w:t>
      </w:r>
    </w:p>
    <w:p w14:paraId="7A59A730">
      <w:pPr>
        <w:widowControl/>
      </w:pPr>
      <w:bookmarkStart w:id="0" w:name="_GoBack"/>
      <w:bookmarkEnd w:id="0"/>
      <w:r>
        <w:rPr>
          <w:sz w:val="0"/>
          <w:szCs w:val="0"/>
        </w:rPr>
        <w:br w:type="page"/>
      </w:r>
    </w:p>
    <w:p w14:paraId="62262591">
      <w:pPr>
        <w:widowControl/>
        <w:jc w:val="center"/>
        <w:rPr>
          <w:rFonts w:ascii="黑体" w:eastAsia="黑体"/>
          <w:sz w:val="32"/>
          <w:szCs w:val="32"/>
        </w:rPr>
      </w:pPr>
      <w:r>
        <w:rPr>
          <w:rFonts w:ascii="黑体" w:eastAsia="黑体"/>
          <w:b/>
          <w:sz w:val="32"/>
          <w:szCs w:val="32"/>
        </w:rPr>
        <w:t>目  录</w:t>
      </w:r>
    </w:p>
    <w:p w14:paraId="6CA181AE">
      <w:pPr>
        <w:widowControl/>
        <w:jc w:val="left"/>
        <w:rPr>
          <w:rFonts w:ascii="仿宋_GB2312" w:eastAsia="仿宋_GB2312"/>
          <w:sz w:val="32"/>
          <w:szCs w:val="32"/>
        </w:rPr>
      </w:pPr>
      <w:r>
        <w:rPr>
          <w:rFonts w:ascii="仿宋_GB2312" w:eastAsia="仿宋_GB2312"/>
          <w:b/>
          <w:sz w:val="32"/>
          <w:szCs w:val="32"/>
        </w:rPr>
        <w:t>第一部分单位概况</w:t>
      </w:r>
    </w:p>
    <w:p w14:paraId="3E6F7C3F">
      <w:pPr>
        <w:widowControl/>
        <w:jc w:val="left"/>
        <w:rPr>
          <w:rFonts w:ascii="仿宋_GB2312" w:eastAsia="仿宋_GB2312"/>
          <w:sz w:val="32"/>
          <w:szCs w:val="32"/>
        </w:rPr>
      </w:pPr>
      <w:r>
        <w:rPr>
          <w:rFonts w:ascii="仿宋_GB2312" w:eastAsia="仿宋_GB2312"/>
          <w:sz w:val="32"/>
          <w:szCs w:val="32"/>
        </w:rPr>
        <w:t>一、主要职能</w:t>
      </w:r>
    </w:p>
    <w:p w14:paraId="5765D194">
      <w:pPr>
        <w:widowControl/>
        <w:jc w:val="left"/>
        <w:rPr>
          <w:rFonts w:ascii="仿宋_GB2312" w:eastAsia="仿宋_GB2312"/>
          <w:sz w:val="32"/>
          <w:szCs w:val="32"/>
        </w:rPr>
      </w:pPr>
      <w:r>
        <w:rPr>
          <w:rFonts w:ascii="仿宋_GB2312" w:eastAsia="仿宋_GB2312"/>
          <w:sz w:val="32"/>
          <w:szCs w:val="32"/>
        </w:rPr>
        <w:t>二、机构设置及人员情况</w:t>
      </w:r>
    </w:p>
    <w:p w14:paraId="189B865D">
      <w:pPr>
        <w:widowControl/>
        <w:jc w:val="left"/>
        <w:rPr>
          <w:rFonts w:ascii="仿宋_GB2312" w:eastAsia="仿宋_GB2312"/>
          <w:sz w:val="32"/>
          <w:szCs w:val="32"/>
        </w:rPr>
      </w:pPr>
      <w:r>
        <w:rPr>
          <w:rFonts w:ascii="仿宋_GB2312" w:eastAsia="仿宋_GB2312"/>
          <w:b/>
          <w:sz w:val="32"/>
          <w:szCs w:val="32"/>
        </w:rPr>
        <w:t>第二部分 部门决算情况说明</w:t>
      </w:r>
    </w:p>
    <w:p w14:paraId="0198757B">
      <w:pPr>
        <w:widowControl/>
        <w:jc w:val="left"/>
        <w:rPr>
          <w:rFonts w:ascii="仿宋_GB2312" w:eastAsia="仿宋_GB2312"/>
          <w:sz w:val="32"/>
          <w:szCs w:val="32"/>
        </w:rPr>
      </w:pPr>
      <w:r>
        <w:rPr>
          <w:rFonts w:ascii="仿宋_GB2312" w:eastAsia="仿宋_GB2312"/>
          <w:sz w:val="32"/>
          <w:szCs w:val="32"/>
        </w:rPr>
        <w:t>一、收入支出决算总体情况说明</w:t>
      </w:r>
    </w:p>
    <w:p w14:paraId="62EE284B">
      <w:pPr>
        <w:widowControl/>
        <w:jc w:val="left"/>
        <w:rPr>
          <w:rFonts w:ascii="仿宋_GB2312" w:eastAsia="仿宋_GB2312"/>
          <w:sz w:val="32"/>
          <w:szCs w:val="32"/>
        </w:rPr>
      </w:pPr>
      <w:r>
        <w:rPr>
          <w:rFonts w:ascii="仿宋_GB2312" w:eastAsia="仿宋_GB2312"/>
          <w:sz w:val="32"/>
          <w:szCs w:val="32"/>
        </w:rPr>
        <w:t>二、收入决算情况说明</w:t>
      </w:r>
    </w:p>
    <w:p w14:paraId="2466A62F">
      <w:pPr>
        <w:widowControl/>
        <w:jc w:val="left"/>
        <w:rPr>
          <w:rFonts w:ascii="仿宋_GB2312" w:eastAsia="仿宋_GB2312"/>
          <w:sz w:val="32"/>
          <w:szCs w:val="32"/>
        </w:rPr>
      </w:pPr>
      <w:r>
        <w:rPr>
          <w:rFonts w:ascii="仿宋_GB2312" w:eastAsia="仿宋_GB2312"/>
          <w:sz w:val="32"/>
          <w:szCs w:val="32"/>
        </w:rPr>
        <w:t>三、支出决算情况说明</w:t>
      </w:r>
    </w:p>
    <w:p w14:paraId="1A010B6F">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40F87B24">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4B7F1498">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7361765">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60257A39">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4C3DD51C">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7EE8C23C">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068CF184">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433A265">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3BF22179">
      <w:pPr>
        <w:widowControl/>
        <w:jc w:val="left"/>
        <w:rPr>
          <w:rFonts w:ascii="仿宋_GB2312" w:eastAsia="仿宋_GB2312"/>
          <w:sz w:val="32"/>
          <w:szCs w:val="32"/>
        </w:rPr>
      </w:pPr>
      <w:r>
        <w:rPr>
          <w:rFonts w:ascii="仿宋_GB2312" w:eastAsia="仿宋_GB2312"/>
          <w:sz w:val="32"/>
          <w:szCs w:val="32"/>
        </w:rPr>
        <w:t>​十、其他重要事项的情况说明</w:t>
      </w:r>
    </w:p>
    <w:p w14:paraId="31DFBF17">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40EE219E">
      <w:pPr>
        <w:widowControl/>
        <w:jc w:val="left"/>
        <w:rPr>
          <w:rFonts w:ascii="仿宋_GB2312" w:eastAsia="仿宋_GB2312"/>
          <w:sz w:val="32"/>
          <w:szCs w:val="32"/>
        </w:rPr>
      </w:pPr>
      <w:r>
        <w:rPr>
          <w:rFonts w:ascii="仿宋_GB2312" w:eastAsia="仿宋_GB2312"/>
          <w:sz w:val="32"/>
          <w:szCs w:val="32"/>
        </w:rPr>
        <w:t>（二）政府采购情况</w:t>
      </w:r>
    </w:p>
    <w:p w14:paraId="28AC10C1">
      <w:pPr>
        <w:widowControl/>
        <w:jc w:val="left"/>
        <w:rPr>
          <w:rFonts w:ascii="仿宋_GB2312" w:eastAsia="仿宋_GB2312"/>
          <w:sz w:val="32"/>
          <w:szCs w:val="32"/>
        </w:rPr>
      </w:pPr>
      <w:r>
        <w:rPr>
          <w:rFonts w:ascii="仿宋_GB2312" w:eastAsia="仿宋_GB2312"/>
          <w:sz w:val="32"/>
          <w:szCs w:val="32"/>
        </w:rPr>
        <w:t>（三）国有资产占用情况说明</w:t>
      </w:r>
    </w:p>
    <w:p w14:paraId="470EC305">
      <w:pPr>
        <w:widowControl/>
        <w:jc w:val="left"/>
        <w:rPr>
          <w:rFonts w:ascii="仿宋_GB2312" w:eastAsia="仿宋_GB2312"/>
          <w:sz w:val="32"/>
          <w:szCs w:val="32"/>
        </w:rPr>
      </w:pPr>
      <w:r>
        <w:rPr>
          <w:rFonts w:ascii="仿宋_GB2312" w:eastAsia="仿宋_GB2312"/>
          <w:sz w:val="32"/>
          <w:szCs w:val="32"/>
        </w:rPr>
        <w:t>十一、预算绩效的情况说明</w:t>
      </w:r>
    </w:p>
    <w:p w14:paraId="3EA70C8F">
      <w:pPr>
        <w:widowControl/>
        <w:jc w:val="left"/>
        <w:rPr>
          <w:rFonts w:ascii="仿宋_GB2312" w:eastAsia="仿宋_GB2312"/>
          <w:sz w:val="32"/>
          <w:szCs w:val="32"/>
        </w:rPr>
      </w:pPr>
      <w:r>
        <w:rPr>
          <w:rFonts w:ascii="仿宋_GB2312" w:eastAsia="仿宋_GB2312"/>
          <w:sz w:val="32"/>
          <w:szCs w:val="32"/>
        </w:rPr>
        <w:t>十二、其他需说明的事项</w:t>
      </w:r>
    </w:p>
    <w:p w14:paraId="0A762A70">
      <w:pPr>
        <w:widowControl/>
        <w:jc w:val="left"/>
        <w:rPr>
          <w:rFonts w:ascii="仿宋_GB2312" w:eastAsia="仿宋_GB2312"/>
          <w:sz w:val="32"/>
          <w:szCs w:val="32"/>
        </w:rPr>
      </w:pPr>
      <w:r>
        <w:rPr>
          <w:rFonts w:ascii="仿宋_GB2312" w:eastAsia="仿宋_GB2312"/>
          <w:b/>
          <w:sz w:val="32"/>
          <w:szCs w:val="32"/>
        </w:rPr>
        <w:t>第三部分 专业名词解释</w:t>
      </w:r>
    </w:p>
    <w:p w14:paraId="36740AB0">
      <w:pPr>
        <w:widowControl/>
        <w:jc w:val="left"/>
        <w:rPr>
          <w:rFonts w:ascii="仿宋_GB2312" w:eastAsia="仿宋_GB2312"/>
          <w:sz w:val="32"/>
          <w:szCs w:val="32"/>
        </w:rPr>
      </w:pPr>
      <w:r>
        <w:rPr>
          <w:rFonts w:ascii="仿宋_GB2312" w:eastAsia="仿宋_GB2312"/>
          <w:b/>
          <w:sz w:val="32"/>
          <w:szCs w:val="32"/>
        </w:rPr>
        <w:t>第四部分 部门决算报表（见附表）</w:t>
      </w:r>
    </w:p>
    <w:p w14:paraId="2EDDA792">
      <w:pPr>
        <w:widowControl/>
        <w:jc w:val="left"/>
        <w:rPr>
          <w:rFonts w:ascii="仿宋_GB2312" w:eastAsia="仿宋_GB2312"/>
          <w:sz w:val="32"/>
          <w:szCs w:val="32"/>
        </w:rPr>
      </w:pPr>
      <w:r>
        <w:rPr>
          <w:rFonts w:ascii="仿宋_GB2312" w:eastAsia="仿宋_GB2312"/>
          <w:sz w:val="32"/>
          <w:szCs w:val="32"/>
        </w:rPr>
        <w:t>一、《收入支出决算总表》</w:t>
      </w:r>
    </w:p>
    <w:p w14:paraId="7C4F5C34">
      <w:pPr>
        <w:widowControl/>
        <w:jc w:val="left"/>
        <w:rPr>
          <w:rFonts w:ascii="仿宋_GB2312" w:eastAsia="仿宋_GB2312"/>
          <w:sz w:val="32"/>
          <w:szCs w:val="32"/>
        </w:rPr>
      </w:pPr>
      <w:r>
        <w:rPr>
          <w:rFonts w:ascii="仿宋_GB2312" w:eastAsia="仿宋_GB2312"/>
          <w:sz w:val="32"/>
          <w:szCs w:val="32"/>
        </w:rPr>
        <w:t>二、《收入决算表》</w:t>
      </w:r>
    </w:p>
    <w:p w14:paraId="16C61FD3">
      <w:pPr>
        <w:widowControl/>
        <w:jc w:val="left"/>
        <w:rPr>
          <w:rFonts w:ascii="仿宋_GB2312" w:eastAsia="仿宋_GB2312"/>
          <w:sz w:val="32"/>
          <w:szCs w:val="32"/>
        </w:rPr>
      </w:pPr>
      <w:r>
        <w:rPr>
          <w:rFonts w:ascii="仿宋_GB2312" w:eastAsia="仿宋_GB2312"/>
          <w:sz w:val="32"/>
          <w:szCs w:val="32"/>
        </w:rPr>
        <w:t>三、《支出决算表》</w:t>
      </w:r>
    </w:p>
    <w:p w14:paraId="0E327215">
      <w:pPr>
        <w:widowControl/>
        <w:jc w:val="left"/>
        <w:rPr>
          <w:rFonts w:ascii="仿宋_GB2312" w:eastAsia="仿宋_GB2312"/>
          <w:sz w:val="32"/>
          <w:szCs w:val="32"/>
        </w:rPr>
      </w:pPr>
      <w:r>
        <w:rPr>
          <w:rFonts w:ascii="仿宋_GB2312" w:eastAsia="仿宋_GB2312"/>
          <w:sz w:val="32"/>
          <w:szCs w:val="32"/>
        </w:rPr>
        <w:t>四、《财政拨款收入支出决算总表》</w:t>
      </w:r>
    </w:p>
    <w:p w14:paraId="576BD8AA">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DAE2308">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6BFDAF42">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5B6D1373">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1B550572">
      <w:pPr>
        <w:widowControl/>
        <w:jc w:val="left"/>
        <w:rPr>
          <w:rFonts w:ascii="仿宋_GB2312" w:eastAsia="仿宋_GB2312"/>
          <w:sz w:val="32"/>
          <w:szCs w:val="32"/>
        </w:rPr>
      </w:pPr>
      <w:r>
        <w:rPr>
          <w:rFonts w:ascii="仿宋_GB2312" w:eastAsia="仿宋_GB2312"/>
          <w:sz w:val="32"/>
          <w:szCs w:val="32"/>
        </w:rPr>
        <w:t>九、《财政拨款“三公”经费支出决算表》</w:t>
      </w:r>
    </w:p>
    <w:p w14:paraId="1FCE0534">
      <w:pPr>
        <w:widowControl/>
      </w:pPr>
      <w:r>
        <w:rPr>
          <w:sz w:val="0"/>
          <w:szCs w:val="0"/>
        </w:rPr>
        <w:br w:type="page"/>
      </w:r>
    </w:p>
    <w:p w14:paraId="621982C7">
      <w:pPr>
        <w:widowControl/>
        <w:jc w:val="center"/>
        <w:outlineLvl w:val="0"/>
        <w:rPr>
          <w:rFonts w:ascii="黑体" w:eastAsia="黑体"/>
          <w:sz w:val="32"/>
          <w:szCs w:val="32"/>
        </w:rPr>
      </w:pPr>
      <w:r>
        <w:rPr>
          <w:rFonts w:ascii="黑体" w:eastAsia="黑体"/>
          <w:sz w:val="32"/>
          <w:szCs w:val="32"/>
        </w:rPr>
        <w:t>第一部分 单位概况</w:t>
      </w:r>
    </w:p>
    <w:p w14:paraId="6D9A7184">
      <w:pPr>
        <w:widowControl/>
        <w:numPr>
          <w:ilvl w:val="0"/>
          <w:numId w:val="1"/>
        </w:numPr>
        <w:jc w:val="left"/>
        <w:outlineLvl w:val="1"/>
        <w:rPr>
          <w:rFonts w:ascii="黑体" w:eastAsia="黑体"/>
          <w:sz w:val="32"/>
          <w:szCs w:val="32"/>
        </w:rPr>
      </w:pPr>
      <w:r>
        <w:rPr>
          <w:rFonts w:ascii="黑体" w:eastAsia="黑体"/>
          <w:sz w:val="32"/>
          <w:szCs w:val="32"/>
        </w:rPr>
        <w:t>主要职能</w:t>
      </w:r>
    </w:p>
    <w:p w14:paraId="5984E744">
      <w:pPr>
        <w:ind w:firstLine="640" w:firstLineChars="200"/>
        <w:jc w:val="left"/>
        <w:rPr>
          <w:rFonts w:ascii="仿宋_GB2312" w:eastAsia="仿宋_GB2312"/>
          <w:sz w:val="32"/>
          <w:szCs w:val="32"/>
        </w:rPr>
      </w:pPr>
      <w:r>
        <w:rPr>
          <w:rFonts w:ascii="仿宋_GB2312" w:eastAsia="仿宋_GB2312"/>
          <w:sz w:val="32"/>
          <w:szCs w:val="32"/>
        </w:rPr>
        <w:t>（一）</w:t>
      </w:r>
      <w:r>
        <w:rPr>
          <w:rFonts w:hint="eastAsia" w:ascii="仿宋_GB2312" w:eastAsia="仿宋_GB2312"/>
          <w:sz w:val="32"/>
          <w:szCs w:val="32"/>
        </w:rPr>
        <w:t>全面贯彻党和国家的路线、方针、政策、法规，全面实施素质教育，认真执行上级党委和教育行政部门的指示，依法治校，努力提高学校的办学水平和办学效益；</w:t>
      </w:r>
    </w:p>
    <w:p w14:paraId="5AA8FDA2">
      <w:pPr>
        <w:ind w:firstLine="640" w:firstLineChars="200"/>
        <w:jc w:val="left"/>
        <w:rPr>
          <w:rFonts w:ascii="仿宋_GB2312" w:eastAsia="仿宋_GB2312"/>
          <w:sz w:val="32"/>
          <w:szCs w:val="32"/>
        </w:rPr>
      </w:pPr>
      <w:r>
        <w:rPr>
          <w:rFonts w:ascii="仿宋_GB2312" w:eastAsia="仿宋_GB2312"/>
          <w:sz w:val="32"/>
          <w:szCs w:val="32"/>
        </w:rPr>
        <w:t>（二）</w:t>
      </w:r>
      <w:r>
        <w:rPr>
          <w:rFonts w:hint="eastAsia" w:ascii="仿宋_GB2312" w:eastAsia="仿宋_GB2312"/>
          <w:sz w:val="32"/>
          <w:szCs w:val="32"/>
        </w:rPr>
        <w:t>全面规划，统一安排学校的各项工作，组织制定和实施学校发展规划、工作计划；</w:t>
      </w:r>
    </w:p>
    <w:p w14:paraId="20171934">
      <w:pPr>
        <w:ind w:firstLine="640" w:firstLineChars="200"/>
        <w:jc w:val="left"/>
        <w:rPr>
          <w:rFonts w:ascii="仿宋_GB2312" w:eastAsia="仿宋_GB2312"/>
          <w:sz w:val="32"/>
          <w:szCs w:val="32"/>
        </w:rPr>
      </w:pPr>
      <w:r>
        <w:rPr>
          <w:rFonts w:ascii="仿宋_GB2312" w:eastAsia="仿宋_GB2312"/>
          <w:sz w:val="32"/>
          <w:szCs w:val="32"/>
        </w:rPr>
        <w:t>（三）</w:t>
      </w:r>
      <w:r>
        <w:rPr>
          <w:rFonts w:hint="eastAsia" w:ascii="仿宋_GB2312" w:eastAsia="仿宋_GB2312"/>
          <w:sz w:val="32"/>
          <w:szCs w:val="32"/>
        </w:rPr>
        <w:t>负责健全学校行政指挥系统，健全各项规章制度，保证学校正常的工作秩序；</w:t>
      </w:r>
    </w:p>
    <w:p w14:paraId="312EA234">
      <w:pPr>
        <w:ind w:firstLine="640" w:firstLineChars="200"/>
        <w:jc w:val="left"/>
        <w:rPr>
          <w:rFonts w:ascii="仿宋_GB2312" w:eastAsia="仿宋_GB2312"/>
          <w:sz w:val="32"/>
          <w:szCs w:val="32"/>
        </w:rPr>
      </w:pPr>
      <w:r>
        <w:rPr>
          <w:rFonts w:ascii="仿宋_GB2312" w:eastAsia="仿宋_GB2312"/>
          <w:sz w:val="32"/>
          <w:szCs w:val="32"/>
        </w:rPr>
        <w:t>（四）</w:t>
      </w:r>
      <w:r>
        <w:rPr>
          <w:rFonts w:hint="eastAsia" w:ascii="仿宋_GB2312" w:eastAsia="仿宋_GB2312"/>
          <w:sz w:val="32"/>
          <w:szCs w:val="32"/>
        </w:rPr>
        <w:t>按照学校经费使用计划，负责教育教学及办公用品、维修设备的采购、发放和管理工作；</w:t>
      </w:r>
    </w:p>
    <w:p w14:paraId="65117536">
      <w:pPr>
        <w:ind w:firstLine="640" w:firstLineChars="200"/>
        <w:jc w:val="left"/>
        <w:rPr>
          <w:rFonts w:ascii="仿宋_GB2312" w:eastAsia="仿宋_GB2312"/>
          <w:sz w:val="32"/>
          <w:szCs w:val="32"/>
        </w:rPr>
      </w:pPr>
      <w:r>
        <w:rPr>
          <w:rFonts w:ascii="仿宋_GB2312" w:eastAsia="仿宋_GB2312"/>
          <w:sz w:val="32"/>
          <w:szCs w:val="32"/>
        </w:rPr>
        <w:t>（五）</w:t>
      </w:r>
      <w:r>
        <w:rPr>
          <w:rFonts w:hint="eastAsia" w:ascii="仿宋_GB2312" w:eastAsia="仿宋_GB2312"/>
          <w:sz w:val="32"/>
          <w:szCs w:val="32"/>
        </w:rPr>
        <w:t>根据预算安排，拟定收支计划，并组织实施、管理和监督；</w:t>
      </w:r>
    </w:p>
    <w:p w14:paraId="48556FFD">
      <w:pPr>
        <w:ind w:firstLine="640" w:firstLineChars="200"/>
        <w:jc w:val="left"/>
        <w:rPr>
          <w:rFonts w:ascii="仿宋_GB2312" w:eastAsia="仿宋_GB2312"/>
          <w:sz w:val="32"/>
          <w:szCs w:val="32"/>
        </w:rPr>
      </w:pPr>
      <w:r>
        <w:rPr>
          <w:rFonts w:ascii="仿宋_GB2312" w:eastAsia="仿宋_GB2312"/>
          <w:sz w:val="32"/>
          <w:szCs w:val="32"/>
        </w:rPr>
        <w:t>（六）</w:t>
      </w:r>
      <w:r>
        <w:rPr>
          <w:rFonts w:hint="eastAsia" w:ascii="仿宋_GB2312" w:eastAsia="仿宋_GB2312"/>
          <w:sz w:val="32"/>
          <w:szCs w:val="32"/>
        </w:rPr>
        <w:t>规范会计行为；组织执行国家统一的会计制度和自治区相关补充规定；组织管理会计人员的业务培训。</w:t>
      </w:r>
    </w:p>
    <w:p w14:paraId="5A322240">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314510DD">
      <w:pPr>
        <w:widowControl/>
        <w:ind w:firstLine="640" w:firstLineChars="200"/>
        <w:rPr>
          <w:rFonts w:ascii="仿宋_GB2312" w:eastAsia="仿宋_GB2312"/>
          <w:sz w:val="32"/>
          <w:szCs w:val="32"/>
        </w:rPr>
      </w:pPr>
      <w:r>
        <w:rPr>
          <w:rFonts w:ascii="仿宋_GB2312" w:eastAsia="仿宋_GB2312"/>
          <w:sz w:val="32"/>
          <w:szCs w:val="32"/>
        </w:rPr>
        <w:t>乌鲁木齐市第128中学（乌鲁木齐市米东区东山中学）2024年度，实有人数116人，其中：在职人员69人，增加10人；离休人员0人，较上年无变化；退休人员47人，减少1人。</w:t>
      </w:r>
    </w:p>
    <w:p w14:paraId="6483BBE4">
      <w:pPr>
        <w:widowControl/>
        <w:ind w:firstLine="640" w:firstLineChars="200"/>
        <w:rPr>
          <w:rFonts w:ascii="仿宋_GB2312" w:eastAsia="仿宋_GB2312"/>
          <w:sz w:val="32"/>
          <w:szCs w:val="32"/>
        </w:rPr>
      </w:pPr>
      <w:r>
        <w:rPr>
          <w:rFonts w:ascii="仿宋_GB2312" w:eastAsia="仿宋_GB2312"/>
          <w:sz w:val="32"/>
          <w:szCs w:val="32"/>
        </w:rPr>
        <w:t>乌鲁木齐市第128中学（乌鲁木齐市米东区东山中学）无下属预算单位，下设11个</w:t>
      </w:r>
      <w:r>
        <w:rPr>
          <w:rFonts w:hint="eastAsia" w:ascii="仿宋_GB2312" w:eastAsia="仿宋_GB2312"/>
          <w:sz w:val="32"/>
          <w:szCs w:val="32"/>
        </w:rPr>
        <w:t>科室</w:t>
      </w:r>
      <w:r>
        <w:rPr>
          <w:rFonts w:ascii="仿宋_GB2312" w:eastAsia="仿宋_GB2312"/>
          <w:sz w:val="32"/>
          <w:szCs w:val="32"/>
        </w:rPr>
        <w:t>，分别是：教研室、教务处、安全办、工会、德育处、少先队、校办、党办、团支部、总务、财务室。</w:t>
      </w:r>
    </w:p>
    <w:p w14:paraId="07E355C4">
      <w:pPr>
        <w:widowControl/>
      </w:pPr>
      <w:r>
        <w:rPr>
          <w:sz w:val="0"/>
          <w:szCs w:val="0"/>
        </w:rPr>
        <w:br w:type="page"/>
      </w:r>
    </w:p>
    <w:p w14:paraId="35141AD2">
      <w:pPr>
        <w:widowControl/>
        <w:jc w:val="center"/>
        <w:outlineLvl w:val="0"/>
        <w:rPr>
          <w:rFonts w:ascii="黑体" w:eastAsia="黑体"/>
          <w:sz w:val="32"/>
          <w:szCs w:val="32"/>
        </w:rPr>
      </w:pPr>
      <w:r>
        <w:rPr>
          <w:rFonts w:ascii="黑体" w:eastAsia="黑体"/>
          <w:sz w:val="32"/>
          <w:szCs w:val="32"/>
        </w:rPr>
        <w:t>第二部分 部门决算情况说明</w:t>
      </w:r>
    </w:p>
    <w:p w14:paraId="144782FC">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755D9D8A">
      <w:pPr>
        <w:widowControl/>
        <w:ind w:firstLine="640" w:firstLineChars="200"/>
        <w:rPr>
          <w:rFonts w:ascii="仿宋_GB2312" w:eastAsia="仿宋_GB2312"/>
          <w:sz w:val="32"/>
          <w:szCs w:val="32"/>
        </w:rPr>
      </w:pPr>
      <w:r>
        <w:rPr>
          <w:rFonts w:ascii="仿宋_GB2312" w:eastAsia="仿宋_GB2312"/>
          <w:sz w:val="32"/>
          <w:szCs w:val="32"/>
        </w:rPr>
        <w:t>2024年度收入总计1,535.82万元，其中：本年收入合计1,509.53万元，使用非财政拨款结余（含专用结余）0.00万元，年初结转和结余26.29万元。</w:t>
      </w:r>
    </w:p>
    <w:p w14:paraId="6314ED3D">
      <w:pPr>
        <w:widowControl/>
        <w:ind w:firstLine="640" w:firstLineChars="200"/>
        <w:rPr>
          <w:rFonts w:ascii="仿宋_GB2312" w:eastAsia="仿宋_GB2312"/>
          <w:sz w:val="32"/>
          <w:szCs w:val="32"/>
        </w:rPr>
      </w:pPr>
      <w:r>
        <w:rPr>
          <w:rFonts w:ascii="仿宋_GB2312" w:eastAsia="仿宋_GB2312"/>
          <w:sz w:val="32"/>
          <w:szCs w:val="32"/>
        </w:rPr>
        <w:t>2024年度支出总计1,535.82万元，其中：本年支出合计1,508.38万元，结余分配0.00万元，年末结转和结余27.44万元。</w:t>
      </w:r>
    </w:p>
    <w:p w14:paraId="72460328">
      <w:pPr>
        <w:widowControl/>
        <w:ind w:firstLine="640" w:firstLineChars="200"/>
        <w:rPr>
          <w:rFonts w:ascii="仿宋_GB2312" w:eastAsia="仿宋_GB2312"/>
          <w:sz w:val="32"/>
          <w:szCs w:val="32"/>
        </w:rPr>
      </w:pPr>
      <w:r>
        <w:rPr>
          <w:rFonts w:ascii="仿宋_GB2312" w:eastAsia="仿宋_GB2312"/>
          <w:sz w:val="32"/>
          <w:szCs w:val="32"/>
        </w:rPr>
        <w:t>收入支出总体与上年相比，增加256.04万元，增长20.01%，主要原因是：</w:t>
      </w:r>
      <w:r>
        <w:rPr>
          <w:rFonts w:hint="eastAsia" w:ascii="仿宋_GB2312" w:eastAsia="仿宋_GB2312"/>
          <w:sz w:val="32"/>
          <w:szCs w:val="32"/>
        </w:rPr>
        <w:t>单位本年在职人员增加，基本工资、津补贴、奖金等人员经费增加；城乡义务教育经费保障机制-公用经费补助增加。</w:t>
      </w:r>
    </w:p>
    <w:p w14:paraId="704AD005">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5C02922F">
      <w:pPr>
        <w:widowControl/>
        <w:ind w:firstLine="640" w:firstLineChars="200"/>
        <w:rPr>
          <w:rFonts w:ascii="仿宋_GB2312" w:eastAsia="仿宋_GB2312"/>
          <w:sz w:val="32"/>
          <w:szCs w:val="32"/>
        </w:rPr>
      </w:pPr>
      <w:r>
        <w:rPr>
          <w:rFonts w:ascii="仿宋_GB2312" w:eastAsia="仿宋_GB2312"/>
          <w:sz w:val="32"/>
          <w:szCs w:val="32"/>
        </w:rPr>
        <w:t>本年收入1,509.53万元，其中：财政拨款收入1,412.47万元,占93.57%；上级补助收入0.00万元,占0.00%；事业收入0.00万元，占0.00%；经营收入0.00万元,占0.00%；附属单位上缴收入0.00万元，占0.00%；其他收入97.06万元，占6.43%。</w:t>
      </w:r>
    </w:p>
    <w:p w14:paraId="4B4721C2">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69B810C2">
      <w:pPr>
        <w:widowControl/>
        <w:ind w:firstLine="640" w:firstLineChars="200"/>
        <w:rPr>
          <w:rFonts w:ascii="仿宋_GB2312" w:eastAsia="仿宋_GB2312"/>
          <w:sz w:val="32"/>
          <w:szCs w:val="32"/>
        </w:rPr>
      </w:pPr>
      <w:r>
        <w:rPr>
          <w:rFonts w:ascii="仿宋_GB2312" w:eastAsia="仿宋_GB2312"/>
          <w:sz w:val="32"/>
          <w:szCs w:val="32"/>
        </w:rPr>
        <w:t>本年支出1,508.38万元，其中：基本支出1,144.63万元，占75.88%；项目支出363.75万元，占24.12%；上缴上级支出0.00万元，占0.00%；经营支出0.00万元，占0.00%；对附属单位补助支出0.00万元，占0.00%。</w:t>
      </w:r>
    </w:p>
    <w:p w14:paraId="58E6B7A7">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509A1DE5">
      <w:pPr>
        <w:widowControl/>
        <w:ind w:firstLine="640" w:firstLineChars="200"/>
        <w:rPr>
          <w:rFonts w:ascii="仿宋_GB2312" w:eastAsia="仿宋_GB2312"/>
          <w:sz w:val="32"/>
          <w:szCs w:val="32"/>
        </w:rPr>
      </w:pPr>
      <w:r>
        <w:rPr>
          <w:rFonts w:ascii="仿宋_GB2312" w:eastAsia="仿宋_GB2312"/>
          <w:sz w:val="32"/>
          <w:szCs w:val="32"/>
        </w:rPr>
        <w:t>2024年度财政拨款收入总计1,438.73万元，其中：年初财政拨款结转和结余26.27万元，本年财政拨款收入1,412.47万元。财政拨款支出总计1,438.73万元，其中：年末财政拨款结转和结余26.27万元，本年财政拨款支出1,412.47万元。</w:t>
      </w:r>
    </w:p>
    <w:p w14:paraId="5AB0C671">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财政拨款收入支出总体与上年相比，增加253.57万元，增长21.40%，主要原因是：</w:t>
      </w:r>
      <w:r>
        <w:rPr>
          <w:rFonts w:hint="eastAsia" w:ascii="仿宋_GB2312" w:eastAsia="仿宋_GB2312"/>
          <w:sz w:val="32"/>
          <w:szCs w:val="32"/>
        </w:rPr>
        <w:t>单位本年在职人员增加，基本工资、津补贴、奖金等人员经费增加；城乡义务教育经费保障机制-公用经费补助增加。</w:t>
      </w:r>
      <w:r>
        <w:rPr>
          <w:rFonts w:ascii="仿宋_GB2312" w:eastAsia="仿宋_GB2312"/>
          <w:sz w:val="32"/>
          <w:szCs w:val="32"/>
        </w:rPr>
        <w:t>与年初预算相比，年初预算数1,945.03万元，决算数1,438.73万元，预决算差异率-26.03%，主要原因是：</w:t>
      </w:r>
      <w:r>
        <w:rPr>
          <w:rFonts w:hint="eastAsia" w:ascii="仿宋_GB2312" w:eastAsia="仿宋_GB2312"/>
          <w:sz w:val="32"/>
          <w:szCs w:val="32"/>
        </w:rPr>
        <w:t>较预算减少企业移交退休教师经费、城乡义务教育经费保障机制-公用经费补助等项目经费。</w:t>
      </w:r>
    </w:p>
    <w:p w14:paraId="7CE6829B">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58BCDF44">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7DDDFF94">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2024年度一般公共预算财政拨款支出1,412.47万元，占本年支出合计的93.64%。与上年相比，增加253.58万元，增长21.88%，主要原因是：</w:t>
      </w:r>
      <w:r>
        <w:rPr>
          <w:rFonts w:hint="eastAsia" w:ascii="仿宋_GB2312" w:eastAsia="仿宋_GB2312"/>
          <w:sz w:val="32"/>
          <w:szCs w:val="32"/>
        </w:rPr>
        <w:t>单位本年在职人员增加，基本工资、津补贴、奖金等人员经费增加；城乡义务教育经费保障机制-公用经费补助增加。</w:t>
      </w:r>
      <w:r>
        <w:rPr>
          <w:rFonts w:ascii="仿宋_GB2312" w:eastAsia="仿宋_GB2312"/>
          <w:sz w:val="32"/>
          <w:szCs w:val="32"/>
        </w:rPr>
        <w:t>与年初预算相比，年初预算数1,945.03万元，决算数1,412.47万元，预决算差异率-27.38%，主要原因是：</w:t>
      </w:r>
      <w:r>
        <w:rPr>
          <w:rFonts w:hint="eastAsia" w:ascii="仿宋_GB2312" w:eastAsia="仿宋_GB2312"/>
          <w:sz w:val="32"/>
          <w:szCs w:val="32"/>
        </w:rPr>
        <w:t>较预算减少企业移交退休教师经费、城乡义务教育经费保障机制-公用经费补助等项目经费。</w:t>
      </w:r>
    </w:p>
    <w:p w14:paraId="08891282">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43FE4CDF">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教育支出（类）1,412.47万元，占100.00%。</w:t>
      </w:r>
    </w:p>
    <w:p w14:paraId="59056ABD">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36D5B495">
      <w:pPr>
        <w:widowControl/>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1、教育支出（类）普通教育（款）小学教育（项）：支出决算数为834.65万元，比上年决算增加25.80万元，增长3.19%，主要原因是：</w:t>
      </w:r>
      <w:r>
        <w:rPr>
          <w:rFonts w:hint="eastAsia" w:ascii="仿宋_GB2312" w:eastAsia="仿宋_GB2312"/>
          <w:sz w:val="32"/>
          <w:szCs w:val="32"/>
        </w:rPr>
        <w:t>城乡义务教育经费保障机制-公用经费补助增加。</w:t>
      </w:r>
    </w:p>
    <w:p w14:paraId="60417958">
      <w:pPr>
        <w:widowControl/>
        <w:ind w:firstLine="640" w:firstLineChars="200"/>
        <w:rPr>
          <w:rFonts w:ascii="仿宋_GB2312" w:eastAsia="仿宋_GB2312"/>
          <w:sz w:val="32"/>
          <w:szCs w:val="32"/>
        </w:rPr>
      </w:pPr>
      <w:r>
        <w:rPr>
          <w:rFonts w:ascii="仿宋_GB2312" w:eastAsia="仿宋_GB2312"/>
          <w:sz w:val="32"/>
          <w:szCs w:val="32"/>
        </w:rPr>
        <w:t>2、教育支出（类）普通教育（款）初中教育（项）：支出决算数为577.81万元，比上年决算增加232.35万元，增长67.26%，主要原因是：</w:t>
      </w:r>
      <w:r>
        <w:rPr>
          <w:rFonts w:hint="eastAsia" w:ascii="仿宋_GB2312" w:eastAsia="仿宋_GB2312"/>
          <w:sz w:val="32"/>
          <w:szCs w:val="32"/>
        </w:rPr>
        <w:t>单位本年在职人员增加，基本工资、津补贴、奖金等人员经费增加。</w:t>
      </w:r>
    </w:p>
    <w:p w14:paraId="19EDBB1C">
      <w:pPr>
        <w:widowControl/>
        <w:ind w:firstLine="640" w:firstLineChars="200"/>
        <w:rPr>
          <w:rFonts w:ascii="仿宋_GB2312" w:eastAsia="仿宋_GB2312"/>
          <w:sz w:val="32"/>
          <w:szCs w:val="32"/>
        </w:rPr>
      </w:pPr>
      <w:r>
        <w:rPr>
          <w:rFonts w:ascii="仿宋_GB2312" w:eastAsia="仿宋_GB2312"/>
          <w:sz w:val="32"/>
          <w:szCs w:val="32"/>
        </w:rPr>
        <w:t>3、社会保障和就业支出（类）企业改革补助（款）其他企业改革发展补助（项）：支出决算数为0.00万元，比上年决算减少4.58万元，下降100.00%，主要原因是：</w:t>
      </w:r>
      <w:r>
        <w:rPr>
          <w:rFonts w:hint="eastAsia" w:ascii="仿宋_GB2312" w:eastAsia="仿宋_GB2312"/>
          <w:sz w:val="32"/>
          <w:szCs w:val="32"/>
        </w:rPr>
        <w:t>企业移交退休教师经费较上年减少。</w:t>
      </w:r>
    </w:p>
    <w:p w14:paraId="1F1CD139">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420265B1">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1,144.63万元，其中：人员经费1,116.69万元，包括：基本工资、津贴补贴、奖金、绩效工资、机关事业单位基本养老保险缴费、职工基本医疗保险缴费、公务员医疗补助缴费、其他社会保障缴费和住房公积金。</w:t>
      </w:r>
    </w:p>
    <w:p w14:paraId="1C9BA37D">
      <w:pPr>
        <w:widowControl/>
        <w:ind w:firstLine="640" w:firstLineChars="200"/>
        <w:rPr>
          <w:rFonts w:ascii="仿宋_GB2312" w:eastAsia="仿宋_GB2312"/>
          <w:sz w:val="32"/>
          <w:szCs w:val="32"/>
        </w:rPr>
      </w:pPr>
      <w:r>
        <w:rPr>
          <w:rFonts w:ascii="仿宋_GB2312" w:eastAsia="仿宋_GB2312"/>
          <w:sz w:val="32"/>
          <w:szCs w:val="32"/>
        </w:rPr>
        <w:t>公用经费27.94万元，包括：办公费、水费、电费、取暖费、维修（护）费、工会经费、福利费和办公设备购置。</w:t>
      </w:r>
    </w:p>
    <w:p w14:paraId="5031EA18">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3C3CD2F9">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152456A9">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0A63B8B9">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0D5F9C48">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27C1C705">
      <w:pPr>
        <w:widowControl/>
        <w:ind w:firstLine="640" w:firstLineChars="200"/>
        <w:rPr>
          <w:rFonts w:ascii="仿宋_GB2312" w:eastAsia="仿宋_GB2312"/>
          <w:sz w:val="32"/>
          <w:szCs w:val="32"/>
        </w:rPr>
      </w:pPr>
      <w:r>
        <w:rPr>
          <w:rFonts w:ascii="仿宋_GB2312" w:eastAsia="仿宋_GB2312"/>
          <w:sz w:val="32"/>
          <w:szCs w:val="32"/>
        </w:rPr>
        <w:t>2024年度财政拨款“三公”经费支出0.00万元，与上年相比无变化，主要原因是：</w:t>
      </w:r>
      <w:r>
        <w:rPr>
          <w:rFonts w:hint="eastAsia" w:ascii="仿宋_GB2312" w:eastAsia="仿宋_GB2312"/>
          <w:sz w:val="32"/>
          <w:szCs w:val="32"/>
        </w:rPr>
        <w:t>我单位上年度与本年度均无</w:t>
      </w:r>
      <w:r>
        <w:rPr>
          <w:rFonts w:ascii="仿宋_GB2312" w:eastAsia="仿宋_GB2312"/>
          <w:sz w:val="32"/>
          <w:szCs w:val="32"/>
        </w:rPr>
        <w:t>“三公”经费。其中：因公出国（境）费支出0.00万元,占0.00%，与上年相比无变化，主要原因是：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22F4E9C4">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27B63E39">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249BD206">
      <w:pPr>
        <w:widowControl/>
        <w:ind w:firstLine="640" w:firstLineChars="20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公务用车购置数0辆，公务用车保有量0辆。国有资产占用情况中固定资产车辆1辆，与公务用车保有量差异原因是：</w:t>
      </w:r>
      <w:r>
        <w:rPr>
          <w:rFonts w:hint="eastAsia" w:ascii="仿宋_GB2312" w:eastAsia="仿宋_GB2312"/>
          <w:sz w:val="32"/>
          <w:szCs w:val="32"/>
        </w:rPr>
        <w:t>差异车辆为一般业务用车1辆，车辆费用未使用财政拨款公务用车运行维护费支付</w:t>
      </w:r>
      <w:r>
        <w:rPr>
          <w:rFonts w:ascii="仿宋_GB2312" w:eastAsia="仿宋_GB2312"/>
          <w:sz w:val="32"/>
          <w:szCs w:val="32"/>
        </w:rPr>
        <w:t>。</w:t>
      </w:r>
    </w:p>
    <w:p w14:paraId="0E57C3E6">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274BFC9A">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2EFDE9DC">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54548F26">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3698B77B">
      <w:pPr>
        <w:widowControl/>
        <w:ind w:firstLine="640" w:firstLineChars="200"/>
        <w:rPr>
          <w:rFonts w:ascii="仿宋_GB2312" w:eastAsia="仿宋_GB2312"/>
          <w:sz w:val="32"/>
          <w:szCs w:val="32"/>
        </w:rPr>
      </w:pPr>
      <w:r>
        <w:rPr>
          <w:rFonts w:ascii="仿宋_GB2312" w:eastAsia="仿宋_GB2312"/>
          <w:sz w:val="32"/>
          <w:szCs w:val="32"/>
        </w:rPr>
        <w:t>2024年度乌鲁木齐市第128中学（乌鲁木齐市米东区东山中学）单位（事业单位）公用经费支出27.94万元，比上年减少36.34万元，下降56.53%，主要原因是：</w:t>
      </w:r>
      <w:r>
        <w:rPr>
          <w:rFonts w:hint="eastAsia" w:ascii="仿宋_GB2312" w:eastAsia="仿宋_GB2312"/>
          <w:sz w:val="32"/>
          <w:szCs w:val="32"/>
        </w:rPr>
        <w:t>单位</w:t>
      </w:r>
      <w:r>
        <w:rPr>
          <w:rFonts w:ascii="仿宋_GB2312" w:eastAsia="仿宋_GB2312"/>
          <w:sz w:val="32"/>
          <w:szCs w:val="32"/>
        </w:rPr>
        <w:t>本年电费、取暖费、劳务费等经费减少。</w:t>
      </w:r>
    </w:p>
    <w:p w14:paraId="7E10E291">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311B4053">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0C98D1E9">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5655FB0A">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2D16D862">
      <w:pPr>
        <w:widowControl/>
        <w:ind w:firstLine="640" w:firstLineChars="200"/>
        <w:rPr>
          <w:rFonts w:ascii="仿宋_GB2312" w:eastAsia="仿宋_GB2312"/>
          <w:sz w:val="32"/>
          <w:szCs w:val="32"/>
        </w:rPr>
      </w:pPr>
      <w:r>
        <w:rPr>
          <w:rFonts w:ascii="仿宋_GB2312" w:eastAsia="仿宋_GB2312"/>
          <w:sz w:val="32"/>
          <w:szCs w:val="32"/>
        </w:rPr>
        <w:t>截至2024年12月31日，房屋8,690.43平方米，价值1,869.48万元。车辆1辆，价值3.73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12C87372">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172D977D">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w:t>
      </w:r>
      <w:r>
        <w:rPr>
          <w:rFonts w:hint="eastAsia" w:ascii="仿宋_GB2312" w:eastAsia="仿宋_GB2312"/>
          <w:sz w:val="32"/>
          <w:szCs w:val="32"/>
        </w:rPr>
        <w:t>1,535.82</w:t>
      </w:r>
      <w:r>
        <w:rPr>
          <w:rFonts w:ascii="仿宋_GB2312" w:eastAsia="仿宋_GB2312"/>
          <w:sz w:val="32"/>
          <w:szCs w:val="32"/>
        </w:rPr>
        <w:t>万元，实际执行总额</w:t>
      </w:r>
      <w:r>
        <w:rPr>
          <w:rFonts w:hint="eastAsia" w:ascii="仿宋_GB2312" w:eastAsia="仿宋_GB2312"/>
          <w:sz w:val="32"/>
          <w:szCs w:val="32"/>
        </w:rPr>
        <w:t>1,508.38</w:t>
      </w:r>
      <w:r>
        <w:rPr>
          <w:rFonts w:ascii="仿宋_GB2312" w:eastAsia="仿宋_GB2312"/>
          <w:sz w:val="32"/>
          <w:szCs w:val="32"/>
        </w:rPr>
        <w:t>万元；预算绩效评价项目</w:t>
      </w:r>
      <w:r>
        <w:rPr>
          <w:rFonts w:hint="eastAsia" w:ascii="仿宋_GB2312" w:eastAsia="仿宋_GB2312"/>
          <w:sz w:val="32"/>
          <w:szCs w:val="32"/>
        </w:rPr>
        <w:t>3</w:t>
      </w:r>
      <w:r>
        <w:rPr>
          <w:rFonts w:ascii="仿宋_GB2312" w:eastAsia="仿宋_GB2312"/>
          <w:sz w:val="32"/>
          <w:szCs w:val="32"/>
        </w:rPr>
        <w:t>个，全年预算数</w:t>
      </w:r>
      <w:r>
        <w:rPr>
          <w:rFonts w:hint="eastAsia" w:ascii="仿宋_GB2312" w:eastAsia="仿宋_GB2312"/>
          <w:sz w:val="32"/>
          <w:szCs w:val="32"/>
        </w:rPr>
        <w:t>286.71</w:t>
      </w:r>
      <w:r>
        <w:rPr>
          <w:rFonts w:ascii="仿宋_GB2312" w:eastAsia="仿宋_GB2312"/>
          <w:sz w:val="32"/>
          <w:szCs w:val="32"/>
        </w:rPr>
        <w:t>万元，全年执行数</w:t>
      </w:r>
      <w:r>
        <w:rPr>
          <w:rFonts w:hint="eastAsia" w:ascii="仿宋_GB2312" w:eastAsia="仿宋_GB2312"/>
          <w:sz w:val="32"/>
          <w:szCs w:val="32"/>
        </w:rPr>
        <w:t>267.82</w:t>
      </w:r>
      <w:r>
        <w:rPr>
          <w:rFonts w:ascii="仿宋_GB2312" w:eastAsia="仿宋_GB2312"/>
          <w:sz w:val="32"/>
          <w:szCs w:val="32"/>
        </w:rPr>
        <w:t>万元。预算绩效管理取得的成效：一是制定明确清晰的工作目标和指标，更好的开展业务工作；二是加强绩效的监控、评估，确保绩效管理运营的顺畅和高效。发现的问题及原因：</w:t>
      </w:r>
      <w:r>
        <w:rPr>
          <w:rFonts w:hint="eastAsia" w:ascii="仿宋_GB2312" w:eastAsia="仿宋_GB2312"/>
          <w:sz w:val="32"/>
          <w:szCs w:val="32"/>
        </w:rPr>
        <w:t>一是</w:t>
      </w:r>
      <w:r>
        <w:rPr>
          <w:rFonts w:ascii="仿宋_GB2312" w:eastAsia="仿宋_GB2312"/>
          <w:sz w:val="32"/>
          <w:szCs w:val="32"/>
        </w:rPr>
        <w:t>指标设置侧重可量化的财务指标，像经费支出合规率、预算执行率等，对教学质量提升、学生综合素质发展等难以量化的关键成果关注不足，导致评价结果无法全面反映项目成效。教育成果本身具有复杂性和长效性，难以在短期内用具体数字衡量，使得构建科学全面的非财务指标存在技术困难</w:t>
      </w:r>
      <w:r>
        <w:rPr>
          <w:rFonts w:hint="eastAsia" w:ascii="仿宋_GB2312" w:eastAsia="仿宋_GB2312"/>
          <w:sz w:val="32"/>
          <w:szCs w:val="32"/>
        </w:rPr>
        <w:t>；二是</w:t>
      </w:r>
      <w:r>
        <w:rPr>
          <w:rFonts w:ascii="仿宋_GB2312" w:eastAsia="仿宋_GB2312"/>
          <w:sz w:val="32"/>
          <w:szCs w:val="32"/>
        </w:rPr>
        <w:t>数据收集与质量问题：绩效评价数据来源渠道有限，多依赖学校内部各部门自行填报，数据准确性和完整性难以保障，且收集的数据缺乏有效核实机制，导致评价结果可信度低。下一步改进措施：一是构建专业、客观、独立、多样的绩效评价主体。还应加强对外公开的效率，促使公众参与到部门整体绩效评价执行的过程中，重视社会公众对绩效评价的监督</w:t>
      </w:r>
      <w:r>
        <w:rPr>
          <w:rFonts w:hint="eastAsia" w:ascii="仿宋_GB2312" w:eastAsia="仿宋_GB2312"/>
          <w:sz w:val="32"/>
          <w:szCs w:val="32"/>
        </w:rPr>
        <w:t>；</w:t>
      </w:r>
      <w:r>
        <w:rPr>
          <w:rFonts w:ascii="仿宋_GB2312" w:eastAsia="仿宋_GB2312"/>
          <w:sz w:val="32"/>
          <w:szCs w:val="32"/>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rPr>
        <w:t>；</w:t>
      </w:r>
      <w:r>
        <w:rPr>
          <w:rFonts w:ascii="仿宋_GB2312" w:eastAsia="仿宋_GB2312"/>
          <w:sz w:val="32"/>
          <w:szCs w:val="32"/>
        </w:rPr>
        <w:t>三是重视部门整体支出绩效评价中的问题总结，这是发现问题的开端。利用绩效评价结果也可以反向促进单位内部预算资金统筹安排和项目的执行，提高工作人员的工作效率，进而提高社会效益</w:t>
      </w:r>
      <w:r>
        <w:rPr>
          <w:rFonts w:hint="eastAsia" w:ascii="仿宋_GB2312" w:eastAsia="仿宋_GB2312"/>
          <w:sz w:val="32"/>
          <w:szCs w:val="32"/>
        </w:rPr>
        <w:t>；</w:t>
      </w:r>
      <w:r>
        <w:rPr>
          <w:rFonts w:ascii="仿宋_GB2312" w:eastAsia="仿宋_GB2312"/>
          <w:sz w:val="32"/>
          <w:szCs w:val="32"/>
        </w:rPr>
        <w:t>四</w:t>
      </w:r>
      <w:r>
        <w:rPr>
          <w:rFonts w:hint="eastAsia" w:ascii="仿宋_GB2312" w:eastAsia="仿宋_GB2312"/>
          <w:sz w:val="32"/>
          <w:szCs w:val="32"/>
        </w:rPr>
        <w:t>是</w:t>
      </w:r>
      <w:r>
        <w:rPr>
          <w:rFonts w:ascii="仿宋_GB2312" w:eastAsia="仿宋_GB2312"/>
          <w:sz w:val="32"/>
          <w:szCs w:val="32"/>
        </w:rPr>
        <w:t>从教育目标出发，构建综合评价指标体系。纳入学生能力成长、教师专业发展、校园文化建设等非财务指标，采用问卷调查、实地观察、案例分析等多元化评估方法量化</w:t>
      </w:r>
      <w:r>
        <w:rPr>
          <w:rFonts w:hint="eastAsia" w:ascii="仿宋_GB2312" w:eastAsia="仿宋_GB2312"/>
          <w:sz w:val="32"/>
          <w:szCs w:val="32"/>
        </w:rPr>
        <w:t>；</w:t>
      </w:r>
      <w:r>
        <w:rPr>
          <w:rFonts w:ascii="仿宋_GB2312" w:eastAsia="仿宋_GB2312"/>
          <w:sz w:val="32"/>
          <w:szCs w:val="32"/>
        </w:rPr>
        <w:t>五</w:t>
      </w:r>
      <w:r>
        <w:rPr>
          <w:rFonts w:hint="eastAsia" w:ascii="仿宋_GB2312" w:eastAsia="仿宋_GB2312"/>
          <w:sz w:val="32"/>
          <w:szCs w:val="32"/>
        </w:rPr>
        <w:t>是</w:t>
      </w:r>
      <w:r>
        <w:rPr>
          <w:rFonts w:ascii="仿宋_GB2312" w:eastAsia="仿宋_GB2312"/>
          <w:sz w:val="32"/>
          <w:szCs w:val="32"/>
        </w:rPr>
        <w:t>建立评价结果与资源分配、项目决策挂钩机制。依据评价结果，优先保障高绩效项目资源，削减或调整低绩效项目。定期开展绩效评价培训，提升管理层及项目负责人对评价结果的分析、运用能力，让评价结果真正成为学校发展的助力。具体附部门整体支出绩效自评表，项目支出绩效自评表和部门评价报告。</w:t>
      </w:r>
    </w:p>
    <w:p w14:paraId="7239BC9E">
      <w:pPr>
        <w:widowControl/>
        <w:ind w:firstLine="640" w:firstLineChars="200"/>
        <w:rPr>
          <w:rFonts w:ascii="仿宋_GB2312" w:eastAsia="仿宋_GB2312"/>
          <w:sz w:val="32"/>
          <w:szCs w:val="32"/>
        </w:rPr>
      </w:pPr>
      <w:r>
        <w:rPr>
          <w:rFonts w:ascii="仿宋_GB2312" w:eastAsia="仿宋_GB2312"/>
          <w:sz w:val="32"/>
          <w:szCs w:val="32"/>
        </w:rPr>
        <w:br w:type="page"/>
      </w:r>
    </w:p>
    <w:p w14:paraId="4E70E2C8">
      <w:pPr>
        <w:jc w:val="center"/>
        <w:rPr>
          <w:rFonts w:hint="eastAsia" w:ascii="宋体" w:hAnsi="宋体" w:eastAsia="宋体" w:cs="宋体"/>
          <w:b/>
          <w:bCs/>
          <w:sz w:val="28"/>
          <w:szCs w:val="28"/>
        </w:rPr>
      </w:pPr>
      <w:r>
        <w:rPr>
          <w:rFonts w:hint="eastAsia" w:ascii="宋体" w:hAnsi="宋体" w:eastAsia="宋体" w:cs="宋体"/>
          <w:b/>
          <w:bCs/>
          <w:sz w:val="28"/>
          <w:szCs w:val="28"/>
        </w:rPr>
        <w:t>部门（单位）整体支出绩效目标自评表</w:t>
      </w:r>
    </w:p>
    <w:p w14:paraId="055704B5">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5B1443F">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F25FA84">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5A5557D">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乌鲁木齐市第128中学（乌鲁木齐市米东区东山中学）</w:t>
            </w:r>
          </w:p>
        </w:tc>
        <w:tc>
          <w:tcPr>
            <w:tcW w:w="284" w:type="dxa"/>
            <w:tcBorders>
              <w:top w:val="nil"/>
              <w:left w:val="nil"/>
              <w:bottom w:val="nil"/>
              <w:right w:val="nil"/>
            </w:tcBorders>
            <w:noWrap/>
            <w:vAlign w:val="center"/>
          </w:tcPr>
          <w:p w14:paraId="23E9CB67">
            <w:pPr>
              <w:widowControl/>
              <w:jc w:val="left"/>
              <w:rPr>
                <w:rFonts w:hint="eastAsia" w:ascii="宋体" w:hAnsi="宋体" w:eastAsia="宋体" w:cs="宋体"/>
                <w:b/>
                <w:bCs/>
                <w:sz w:val="18"/>
                <w:szCs w:val="18"/>
              </w:rPr>
            </w:pPr>
          </w:p>
        </w:tc>
      </w:tr>
      <w:tr w14:paraId="136ABC50">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A1B31CF">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9F19642">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EA86814">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BC5065D">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035F3EC">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DA69632">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80477AC">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0F67B24">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3776210">
            <w:pPr>
              <w:widowControl/>
              <w:jc w:val="center"/>
              <w:rPr>
                <w:rFonts w:hint="eastAsia" w:ascii="宋体" w:hAnsi="宋体" w:eastAsia="宋体" w:cs="宋体"/>
                <w:b/>
                <w:bCs/>
                <w:sz w:val="18"/>
                <w:szCs w:val="18"/>
              </w:rPr>
            </w:pPr>
          </w:p>
        </w:tc>
      </w:tr>
      <w:tr w14:paraId="2193106E">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5E420B">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FBB4B28">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85F8589">
            <w:pPr>
              <w:widowControl/>
              <w:jc w:val="center"/>
              <w:rPr>
                <w:rFonts w:hint="eastAsia" w:ascii="宋体" w:hAnsi="宋体" w:eastAsia="宋体" w:cs="宋体"/>
                <w:sz w:val="18"/>
                <w:szCs w:val="18"/>
              </w:rPr>
            </w:pPr>
            <w:r>
              <w:rPr>
                <w:rFonts w:hint="eastAsia" w:ascii="宋体" w:hAnsi="宋体" w:eastAsia="宋体" w:cs="宋体"/>
                <w:sz w:val="18"/>
                <w:szCs w:val="18"/>
              </w:rPr>
              <w:t>1,945.03</w:t>
            </w:r>
          </w:p>
        </w:tc>
        <w:tc>
          <w:tcPr>
            <w:tcW w:w="1276" w:type="dxa"/>
            <w:tcBorders>
              <w:top w:val="nil"/>
              <w:left w:val="nil"/>
              <w:bottom w:val="single" w:color="auto" w:sz="4" w:space="0"/>
              <w:right w:val="single" w:color="auto" w:sz="4" w:space="0"/>
            </w:tcBorders>
            <w:vAlign w:val="center"/>
          </w:tcPr>
          <w:p w14:paraId="1C3A2515">
            <w:pPr>
              <w:widowControl/>
              <w:jc w:val="center"/>
              <w:rPr>
                <w:rFonts w:hint="eastAsia" w:ascii="宋体" w:hAnsi="宋体" w:eastAsia="宋体" w:cs="宋体"/>
                <w:sz w:val="18"/>
                <w:szCs w:val="18"/>
              </w:rPr>
            </w:pPr>
            <w:r>
              <w:rPr>
                <w:rFonts w:hint="eastAsia" w:ascii="宋体" w:hAnsi="宋体" w:eastAsia="宋体" w:cs="宋体"/>
                <w:sz w:val="18"/>
                <w:szCs w:val="18"/>
              </w:rPr>
              <w:t>1,535.82</w:t>
            </w:r>
          </w:p>
        </w:tc>
        <w:tc>
          <w:tcPr>
            <w:tcW w:w="1701" w:type="dxa"/>
            <w:tcBorders>
              <w:top w:val="nil"/>
              <w:left w:val="nil"/>
              <w:bottom w:val="single" w:color="auto" w:sz="4" w:space="0"/>
              <w:right w:val="single" w:color="auto" w:sz="4" w:space="0"/>
            </w:tcBorders>
            <w:vAlign w:val="center"/>
          </w:tcPr>
          <w:p w14:paraId="4747A51F">
            <w:pPr>
              <w:widowControl/>
              <w:jc w:val="center"/>
              <w:rPr>
                <w:rFonts w:hint="eastAsia" w:ascii="宋体" w:hAnsi="宋体" w:eastAsia="宋体" w:cs="宋体"/>
                <w:sz w:val="18"/>
                <w:szCs w:val="18"/>
              </w:rPr>
            </w:pPr>
            <w:r>
              <w:rPr>
                <w:rFonts w:hint="eastAsia" w:ascii="宋体" w:hAnsi="宋体" w:eastAsia="宋体" w:cs="宋体"/>
                <w:sz w:val="18"/>
                <w:szCs w:val="18"/>
              </w:rPr>
              <w:t>1,508.38</w:t>
            </w:r>
          </w:p>
        </w:tc>
        <w:tc>
          <w:tcPr>
            <w:tcW w:w="1134" w:type="dxa"/>
            <w:tcBorders>
              <w:top w:val="nil"/>
              <w:left w:val="nil"/>
              <w:bottom w:val="single" w:color="auto" w:sz="4" w:space="0"/>
              <w:right w:val="single" w:color="auto" w:sz="4" w:space="0"/>
            </w:tcBorders>
            <w:vAlign w:val="center"/>
          </w:tcPr>
          <w:p w14:paraId="6CB9803C">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7EC7B9F">
            <w:pPr>
              <w:widowControl/>
              <w:jc w:val="center"/>
              <w:rPr>
                <w:rFonts w:hint="eastAsia" w:ascii="宋体" w:hAnsi="宋体" w:eastAsia="宋体" w:cs="宋体"/>
                <w:sz w:val="18"/>
                <w:szCs w:val="18"/>
              </w:rPr>
            </w:pPr>
            <w:r>
              <w:rPr>
                <w:rFonts w:hint="eastAsia" w:ascii="宋体" w:hAnsi="宋体" w:eastAsia="宋体" w:cs="宋体"/>
                <w:sz w:val="18"/>
                <w:szCs w:val="18"/>
              </w:rPr>
              <w:t>98.21%</w:t>
            </w:r>
          </w:p>
        </w:tc>
        <w:tc>
          <w:tcPr>
            <w:tcW w:w="720" w:type="dxa"/>
            <w:tcBorders>
              <w:top w:val="nil"/>
              <w:left w:val="nil"/>
              <w:bottom w:val="single" w:color="auto" w:sz="4" w:space="0"/>
              <w:right w:val="single" w:color="auto" w:sz="4" w:space="0"/>
            </w:tcBorders>
            <w:vAlign w:val="center"/>
          </w:tcPr>
          <w:p w14:paraId="51218E0D">
            <w:pPr>
              <w:widowControl/>
              <w:jc w:val="center"/>
              <w:rPr>
                <w:rFonts w:hint="eastAsia" w:ascii="宋体" w:hAnsi="宋体" w:eastAsia="宋体" w:cs="宋体"/>
                <w:sz w:val="18"/>
                <w:szCs w:val="18"/>
              </w:rPr>
            </w:pPr>
            <w:r>
              <w:rPr>
                <w:rFonts w:hint="eastAsia" w:ascii="宋体" w:hAnsi="宋体" w:eastAsia="宋体" w:cs="宋体"/>
                <w:sz w:val="18"/>
                <w:szCs w:val="18"/>
              </w:rPr>
              <w:t>9.82</w:t>
            </w:r>
          </w:p>
        </w:tc>
        <w:tc>
          <w:tcPr>
            <w:tcW w:w="284" w:type="dxa"/>
            <w:tcBorders>
              <w:top w:val="nil"/>
              <w:left w:val="nil"/>
              <w:bottom w:val="nil"/>
              <w:right w:val="nil"/>
            </w:tcBorders>
            <w:noWrap/>
            <w:vAlign w:val="center"/>
          </w:tcPr>
          <w:p w14:paraId="47835F25">
            <w:pPr>
              <w:widowControl/>
              <w:jc w:val="center"/>
              <w:rPr>
                <w:rFonts w:hint="eastAsia" w:ascii="宋体" w:hAnsi="宋体" w:eastAsia="宋体" w:cs="宋体"/>
                <w:b/>
                <w:bCs/>
                <w:sz w:val="18"/>
                <w:szCs w:val="18"/>
              </w:rPr>
            </w:pPr>
          </w:p>
        </w:tc>
      </w:tr>
      <w:tr w14:paraId="52326A80">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10E5CD">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3CC4A45">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59C4EC41">
            <w:pPr>
              <w:widowControl/>
              <w:jc w:val="center"/>
              <w:rPr>
                <w:rFonts w:hint="eastAsia" w:ascii="宋体" w:hAnsi="宋体" w:eastAsia="宋体" w:cs="宋体"/>
                <w:sz w:val="18"/>
                <w:szCs w:val="18"/>
              </w:rPr>
            </w:pPr>
            <w:r>
              <w:rPr>
                <w:rFonts w:hint="eastAsia" w:ascii="宋体" w:hAnsi="宋体" w:eastAsia="宋体" w:cs="宋体"/>
                <w:sz w:val="18"/>
                <w:szCs w:val="18"/>
              </w:rPr>
              <w:t>159.59</w:t>
            </w:r>
          </w:p>
        </w:tc>
        <w:tc>
          <w:tcPr>
            <w:tcW w:w="1276" w:type="dxa"/>
            <w:tcBorders>
              <w:top w:val="nil"/>
              <w:left w:val="nil"/>
              <w:bottom w:val="single" w:color="auto" w:sz="4" w:space="0"/>
              <w:right w:val="single" w:color="auto" w:sz="4" w:space="0"/>
            </w:tcBorders>
            <w:vAlign w:val="center"/>
          </w:tcPr>
          <w:p w14:paraId="5EF3AC4D">
            <w:pPr>
              <w:widowControl/>
              <w:jc w:val="center"/>
              <w:rPr>
                <w:rFonts w:hint="eastAsia" w:ascii="宋体" w:hAnsi="宋体" w:eastAsia="宋体" w:cs="宋体"/>
                <w:sz w:val="18"/>
                <w:szCs w:val="18"/>
              </w:rPr>
            </w:pPr>
            <w:r>
              <w:rPr>
                <w:rFonts w:hint="eastAsia" w:ascii="宋体" w:hAnsi="宋体" w:eastAsia="宋体" w:cs="宋体"/>
                <w:sz w:val="18"/>
                <w:szCs w:val="18"/>
              </w:rPr>
              <w:t>372.72</w:t>
            </w:r>
          </w:p>
        </w:tc>
        <w:tc>
          <w:tcPr>
            <w:tcW w:w="1701" w:type="dxa"/>
            <w:tcBorders>
              <w:top w:val="nil"/>
              <w:left w:val="nil"/>
              <w:bottom w:val="single" w:color="auto" w:sz="4" w:space="0"/>
              <w:right w:val="single" w:color="auto" w:sz="4" w:space="0"/>
            </w:tcBorders>
            <w:vAlign w:val="center"/>
          </w:tcPr>
          <w:p w14:paraId="7398032F">
            <w:pPr>
              <w:widowControl/>
              <w:jc w:val="center"/>
              <w:rPr>
                <w:rFonts w:hint="eastAsia" w:ascii="宋体" w:hAnsi="宋体" w:eastAsia="宋体" w:cs="宋体"/>
                <w:sz w:val="18"/>
                <w:szCs w:val="18"/>
              </w:rPr>
            </w:pPr>
            <w:r>
              <w:rPr>
                <w:rFonts w:hint="eastAsia" w:ascii="宋体" w:hAnsi="宋体" w:eastAsia="宋体" w:cs="宋体"/>
                <w:sz w:val="18"/>
                <w:szCs w:val="18"/>
              </w:rPr>
              <w:t>363.75</w:t>
            </w:r>
          </w:p>
        </w:tc>
        <w:tc>
          <w:tcPr>
            <w:tcW w:w="1134" w:type="dxa"/>
            <w:tcBorders>
              <w:top w:val="nil"/>
              <w:left w:val="nil"/>
              <w:bottom w:val="single" w:color="auto" w:sz="4" w:space="0"/>
              <w:right w:val="single" w:color="auto" w:sz="4" w:space="0"/>
            </w:tcBorders>
            <w:vAlign w:val="center"/>
          </w:tcPr>
          <w:p w14:paraId="7CB77C96">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1B056FF3">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2F69FDD6">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1D2923E5">
            <w:pPr>
              <w:widowControl/>
              <w:jc w:val="center"/>
              <w:rPr>
                <w:rFonts w:hint="eastAsia" w:ascii="宋体" w:hAnsi="宋体" w:eastAsia="宋体" w:cs="宋体"/>
                <w:sz w:val="18"/>
                <w:szCs w:val="18"/>
              </w:rPr>
            </w:pPr>
          </w:p>
        </w:tc>
      </w:tr>
      <w:tr w14:paraId="3E68839B">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89FF8A">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6856825">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10AFC92">
            <w:pPr>
              <w:widowControl/>
              <w:jc w:val="center"/>
              <w:rPr>
                <w:rFonts w:hint="eastAsia" w:ascii="宋体" w:hAnsi="宋体" w:eastAsia="宋体" w:cs="宋体"/>
                <w:sz w:val="18"/>
                <w:szCs w:val="18"/>
              </w:rPr>
            </w:pPr>
            <w:r>
              <w:rPr>
                <w:rFonts w:hint="eastAsia" w:ascii="宋体" w:hAnsi="宋体" w:eastAsia="宋体" w:cs="宋体"/>
                <w:sz w:val="18"/>
                <w:szCs w:val="18"/>
              </w:rPr>
              <w:t>1,669.30</w:t>
            </w:r>
          </w:p>
        </w:tc>
        <w:tc>
          <w:tcPr>
            <w:tcW w:w="1276" w:type="dxa"/>
            <w:tcBorders>
              <w:top w:val="nil"/>
              <w:left w:val="nil"/>
              <w:bottom w:val="single" w:color="auto" w:sz="4" w:space="0"/>
              <w:right w:val="single" w:color="auto" w:sz="4" w:space="0"/>
            </w:tcBorders>
            <w:vAlign w:val="center"/>
          </w:tcPr>
          <w:p w14:paraId="20336E26">
            <w:pPr>
              <w:widowControl/>
              <w:jc w:val="center"/>
              <w:rPr>
                <w:rFonts w:hint="eastAsia" w:ascii="宋体" w:hAnsi="宋体" w:eastAsia="宋体" w:cs="宋体"/>
                <w:sz w:val="18"/>
                <w:szCs w:val="18"/>
              </w:rPr>
            </w:pPr>
            <w:r>
              <w:rPr>
                <w:rFonts w:hint="eastAsia" w:ascii="宋体" w:hAnsi="宋体" w:eastAsia="宋体" w:cs="宋体"/>
                <w:sz w:val="18"/>
                <w:szCs w:val="18"/>
              </w:rPr>
              <w:t>1,163.10</w:t>
            </w:r>
          </w:p>
        </w:tc>
        <w:tc>
          <w:tcPr>
            <w:tcW w:w="1701" w:type="dxa"/>
            <w:tcBorders>
              <w:top w:val="nil"/>
              <w:left w:val="nil"/>
              <w:bottom w:val="single" w:color="auto" w:sz="4" w:space="0"/>
              <w:right w:val="single" w:color="auto" w:sz="4" w:space="0"/>
            </w:tcBorders>
            <w:vAlign w:val="center"/>
          </w:tcPr>
          <w:p w14:paraId="53BBDF89">
            <w:pPr>
              <w:widowControl/>
              <w:jc w:val="center"/>
              <w:rPr>
                <w:rFonts w:hint="eastAsia" w:ascii="宋体" w:hAnsi="宋体" w:eastAsia="宋体" w:cs="宋体"/>
                <w:sz w:val="18"/>
                <w:szCs w:val="18"/>
              </w:rPr>
            </w:pPr>
            <w:r>
              <w:rPr>
                <w:rFonts w:hint="eastAsia" w:ascii="宋体" w:hAnsi="宋体" w:eastAsia="宋体" w:cs="宋体"/>
                <w:sz w:val="18"/>
                <w:szCs w:val="18"/>
              </w:rPr>
              <w:t>1,144.63</w:t>
            </w:r>
          </w:p>
        </w:tc>
        <w:tc>
          <w:tcPr>
            <w:tcW w:w="1134" w:type="dxa"/>
            <w:tcBorders>
              <w:top w:val="nil"/>
              <w:left w:val="nil"/>
              <w:bottom w:val="single" w:color="auto" w:sz="4" w:space="0"/>
              <w:right w:val="single" w:color="auto" w:sz="4" w:space="0"/>
            </w:tcBorders>
            <w:vAlign w:val="center"/>
          </w:tcPr>
          <w:p w14:paraId="0671C068">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2964E5F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357A045D">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262D32BA">
            <w:pPr>
              <w:widowControl/>
              <w:jc w:val="center"/>
              <w:rPr>
                <w:rFonts w:hint="eastAsia" w:ascii="宋体" w:hAnsi="宋体" w:eastAsia="宋体" w:cs="宋体"/>
                <w:sz w:val="18"/>
                <w:szCs w:val="18"/>
              </w:rPr>
            </w:pPr>
          </w:p>
        </w:tc>
      </w:tr>
      <w:tr w14:paraId="5E9FAE52">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86E9E9">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76DA4CD">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B7FCDF4">
            <w:pPr>
              <w:widowControl/>
              <w:jc w:val="center"/>
              <w:rPr>
                <w:rFonts w:hint="eastAsia" w:ascii="宋体" w:hAnsi="宋体" w:eastAsia="宋体" w:cs="宋体"/>
                <w:sz w:val="18"/>
                <w:szCs w:val="18"/>
              </w:rPr>
            </w:pPr>
            <w:r>
              <w:rPr>
                <w:rFonts w:hint="eastAsia" w:ascii="宋体" w:hAnsi="宋体" w:eastAsia="宋体" w:cs="宋体"/>
                <w:sz w:val="18"/>
                <w:szCs w:val="18"/>
              </w:rPr>
              <w:t>116.14</w:t>
            </w:r>
          </w:p>
        </w:tc>
        <w:tc>
          <w:tcPr>
            <w:tcW w:w="1276" w:type="dxa"/>
            <w:tcBorders>
              <w:top w:val="nil"/>
              <w:left w:val="nil"/>
              <w:bottom w:val="single" w:color="auto" w:sz="4" w:space="0"/>
              <w:right w:val="single" w:color="auto" w:sz="4" w:space="0"/>
            </w:tcBorders>
            <w:vAlign w:val="center"/>
          </w:tcPr>
          <w:p w14:paraId="6059F274">
            <w:pPr>
              <w:widowControl/>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2F205DF9">
            <w:pPr>
              <w:widowControl/>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8DC7547">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FBF81EB">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2872831">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5AD8C33">
            <w:pPr>
              <w:widowControl/>
              <w:jc w:val="center"/>
              <w:rPr>
                <w:rFonts w:hint="eastAsia" w:ascii="宋体" w:hAnsi="宋体" w:eastAsia="宋体" w:cs="宋体"/>
                <w:sz w:val="18"/>
                <w:szCs w:val="18"/>
              </w:rPr>
            </w:pPr>
          </w:p>
        </w:tc>
      </w:tr>
      <w:tr w14:paraId="2DDBBC10">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C4EAAE">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2565DE4">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E767F08">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E3A62C2">
            <w:pPr>
              <w:widowControl/>
              <w:jc w:val="left"/>
              <w:rPr>
                <w:rFonts w:hint="eastAsia" w:ascii="宋体" w:hAnsi="宋体" w:eastAsia="宋体" w:cs="宋体"/>
                <w:b/>
                <w:bCs/>
                <w:sz w:val="18"/>
                <w:szCs w:val="18"/>
              </w:rPr>
            </w:pPr>
          </w:p>
        </w:tc>
      </w:tr>
      <w:tr w14:paraId="109D4DC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767CF05">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AE1D78C">
            <w:pPr>
              <w:widowControl/>
              <w:jc w:val="left"/>
              <w:rPr>
                <w:rFonts w:hint="eastAsia" w:ascii="宋体" w:hAnsi="宋体" w:eastAsia="宋体" w:cs="宋体"/>
                <w:sz w:val="18"/>
                <w:szCs w:val="18"/>
              </w:rPr>
            </w:pPr>
            <w:r>
              <w:rPr>
                <w:rFonts w:hint="eastAsia" w:ascii="宋体" w:hAnsi="宋体" w:eastAsia="宋体" w:cs="宋体"/>
                <w:sz w:val="18"/>
                <w:szCs w:val="18"/>
              </w:rPr>
              <w:t>一、单位职能：抓基础教育，培养学生习惯，组织教育教学，科学研究活动，保证教育教学质量，维护教职工利益，保障教职工合法权益，以教职工和学生的人生幸福和生命质量作为重点。二、重点工作1、正确贯彻执行党和国家的教育方针、政策、法规，维护学校的教学秩序，为学生创造良好的学习环境。2、抓基础教育、培养学生习惯、组织教育教学、科学研究活动，保证教育教学质量。3、积极稳妥地推进教育改革，按教育规律办事，不断提高教育质量。4、坚持教书育人，服务育人，环境育人方针，加强对学生的思想品德教育，使学生的德智体全面发展。5、做好安全防范，保证学生的人生安全。6、加强教师队伍建设，提高个人综合素质，增强教师各项技能，切实提高教师自身教育教学实践能力，办群众满意的教育。</w:t>
            </w:r>
          </w:p>
        </w:tc>
        <w:tc>
          <w:tcPr>
            <w:tcW w:w="4547" w:type="dxa"/>
            <w:gridSpan w:val="4"/>
            <w:tcBorders>
              <w:top w:val="single" w:color="auto" w:sz="4" w:space="0"/>
              <w:left w:val="nil"/>
              <w:bottom w:val="single" w:color="auto" w:sz="4" w:space="0"/>
              <w:right w:val="single" w:color="auto" w:sz="4" w:space="0"/>
            </w:tcBorders>
          </w:tcPr>
          <w:p w14:paraId="3284A57A">
            <w:pPr>
              <w:widowControl/>
              <w:jc w:val="left"/>
              <w:rPr>
                <w:rFonts w:hint="eastAsia" w:ascii="宋体" w:hAnsi="宋体" w:eastAsia="宋体" w:cs="宋体"/>
                <w:sz w:val="18"/>
                <w:szCs w:val="18"/>
              </w:rPr>
            </w:pPr>
            <w:r>
              <w:rPr>
                <w:rFonts w:hint="eastAsia" w:ascii="宋体" w:hAnsi="宋体" w:eastAsia="宋体" w:cs="宋体"/>
                <w:sz w:val="18"/>
                <w:szCs w:val="18"/>
              </w:rPr>
              <w:t>2024年度我校在教育局的指引下顺利的完成了年初设定的目标任务：1、持续深入开展“党史”学习教育活动，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w:t>
            </w:r>
            <w:r>
              <w:rPr>
                <w:rFonts w:hint="eastAsia" w:ascii="宋体" w:hAnsi="宋体" w:eastAsia="宋体" w:cs="宋体"/>
                <w:sz w:val="18"/>
                <w:szCs w:val="18"/>
                <w:lang w:eastAsia="zh-CN"/>
              </w:rPr>
              <w:t>维护稳定</w:t>
            </w:r>
            <w:r>
              <w:rPr>
                <w:rFonts w:hint="eastAsia" w:ascii="宋体" w:hAnsi="宋体" w:eastAsia="宋体" w:cs="宋体"/>
                <w:sz w:val="18"/>
                <w:szCs w:val="18"/>
              </w:rPr>
              <w:t>及综合治理工作方面，我校也顺利的完成了任务。</w:t>
            </w:r>
          </w:p>
        </w:tc>
        <w:tc>
          <w:tcPr>
            <w:tcW w:w="284" w:type="dxa"/>
            <w:tcBorders>
              <w:top w:val="nil"/>
              <w:left w:val="nil"/>
              <w:bottom w:val="nil"/>
              <w:right w:val="nil"/>
            </w:tcBorders>
            <w:noWrap/>
            <w:vAlign w:val="center"/>
          </w:tcPr>
          <w:p w14:paraId="71BAFFA9">
            <w:pPr>
              <w:widowControl/>
              <w:jc w:val="left"/>
              <w:rPr>
                <w:rFonts w:hint="eastAsia" w:ascii="宋体" w:hAnsi="宋体" w:eastAsia="宋体" w:cs="宋体"/>
                <w:sz w:val="18"/>
                <w:szCs w:val="18"/>
              </w:rPr>
            </w:pPr>
          </w:p>
        </w:tc>
      </w:tr>
      <w:tr w14:paraId="6B3DBC5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F7A5EF7">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98B4E4D">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69693A8">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BA515F0">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5B4925B">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611441B">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5F2E92A6">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4291D35">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F36FC50">
            <w:pPr>
              <w:widowControl/>
              <w:jc w:val="left"/>
              <w:rPr>
                <w:rFonts w:hint="eastAsia" w:ascii="宋体" w:hAnsi="宋体" w:eastAsia="宋体" w:cs="宋体"/>
                <w:b/>
                <w:bCs/>
                <w:sz w:val="18"/>
                <w:szCs w:val="18"/>
              </w:rPr>
            </w:pPr>
          </w:p>
        </w:tc>
      </w:tr>
      <w:tr w14:paraId="281F5C3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4AB96FAA">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98FDB28">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A96A2EE">
            <w:pPr>
              <w:widowControl/>
              <w:jc w:val="center"/>
              <w:rPr>
                <w:rFonts w:hint="eastAsia" w:ascii="宋体" w:hAnsi="宋体" w:eastAsia="宋体" w:cs="宋体"/>
                <w:sz w:val="18"/>
                <w:szCs w:val="18"/>
              </w:rPr>
            </w:pPr>
            <w:r>
              <w:rPr>
                <w:rFonts w:hint="eastAsia" w:ascii="宋体" w:hAnsi="宋体" w:eastAsia="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787ADAC4">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CBE443E">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《乌鲁木齐市教育系统开展法制宣传教育的第八个五年计划》</w:t>
            </w:r>
          </w:p>
        </w:tc>
        <w:tc>
          <w:tcPr>
            <w:tcW w:w="1134" w:type="dxa"/>
            <w:tcBorders>
              <w:top w:val="nil"/>
              <w:left w:val="nil"/>
              <w:bottom w:val="single" w:color="auto" w:sz="4" w:space="0"/>
              <w:right w:val="single" w:color="auto" w:sz="4" w:space="0"/>
            </w:tcBorders>
            <w:noWrap/>
            <w:vAlign w:val="center"/>
          </w:tcPr>
          <w:p w14:paraId="517C467B">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503957DE">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A7F0FA1">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BBAA655">
            <w:pPr>
              <w:widowControl/>
              <w:jc w:val="center"/>
              <w:rPr>
                <w:rFonts w:hint="eastAsia" w:ascii="宋体" w:hAnsi="宋体" w:eastAsia="宋体" w:cs="宋体"/>
                <w:sz w:val="18"/>
                <w:szCs w:val="18"/>
              </w:rPr>
            </w:pPr>
          </w:p>
        </w:tc>
      </w:tr>
      <w:tr w14:paraId="08BDC34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BE73C98">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DCDF01F">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18C12E7">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085265FC">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C9F0AD6">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40C880EA">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D660F31">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7909464">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461BF3B">
            <w:pPr>
              <w:widowControl/>
              <w:jc w:val="center"/>
              <w:rPr>
                <w:rFonts w:hint="eastAsia" w:ascii="宋体" w:hAnsi="宋体" w:eastAsia="宋体" w:cs="宋体"/>
                <w:sz w:val="18"/>
                <w:szCs w:val="18"/>
              </w:rPr>
            </w:pPr>
          </w:p>
        </w:tc>
      </w:tr>
      <w:tr w14:paraId="5AF15C0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69E4D90">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4BFD772">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744A7AA8">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每位教师每学年开展活动次数</w:t>
            </w:r>
          </w:p>
        </w:tc>
        <w:tc>
          <w:tcPr>
            <w:tcW w:w="1276" w:type="dxa"/>
            <w:tcBorders>
              <w:top w:val="single" w:color="auto" w:sz="4" w:space="0"/>
              <w:left w:val="nil"/>
              <w:bottom w:val="single" w:color="auto" w:sz="4" w:space="0"/>
              <w:right w:val="single" w:color="auto" w:sz="4" w:space="0"/>
            </w:tcBorders>
            <w:noWrap/>
            <w:vAlign w:val="center"/>
          </w:tcPr>
          <w:p w14:paraId="492C95B7">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60E1CBCA">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A4CD285">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57C679AD">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69A9DAA7">
            <w:pPr>
              <w:widowControl/>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ED5AD81">
            <w:pPr>
              <w:widowControl/>
              <w:jc w:val="center"/>
              <w:rPr>
                <w:rFonts w:hint="eastAsia" w:ascii="宋体" w:hAnsi="宋体" w:eastAsia="宋体" w:cs="宋体"/>
                <w:sz w:val="18"/>
                <w:szCs w:val="18"/>
              </w:rPr>
            </w:pPr>
          </w:p>
        </w:tc>
      </w:tr>
      <w:tr w14:paraId="3111F9DF">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0C0FE72">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4C4107D">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2268EBD">
            <w:pPr>
              <w:widowControl/>
              <w:jc w:val="center"/>
              <w:rPr>
                <w:rFonts w:hint="eastAsia" w:ascii="宋体" w:hAnsi="宋体" w:eastAsia="宋体" w:cs="宋体"/>
                <w:sz w:val="18"/>
                <w:szCs w:val="18"/>
              </w:rPr>
            </w:pPr>
            <w:r>
              <w:rPr>
                <w:rFonts w:hint="eastAsia" w:ascii="宋体" w:hAnsi="宋体" w:eastAsia="宋体" w:cs="宋体"/>
                <w:sz w:val="18"/>
                <w:szCs w:val="18"/>
              </w:rPr>
              <w:t>99.82</w:t>
            </w:r>
          </w:p>
        </w:tc>
        <w:tc>
          <w:tcPr>
            <w:tcW w:w="284" w:type="dxa"/>
            <w:tcBorders>
              <w:top w:val="nil"/>
              <w:left w:val="nil"/>
              <w:bottom w:val="nil"/>
              <w:right w:val="nil"/>
            </w:tcBorders>
            <w:noWrap/>
            <w:vAlign w:val="center"/>
          </w:tcPr>
          <w:p w14:paraId="6F934D74">
            <w:pPr>
              <w:widowControl/>
              <w:jc w:val="center"/>
              <w:rPr>
                <w:rFonts w:hint="eastAsia" w:ascii="宋体" w:hAnsi="宋体" w:eastAsia="宋体" w:cs="宋体"/>
                <w:sz w:val="18"/>
                <w:szCs w:val="18"/>
              </w:rPr>
            </w:pPr>
          </w:p>
        </w:tc>
      </w:tr>
    </w:tbl>
    <w:p w14:paraId="1305C3C5">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B2E188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A6CAEE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5D34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1C5CA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 中央城乡义务教育补助经费（小学公用)</w:t>
            </w:r>
          </w:p>
        </w:tc>
      </w:tr>
      <w:tr w14:paraId="1FAC5B4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30CBA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350F3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9E45EB8">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EF828A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乌鲁木齐市第128中学（乌鲁木齐市米东区东山中学）</w:t>
            </w:r>
          </w:p>
        </w:tc>
      </w:tr>
      <w:tr w14:paraId="524C7B2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A8FB51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3C6038E">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4543AD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11B39D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4A043D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CCA20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000EB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CE657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839C05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925DF8">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967B1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A19460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193.81</w:t>
            </w:r>
          </w:p>
        </w:tc>
        <w:tc>
          <w:tcPr>
            <w:tcW w:w="1125" w:type="dxa"/>
            <w:tcBorders>
              <w:top w:val="nil"/>
              <w:left w:val="nil"/>
              <w:bottom w:val="single" w:color="auto" w:sz="4" w:space="0"/>
              <w:right w:val="single" w:color="auto" w:sz="4" w:space="0"/>
            </w:tcBorders>
            <w:noWrap/>
            <w:vAlign w:val="center"/>
          </w:tcPr>
          <w:p w14:paraId="0794B6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198.51</w:t>
            </w:r>
          </w:p>
        </w:tc>
        <w:tc>
          <w:tcPr>
            <w:tcW w:w="1275" w:type="dxa"/>
            <w:gridSpan w:val="2"/>
            <w:tcBorders>
              <w:top w:val="single" w:color="auto" w:sz="4" w:space="0"/>
              <w:left w:val="nil"/>
              <w:bottom w:val="single" w:color="auto" w:sz="4" w:space="0"/>
              <w:right w:val="single" w:color="000000" w:sz="4" w:space="0"/>
            </w:tcBorders>
            <w:noWrap/>
            <w:vAlign w:val="center"/>
          </w:tcPr>
          <w:p w14:paraId="79B44E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197.39</w:t>
            </w:r>
          </w:p>
        </w:tc>
        <w:tc>
          <w:tcPr>
            <w:tcW w:w="1134" w:type="dxa"/>
            <w:gridSpan w:val="2"/>
            <w:tcBorders>
              <w:top w:val="single" w:color="auto" w:sz="4" w:space="0"/>
              <w:left w:val="nil"/>
              <w:bottom w:val="single" w:color="auto" w:sz="4" w:space="0"/>
              <w:right w:val="single" w:color="auto" w:sz="4" w:space="0"/>
            </w:tcBorders>
            <w:vAlign w:val="center"/>
          </w:tcPr>
          <w:p w14:paraId="53B4F0B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3E818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99.44%</w:t>
            </w:r>
          </w:p>
        </w:tc>
        <w:tc>
          <w:tcPr>
            <w:tcW w:w="1275" w:type="dxa"/>
            <w:tcBorders>
              <w:top w:val="nil"/>
              <w:left w:val="nil"/>
              <w:bottom w:val="single" w:color="auto" w:sz="4" w:space="0"/>
              <w:right w:val="single" w:color="auto" w:sz="4" w:space="0"/>
            </w:tcBorders>
            <w:vAlign w:val="center"/>
          </w:tcPr>
          <w:p w14:paraId="24A2EA5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9.94分</w:t>
            </w:r>
          </w:p>
        </w:tc>
      </w:tr>
      <w:tr w14:paraId="15C32B9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4BD87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852BEF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25CC1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120.60</w:t>
            </w:r>
          </w:p>
        </w:tc>
        <w:tc>
          <w:tcPr>
            <w:tcW w:w="1125" w:type="dxa"/>
            <w:tcBorders>
              <w:top w:val="nil"/>
              <w:left w:val="nil"/>
              <w:bottom w:val="single" w:color="auto" w:sz="4" w:space="0"/>
              <w:right w:val="single" w:color="auto" w:sz="4" w:space="0"/>
            </w:tcBorders>
            <w:noWrap/>
            <w:vAlign w:val="center"/>
          </w:tcPr>
          <w:p w14:paraId="597182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125.30</w:t>
            </w:r>
          </w:p>
        </w:tc>
        <w:tc>
          <w:tcPr>
            <w:tcW w:w="1275" w:type="dxa"/>
            <w:gridSpan w:val="2"/>
            <w:tcBorders>
              <w:top w:val="single" w:color="auto" w:sz="4" w:space="0"/>
              <w:left w:val="nil"/>
              <w:bottom w:val="single" w:color="auto" w:sz="4" w:space="0"/>
              <w:right w:val="single" w:color="000000" w:sz="4" w:space="0"/>
            </w:tcBorders>
            <w:noWrap/>
            <w:vAlign w:val="center"/>
          </w:tcPr>
          <w:p w14:paraId="2C389D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124.56</w:t>
            </w:r>
          </w:p>
        </w:tc>
        <w:tc>
          <w:tcPr>
            <w:tcW w:w="1134" w:type="dxa"/>
            <w:gridSpan w:val="2"/>
            <w:tcBorders>
              <w:top w:val="single" w:color="auto" w:sz="4" w:space="0"/>
              <w:left w:val="nil"/>
              <w:bottom w:val="single" w:color="auto" w:sz="4" w:space="0"/>
              <w:right w:val="single" w:color="auto" w:sz="4" w:space="0"/>
            </w:tcBorders>
            <w:vAlign w:val="center"/>
          </w:tcPr>
          <w:p w14:paraId="4F70F5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CDCE0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A7CC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E473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B8B3222">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E3ECD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5E407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73.21</w:t>
            </w:r>
          </w:p>
        </w:tc>
        <w:tc>
          <w:tcPr>
            <w:tcW w:w="1125" w:type="dxa"/>
            <w:tcBorders>
              <w:top w:val="nil"/>
              <w:left w:val="nil"/>
              <w:bottom w:val="single" w:color="auto" w:sz="4" w:space="0"/>
              <w:right w:val="single" w:color="auto" w:sz="4" w:space="0"/>
            </w:tcBorders>
            <w:noWrap/>
            <w:vAlign w:val="center"/>
          </w:tcPr>
          <w:p w14:paraId="1B99122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73.21</w:t>
            </w:r>
          </w:p>
        </w:tc>
        <w:tc>
          <w:tcPr>
            <w:tcW w:w="1275" w:type="dxa"/>
            <w:gridSpan w:val="2"/>
            <w:tcBorders>
              <w:top w:val="single" w:color="auto" w:sz="4" w:space="0"/>
              <w:left w:val="nil"/>
              <w:bottom w:val="single" w:color="auto" w:sz="4" w:space="0"/>
              <w:right w:val="single" w:color="000000" w:sz="4" w:space="0"/>
            </w:tcBorders>
            <w:noWrap/>
            <w:vAlign w:val="center"/>
          </w:tcPr>
          <w:p w14:paraId="3D8C67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72.83</w:t>
            </w:r>
          </w:p>
        </w:tc>
        <w:tc>
          <w:tcPr>
            <w:tcW w:w="1134" w:type="dxa"/>
            <w:gridSpan w:val="2"/>
            <w:tcBorders>
              <w:top w:val="single" w:color="auto" w:sz="4" w:space="0"/>
              <w:left w:val="nil"/>
              <w:bottom w:val="single" w:color="auto" w:sz="4" w:space="0"/>
              <w:right w:val="single" w:color="auto" w:sz="4" w:space="0"/>
            </w:tcBorders>
            <w:vAlign w:val="center"/>
          </w:tcPr>
          <w:p w14:paraId="6C611A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A3D48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786A2A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B4D18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4DD7C4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6F2287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F085AE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5A1D98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FE907F9">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FFB64F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该经费的具体开支范围是：确保学校9807.63平方米校舍的供暖、支付6名保安工资等开支。此项目可保障义务教育阶段学校正常运转，完成教育教学活动和其他日常工作任务等方面的支出。</w:t>
            </w:r>
          </w:p>
        </w:tc>
        <w:tc>
          <w:tcPr>
            <w:tcW w:w="4677" w:type="dxa"/>
            <w:gridSpan w:val="7"/>
            <w:tcBorders>
              <w:top w:val="single" w:color="auto" w:sz="4" w:space="0"/>
              <w:left w:val="nil"/>
              <w:bottom w:val="single" w:color="auto" w:sz="4" w:space="0"/>
              <w:right w:val="single" w:color="000000" w:sz="4" w:space="0"/>
            </w:tcBorders>
          </w:tcPr>
          <w:p w14:paraId="0D8F13F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通过该项目的实施推动了我校教育发展，提高了我校教育质量，构建了良好的教育环境。该项目通过支付我校日常开支，保障了学校的正常运转所需，维持了我校日常教学工作开展。通过城乡义务教育经费的保障机制，我校能够在2024年完成日常教学业务，保障了我校正常业务开支，使得我校能够更好地服务于学生，创造了良好的育人环境，使学生安心，安全的学习。</w:t>
            </w:r>
          </w:p>
        </w:tc>
      </w:tr>
      <w:tr w14:paraId="4878A72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5B18C5C">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F9C710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2BFB1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DA3FD8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2DE8B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D5476C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88CAE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14BBB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3332C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4B792C40">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0777BC3">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374C23C">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7B028EB">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454E3D2">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65AC36BF">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E7ABDC9">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9513763">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1874DB6">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EE82493">
            <w:pPr>
              <w:widowControl/>
              <w:jc w:val="left"/>
              <w:rPr>
                <w:rFonts w:hint="eastAsia" w:ascii="宋体" w:hAnsi="宋体" w:eastAsia="宋体" w:cs="宋体"/>
                <w:color w:val="000000"/>
                <w:sz w:val="18"/>
                <w:szCs w:val="18"/>
              </w:rPr>
            </w:pPr>
          </w:p>
        </w:tc>
      </w:tr>
      <w:tr w14:paraId="44D315B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B92B26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EF104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DEB3C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A95489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2A217A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=9807.63平方米</w:t>
            </w:r>
          </w:p>
        </w:tc>
        <w:tc>
          <w:tcPr>
            <w:tcW w:w="1229" w:type="dxa"/>
            <w:tcBorders>
              <w:top w:val="nil"/>
              <w:left w:val="nil"/>
              <w:bottom w:val="single" w:color="auto" w:sz="4" w:space="0"/>
              <w:right w:val="single" w:color="auto" w:sz="4" w:space="0"/>
            </w:tcBorders>
            <w:vAlign w:val="center"/>
          </w:tcPr>
          <w:p w14:paraId="5F5A88E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9807.63平方米</w:t>
            </w:r>
          </w:p>
        </w:tc>
        <w:tc>
          <w:tcPr>
            <w:tcW w:w="755" w:type="dxa"/>
            <w:gridSpan w:val="2"/>
            <w:tcBorders>
              <w:top w:val="single" w:color="auto" w:sz="4" w:space="0"/>
              <w:left w:val="nil"/>
              <w:bottom w:val="single" w:color="auto" w:sz="4" w:space="0"/>
              <w:right w:val="single" w:color="000000" w:sz="4" w:space="0"/>
            </w:tcBorders>
            <w:vAlign w:val="center"/>
          </w:tcPr>
          <w:p w14:paraId="46A423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9AD8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D04BD2">
            <w:pPr>
              <w:widowControl/>
              <w:jc w:val="center"/>
              <w:rPr>
                <w:rFonts w:hint="eastAsia" w:ascii="宋体" w:hAnsi="宋体" w:eastAsia="宋体" w:cs="宋体"/>
                <w:color w:val="000000"/>
                <w:sz w:val="18"/>
                <w:szCs w:val="18"/>
              </w:rPr>
            </w:pPr>
          </w:p>
        </w:tc>
      </w:tr>
      <w:tr w14:paraId="47BD93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BF2FC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CD2C588">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2D6E5C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D8FD6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保安人数</w:t>
            </w:r>
          </w:p>
        </w:tc>
        <w:tc>
          <w:tcPr>
            <w:tcW w:w="1125" w:type="dxa"/>
            <w:tcBorders>
              <w:top w:val="nil"/>
              <w:left w:val="nil"/>
              <w:bottom w:val="single" w:color="auto" w:sz="4" w:space="0"/>
              <w:right w:val="single" w:color="auto" w:sz="4" w:space="0"/>
            </w:tcBorders>
            <w:vAlign w:val="center"/>
          </w:tcPr>
          <w:p w14:paraId="4F34501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1D6DB5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33631E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A9E8E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3EF8DC">
            <w:pPr>
              <w:widowControl/>
              <w:jc w:val="center"/>
              <w:rPr>
                <w:rFonts w:hint="eastAsia" w:ascii="宋体" w:hAnsi="宋体" w:eastAsia="宋体" w:cs="宋体"/>
                <w:color w:val="000000"/>
                <w:sz w:val="18"/>
                <w:szCs w:val="18"/>
              </w:rPr>
            </w:pPr>
          </w:p>
        </w:tc>
      </w:tr>
      <w:tr w14:paraId="2F1D35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51625C">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DEAAF63">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F7C13B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4AB78E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329482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3A67C42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C018AA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6D31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8D49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学校年底比预期保质保量完成各项任务</w:t>
            </w:r>
          </w:p>
        </w:tc>
      </w:tr>
      <w:tr w14:paraId="70CECE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359D4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E113B9C">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729B4E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CE5404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学校全年供暖覆盖率</w:t>
            </w:r>
          </w:p>
        </w:tc>
        <w:tc>
          <w:tcPr>
            <w:tcW w:w="1125" w:type="dxa"/>
            <w:tcBorders>
              <w:top w:val="nil"/>
              <w:left w:val="nil"/>
              <w:bottom w:val="single" w:color="auto" w:sz="4" w:space="0"/>
              <w:right w:val="single" w:color="auto" w:sz="4" w:space="0"/>
            </w:tcBorders>
            <w:vAlign w:val="center"/>
          </w:tcPr>
          <w:p w14:paraId="2EEA274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41EA310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5E5E4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AF12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0F9854">
            <w:pPr>
              <w:widowControl/>
              <w:jc w:val="center"/>
              <w:rPr>
                <w:rFonts w:hint="eastAsia" w:ascii="宋体" w:hAnsi="宋体" w:eastAsia="宋体" w:cs="宋体"/>
                <w:color w:val="000000"/>
                <w:sz w:val="18"/>
                <w:szCs w:val="18"/>
              </w:rPr>
            </w:pPr>
          </w:p>
        </w:tc>
      </w:tr>
      <w:tr w14:paraId="549DF8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58D7F9">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D8967CD">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60F7C0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61D361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02A2F17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109EFED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669B57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36A4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6E8431A">
            <w:pPr>
              <w:widowControl/>
              <w:jc w:val="center"/>
              <w:rPr>
                <w:rFonts w:hint="eastAsia" w:ascii="宋体" w:hAnsi="宋体" w:eastAsia="宋体" w:cs="宋体"/>
                <w:color w:val="000000"/>
                <w:sz w:val="18"/>
                <w:szCs w:val="18"/>
              </w:rPr>
            </w:pPr>
          </w:p>
        </w:tc>
      </w:tr>
      <w:tr w14:paraId="4358FA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CDF7B3">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E96D7E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F21E9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B80677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提高社会服务发展力</w:t>
            </w:r>
          </w:p>
        </w:tc>
        <w:tc>
          <w:tcPr>
            <w:tcW w:w="1125" w:type="dxa"/>
            <w:tcBorders>
              <w:top w:val="nil"/>
              <w:left w:val="nil"/>
              <w:bottom w:val="single" w:color="auto" w:sz="4" w:space="0"/>
              <w:right w:val="single" w:color="auto" w:sz="4" w:space="0"/>
            </w:tcBorders>
            <w:vAlign w:val="center"/>
          </w:tcPr>
          <w:p w14:paraId="4E9C1E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FA57D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完全达到预期指标</w:t>
            </w:r>
          </w:p>
        </w:tc>
        <w:tc>
          <w:tcPr>
            <w:tcW w:w="755" w:type="dxa"/>
            <w:gridSpan w:val="2"/>
            <w:tcBorders>
              <w:top w:val="single" w:color="auto" w:sz="4" w:space="0"/>
              <w:left w:val="nil"/>
              <w:bottom w:val="single" w:color="auto" w:sz="4" w:space="0"/>
              <w:right w:val="single" w:color="000000" w:sz="4" w:space="0"/>
            </w:tcBorders>
            <w:vAlign w:val="center"/>
          </w:tcPr>
          <w:p w14:paraId="6EC4BEA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E01B3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88AC0C6">
            <w:pPr>
              <w:widowControl/>
              <w:jc w:val="center"/>
              <w:rPr>
                <w:rFonts w:hint="eastAsia" w:ascii="宋体" w:hAnsi="宋体" w:eastAsia="宋体" w:cs="宋体"/>
                <w:color w:val="000000"/>
                <w:sz w:val="18"/>
                <w:szCs w:val="18"/>
              </w:rPr>
            </w:pPr>
          </w:p>
        </w:tc>
      </w:tr>
      <w:tr w14:paraId="7B9141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BE180B">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B91804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F3D743F">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267747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311ED2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1A904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完全达到预期指标</w:t>
            </w:r>
          </w:p>
        </w:tc>
        <w:tc>
          <w:tcPr>
            <w:tcW w:w="755" w:type="dxa"/>
            <w:gridSpan w:val="2"/>
            <w:tcBorders>
              <w:top w:val="single" w:color="auto" w:sz="4" w:space="0"/>
              <w:left w:val="nil"/>
              <w:bottom w:val="single" w:color="auto" w:sz="4" w:space="0"/>
              <w:right w:val="single" w:color="000000" w:sz="4" w:space="0"/>
            </w:tcBorders>
            <w:vAlign w:val="center"/>
          </w:tcPr>
          <w:p w14:paraId="0BE74B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A7599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9F7D543">
            <w:pPr>
              <w:widowControl/>
              <w:jc w:val="center"/>
              <w:rPr>
                <w:rFonts w:hint="eastAsia" w:ascii="宋体" w:hAnsi="宋体" w:eastAsia="宋体" w:cs="宋体"/>
                <w:color w:val="000000"/>
                <w:sz w:val="18"/>
                <w:szCs w:val="18"/>
              </w:rPr>
            </w:pPr>
          </w:p>
        </w:tc>
      </w:tr>
      <w:tr w14:paraId="628710D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5F2002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EBB27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106B76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99.94分</w:t>
            </w:r>
          </w:p>
        </w:tc>
        <w:tc>
          <w:tcPr>
            <w:tcW w:w="1984" w:type="dxa"/>
            <w:gridSpan w:val="2"/>
            <w:tcBorders>
              <w:top w:val="single" w:color="auto" w:sz="4" w:space="0"/>
              <w:left w:val="nil"/>
              <w:bottom w:val="single" w:color="auto" w:sz="4" w:space="0"/>
              <w:right w:val="single" w:color="auto" w:sz="4" w:space="0"/>
            </w:tcBorders>
            <w:vAlign w:val="center"/>
          </w:tcPr>
          <w:p w14:paraId="69173036">
            <w:pPr>
              <w:widowControl/>
              <w:jc w:val="center"/>
              <w:rPr>
                <w:rFonts w:hint="eastAsia" w:ascii="宋体" w:hAnsi="宋体" w:eastAsia="宋体" w:cs="宋体"/>
                <w:b/>
                <w:bCs/>
                <w:color w:val="000000"/>
                <w:sz w:val="18"/>
                <w:szCs w:val="18"/>
              </w:rPr>
            </w:pPr>
          </w:p>
        </w:tc>
      </w:tr>
    </w:tbl>
    <w:p w14:paraId="788F128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8A91F9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56F6A2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85328E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0AFCAA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乌财科教【2023】167号-关于提前下达2024年中央城乡义务教育补助经费（家庭经济困难学生生活补助（小学）</w:t>
            </w:r>
          </w:p>
        </w:tc>
      </w:tr>
      <w:tr w14:paraId="27DFCA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75A2C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62DE9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54E74A82">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08886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乌鲁木齐市第128中学（乌鲁木齐市米东区东山中学）</w:t>
            </w:r>
          </w:p>
        </w:tc>
      </w:tr>
      <w:tr w14:paraId="5FF2F74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8B59E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54D4264">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E887B7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08A0D1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9DE8B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BA7E23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343485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F3E23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0A859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636DCD">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2400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36C3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34.69</w:t>
            </w:r>
          </w:p>
        </w:tc>
        <w:tc>
          <w:tcPr>
            <w:tcW w:w="1125" w:type="dxa"/>
            <w:tcBorders>
              <w:top w:val="nil"/>
              <w:left w:val="nil"/>
              <w:bottom w:val="single" w:color="auto" w:sz="4" w:space="0"/>
              <w:right w:val="single" w:color="auto" w:sz="4" w:space="0"/>
            </w:tcBorders>
            <w:noWrap/>
            <w:vAlign w:val="center"/>
          </w:tcPr>
          <w:p w14:paraId="35D39DF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32.83</w:t>
            </w:r>
          </w:p>
        </w:tc>
        <w:tc>
          <w:tcPr>
            <w:tcW w:w="1275" w:type="dxa"/>
            <w:gridSpan w:val="2"/>
            <w:tcBorders>
              <w:top w:val="single" w:color="auto" w:sz="4" w:space="0"/>
              <w:left w:val="nil"/>
              <w:bottom w:val="single" w:color="auto" w:sz="4" w:space="0"/>
              <w:right w:val="single" w:color="000000" w:sz="4" w:space="0"/>
            </w:tcBorders>
            <w:noWrap/>
            <w:vAlign w:val="center"/>
          </w:tcPr>
          <w:p w14:paraId="771DEE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16.97</w:t>
            </w:r>
          </w:p>
        </w:tc>
        <w:tc>
          <w:tcPr>
            <w:tcW w:w="1134" w:type="dxa"/>
            <w:gridSpan w:val="2"/>
            <w:tcBorders>
              <w:top w:val="single" w:color="auto" w:sz="4" w:space="0"/>
              <w:left w:val="nil"/>
              <w:bottom w:val="single" w:color="auto" w:sz="4" w:space="0"/>
              <w:right w:val="single" w:color="auto" w:sz="4" w:space="0"/>
            </w:tcBorders>
            <w:vAlign w:val="center"/>
          </w:tcPr>
          <w:p w14:paraId="57F18C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4A9AC7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51.69%</w:t>
            </w:r>
          </w:p>
        </w:tc>
        <w:tc>
          <w:tcPr>
            <w:tcW w:w="1275" w:type="dxa"/>
            <w:tcBorders>
              <w:top w:val="nil"/>
              <w:left w:val="nil"/>
              <w:bottom w:val="single" w:color="auto" w:sz="4" w:space="0"/>
              <w:right w:val="single" w:color="auto" w:sz="4" w:space="0"/>
            </w:tcBorders>
            <w:vAlign w:val="center"/>
          </w:tcPr>
          <w:p w14:paraId="52791B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5.17分</w:t>
            </w:r>
          </w:p>
        </w:tc>
      </w:tr>
      <w:tr w14:paraId="77A54E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FD7472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4C23F5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DC18C5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18.61</w:t>
            </w:r>
          </w:p>
        </w:tc>
        <w:tc>
          <w:tcPr>
            <w:tcW w:w="1125" w:type="dxa"/>
            <w:tcBorders>
              <w:top w:val="nil"/>
              <w:left w:val="nil"/>
              <w:bottom w:val="single" w:color="auto" w:sz="4" w:space="0"/>
              <w:right w:val="single" w:color="auto" w:sz="4" w:space="0"/>
            </w:tcBorders>
            <w:noWrap/>
            <w:vAlign w:val="center"/>
          </w:tcPr>
          <w:p w14:paraId="48AC99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16.75</w:t>
            </w:r>
          </w:p>
        </w:tc>
        <w:tc>
          <w:tcPr>
            <w:tcW w:w="1275" w:type="dxa"/>
            <w:gridSpan w:val="2"/>
            <w:tcBorders>
              <w:top w:val="single" w:color="auto" w:sz="4" w:space="0"/>
              <w:left w:val="nil"/>
              <w:bottom w:val="single" w:color="auto" w:sz="4" w:space="0"/>
              <w:right w:val="single" w:color="000000" w:sz="4" w:space="0"/>
            </w:tcBorders>
            <w:noWrap/>
            <w:vAlign w:val="center"/>
          </w:tcPr>
          <w:p w14:paraId="64FB8B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0.89</w:t>
            </w:r>
          </w:p>
        </w:tc>
        <w:tc>
          <w:tcPr>
            <w:tcW w:w="1134" w:type="dxa"/>
            <w:gridSpan w:val="2"/>
            <w:tcBorders>
              <w:top w:val="single" w:color="auto" w:sz="4" w:space="0"/>
              <w:left w:val="nil"/>
              <w:bottom w:val="single" w:color="auto" w:sz="4" w:space="0"/>
              <w:right w:val="single" w:color="auto" w:sz="4" w:space="0"/>
            </w:tcBorders>
            <w:vAlign w:val="center"/>
          </w:tcPr>
          <w:p w14:paraId="539E47C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776D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3E69C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B03BB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F2AB7A">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49613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DB6C9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16.08</w:t>
            </w:r>
          </w:p>
        </w:tc>
        <w:tc>
          <w:tcPr>
            <w:tcW w:w="1125" w:type="dxa"/>
            <w:tcBorders>
              <w:top w:val="nil"/>
              <w:left w:val="nil"/>
              <w:bottom w:val="single" w:color="auto" w:sz="4" w:space="0"/>
              <w:right w:val="single" w:color="auto" w:sz="4" w:space="0"/>
            </w:tcBorders>
            <w:noWrap/>
            <w:vAlign w:val="center"/>
          </w:tcPr>
          <w:p w14:paraId="369D9C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16.08</w:t>
            </w:r>
          </w:p>
        </w:tc>
        <w:tc>
          <w:tcPr>
            <w:tcW w:w="1275" w:type="dxa"/>
            <w:gridSpan w:val="2"/>
            <w:tcBorders>
              <w:top w:val="single" w:color="auto" w:sz="4" w:space="0"/>
              <w:left w:val="nil"/>
              <w:bottom w:val="single" w:color="auto" w:sz="4" w:space="0"/>
              <w:right w:val="single" w:color="000000" w:sz="4" w:space="0"/>
            </w:tcBorders>
            <w:noWrap/>
            <w:vAlign w:val="center"/>
          </w:tcPr>
          <w:p w14:paraId="5AE369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16.08</w:t>
            </w:r>
          </w:p>
        </w:tc>
        <w:tc>
          <w:tcPr>
            <w:tcW w:w="1134" w:type="dxa"/>
            <w:gridSpan w:val="2"/>
            <w:tcBorders>
              <w:top w:val="single" w:color="auto" w:sz="4" w:space="0"/>
              <w:left w:val="nil"/>
              <w:bottom w:val="single" w:color="auto" w:sz="4" w:space="0"/>
              <w:right w:val="single" w:color="auto" w:sz="4" w:space="0"/>
            </w:tcBorders>
            <w:vAlign w:val="center"/>
          </w:tcPr>
          <w:p w14:paraId="7393E12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72482F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188E41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A3BF88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32BE4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184F3F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24B50B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E151C4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21ABC6">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4E4123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我校位于米东区芦草沟乡人民庄子村十队，本级财政根据贫困生平台推送人数拨款，以此解决部分家庭经济困难学生生活补助。非寄宿生家庭经济困难生活补助标准为小学生每学期625元/年，初中生750元/年，支付全年贫困生生活补助，切实提高资助精准度，做到应资助尽资助，不断提高资金使用绩效。</w:t>
            </w:r>
          </w:p>
        </w:tc>
        <w:tc>
          <w:tcPr>
            <w:tcW w:w="4677" w:type="dxa"/>
            <w:gridSpan w:val="7"/>
            <w:tcBorders>
              <w:top w:val="single" w:color="auto" w:sz="4" w:space="0"/>
              <w:left w:val="nil"/>
              <w:bottom w:val="single" w:color="auto" w:sz="4" w:space="0"/>
              <w:right w:val="single" w:color="000000" w:sz="4" w:space="0"/>
            </w:tcBorders>
          </w:tcPr>
          <w:p w14:paraId="1BC2DCE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按照相关要求向我校符合条件的困难学生发放补助，减轻了贫困生家庭经济负担。项目的实施做到了公平、公正、公开，极大解决了众多家庭经济困难学生的生活费，缓解了困难家庭经济压力，保障了家庭经济困难学生公平接受义务教育的权利，为推进社会公平，阻断贫困代际传递发挥了积极作用，促进了我校教育事业稳定、健康发展。</w:t>
            </w:r>
          </w:p>
        </w:tc>
      </w:tr>
      <w:tr w14:paraId="79D5261C">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13B58EA5">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5B15A5E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D4FFA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A3ED63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8B9C4B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5615F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9DA8F2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8EECAB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733285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A1E7F18">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E53F354">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63BF358">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7BE6C10">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E722295">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41E9954">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1F63EDA">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1B00747">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7933281">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AF75143">
            <w:pPr>
              <w:widowControl/>
              <w:jc w:val="left"/>
              <w:rPr>
                <w:rFonts w:hint="eastAsia" w:ascii="宋体" w:hAnsi="宋体" w:eastAsia="宋体" w:cs="宋体"/>
                <w:color w:val="000000"/>
                <w:sz w:val="18"/>
                <w:szCs w:val="18"/>
              </w:rPr>
            </w:pPr>
          </w:p>
        </w:tc>
      </w:tr>
      <w:tr w14:paraId="018C486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498D47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7AFF8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C3CBD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C93F06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发放贫困生补助人数小学</w:t>
            </w:r>
          </w:p>
        </w:tc>
        <w:tc>
          <w:tcPr>
            <w:tcW w:w="1125" w:type="dxa"/>
            <w:tcBorders>
              <w:top w:val="nil"/>
              <w:left w:val="nil"/>
              <w:bottom w:val="single" w:color="auto" w:sz="4" w:space="0"/>
              <w:right w:val="single" w:color="auto" w:sz="4" w:space="0"/>
            </w:tcBorders>
            <w:vAlign w:val="center"/>
          </w:tcPr>
          <w:p w14:paraId="6BD2740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&gt;=167人</w:t>
            </w:r>
          </w:p>
        </w:tc>
        <w:tc>
          <w:tcPr>
            <w:tcW w:w="1229" w:type="dxa"/>
            <w:tcBorders>
              <w:top w:val="nil"/>
              <w:left w:val="nil"/>
              <w:bottom w:val="single" w:color="auto" w:sz="4" w:space="0"/>
              <w:right w:val="single" w:color="auto" w:sz="4" w:space="0"/>
            </w:tcBorders>
            <w:vAlign w:val="center"/>
          </w:tcPr>
          <w:p w14:paraId="6E78DA2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167人</w:t>
            </w:r>
          </w:p>
        </w:tc>
        <w:tc>
          <w:tcPr>
            <w:tcW w:w="755" w:type="dxa"/>
            <w:gridSpan w:val="2"/>
            <w:tcBorders>
              <w:top w:val="single" w:color="auto" w:sz="4" w:space="0"/>
              <w:left w:val="nil"/>
              <w:bottom w:val="single" w:color="auto" w:sz="4" w:space="0"/>
              <w:right w:val="single" w:color="000000" w:sz="4" w:space="0"/>
            </w:tcBorders>
            <w:vAlign w:val="center"/>
          </w:tcPr>
          <w:p w14:paraId="7A583A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6EE30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3A73DD3">
            <w:pPr>
              <w:widowControl/>
              <w:jc w:val="center"/>
              <w:rPr>
                <w:rFonts w:hint="eastAsia" w:ascii="宋体" w:hAnsi="宋体" w:eastAsia="宋体" w:cs="宋体"/>
                <w:color w:val="000000"/>
                <w:sz w:val="18"/>
                <w:szCs w:val="18"/>
              </w:rPr>
            </w:pPr>
          </w:p>
        </w:tc>
      </w:tr>
      <w:tr w14:paraId="7D632E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44C6A8">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0CA33F">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11A921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FB1EF5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发放贫困生补助人数中学-</w:t>
            </w:r>
          </w:p>
        </w:tc>
        <w:tc>
          <w:tcPr>
            <w:tcW w:w="1125" w:type="dxa"/>
            <w:tcBorders>
              <w:top w:val="nil"/>
              <w:left w:val="nil"/>
              <w:bottom w:val="single" w:color="auto" w:sz="4" w:space="0"/>
              <w:right w:val="single" w:color="auto" w:sz="4" w:space="0"/>
            </w:tcBorders>
            <w:vAlign w:val="center"/>
          </w:tcPr>
          <w:p w14:paraId="6926906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&gt;=63人</w:t>
            </w:r>
          </w:p>
        </w:tc>
        <w:tc>
          <w:tcPr>
            <w:tcW w:w="1229" w:type="dxa"/>
            <w:tcBorders>
              <w:top w:val="nil"/>
              <w:left w:val="nil"/>
              <w:bottom w:val="single" w:color="auto" w:sz="4" w:space="0"/>
              <w:right w:val="single" w:color="auto" w:sz="4" w:space="0"/>
            </w:tcBorders>
            <w:vAlign w:val="center"/>
          </w:tcPr>
          <w:p w14:paraId="308309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63人</w:t>
            </w:r>
          </w:p>
        </w:tc>
        <w:tc>
          <w:tcPr>
            <w:tcW w:w="755" w:type="dxa"/>
            <w:gridSpan w:val="2"/>
            <w:tcBorders>
              <w:top w:val="single" w:color="auto" w:sz="4" w:space="0"/>
              <w:left w:val="nil"/>
              <w:bottom w:val="single" w:color="auto" w:sz="4" w:space="0"/>
              <w:right w:val="single" w:color="000000" w:sz="4" w:space="0"/>
            </w:tcBorders>
            <w:vAlign w:val="center"/>
          </w:tcPr>
          <w:p w14:paraId="2FF43AE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23D22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4F43D6B">
            <w:pPr>
              <w:widowControl/>
              <w:jc w:val="center"/>
              <w:rPr>
                <w:rFonts w:hint="eastAsia" w:ascii="宋体" w:hAnsi="宋体" w:eastAsia="宋体" w:cs="宋体"/>
                <w:color w:val="000000"/>
                <w:sz w:val="18"/>
                <w:szCs w:val="18"/>
              </w:rPr>
            </w:pPr>
          </w:p>
        </w:tc>
      </w:tr>
      <w:tr w14:paraId="7BEA70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9C679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F27190">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BC0C1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8B4765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贫困补助发放率</w:t>
            </w:r>
          </w:p>
        </w:tc>
        <w:tc>
          <w:tcPr>
            <w:tcW w:w="1125" w:type="dxa"/>
            <w:tcBorders>
              <w:top w:val="nil"/>
              <w:left w:val="nil"/>
              <w:bottom w:val="single" w:color="auto" w:sz="4" w:space="0"/>
              <w:right w:val="single" w:color="auto" w:sz="4" w:space="0"/>
            </w:tcBorders>
            <w:vAlign w:val="center"/>
          </w:tcPr>
          <w:p w14:paraId="3D5F078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4C179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2721E1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EFB48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524E14">
            <w:pPr>
              <w:widowControl/>
              <w:jc w:val="center"/>
              <w:rPr>
                <w:rFonts w:hint="eastAsia" w:ascii="宋体" w:hAnsi="宋体" w:eastAsia="宋体" w:cs="宋体"/>
                <w:color w:val="000000"/>
                <w:sz w:val="18"/>
                <w:szCs w:val="18"/>
              </w:rPr>
            </w:pPr>
          </w:p>
        </w:tc>
      </w:tr>
      <w:tr w14:paraId="041E4E8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44971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83E54B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BC5955C">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F9C6F3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贫困生补助发放准确率</w:t>
            </w:r>
          </w:p>
        </w:tc>
        <w:tc>
          <w:tcPr>
            <w:tcW w:w="1125" w:type="dxa"/>
            <w:tcBorders>
              <w:top w:val="nil"/>
              <w:left w:val="nil"/>
              <w:bottom w:val="single" w:color="auto" w:sz="4" w:space="0"/>
              <w:right w:val="single" w:color="auto" w:sz="4" w:space="0"/>
            </w:tcBorders>
            <w:vAlign w:val="center"/>
          </w:tcPr>
          <w:p w14:paraId="110026B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3BC302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14A44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05E7B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EA5457">
            <w:pPr>
              <w:widowControl/>
              <w:jc w:val="center"/>
              <w:rPr>
                <w:rFonts w:hint="eastAsia" w:ascii="宋体" w:hAnsi="宋体" w:eastAsia="宋体" w:cs="宋体"/>
                <w:color w:val="000000"/>
                <w:sz w:val="18"/>
                <w:szCs w:val="18"/>
              </w:rPr>
            </w:pPr>
          </w:p>
        </w:tc>
      </w:tr>
      <w:tr w14:paraId="53B1C5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C65D1B">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529ABA8">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1ED4C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7071CD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79565C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6801C57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744DA9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AE29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8B30F3">
            <w:pPr>
              <w:widowControl/>
              <w:jc w:val="center"/>
              <w:rPr>
                <w:rFonts w:hint="eastAsia" w:ascii="宋体" w:hAnsi="宋体" w:eastAsia="宋体" w:cs="宋体"/>
                <w:color w:val="000000"/>
                <w:sz w:val="18"/>
                <w:szCs w:val="18"/>
              </w:rPr>
            </w:pPr>
          </w:p>
        </w:tc>
      </w:tr>
      <w:tr w14:paraId="58B196D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F299A5">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6983D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763168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E408F3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小学生享受补助标准</w:t>
            </w:r>
          </w:p>
        </w:tc>
        <w:tc>
          <w:tcPr>
            <w:tcW w:w="1125" w:type="dxa"/>
            <w:tcBorders>
              <w:top w:val="nil"/>
              <w:left w:val="nil"/>
              <w:bottom w:val="single" w:color="auto" w:sz="4" w:space="0"/>
              <w:right w:val="single" w:color="auto" w:sz="4" w:space="0"/>
            </w:tcBorders>
            <w:vAlign w:val="center"/>
          </w:tcPr>
          <w:p w14:paraId="655095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5CEAEA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755" w:type="dxa"/>
            <w:gridSpan w:val="2"/>
            <w:tcBorders>
              <w:top w:val="single" w:color="auto" w:sz="4" w:space="0"/>
              <w:left w:val="nil"/>
              <w:bottom w:val="single" w:color="auto" w:sz="4" w:space="0"/>
              <w:right w:val="single" w:color="000000" w:sz="4" w:space="0"/>
            </w:tcBorders>
            <w:vAlign w:val="center"/>
          </w:tcPr>
          <w:p w14:paraId="781E59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5671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B0E4B0">
            <w:pPr>
              <w:widowControl/>
              <w:jc w:val="center"/>
              <w:rPr>
                <w:rFonts w:hint="eastAsia" w:ascii="宋体" w:hAnsi="宋体" w:eastAsia="宋体" w:cs="宋体"/>
                <w:color w:val="000000"/>
                <w:sz w:val="18"/>
                <w:szCs w:val="18"/>
              </w:rPr>
            </w:pPr>
          </w:p>
        </w:tc>
      </w:tr>
      <w:tr w14:paraId="24D562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B705F">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E2EF453">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3DC310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E74ED1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初中生享受补助标准</w:t>
            </w:r>
          </w:p>
        </w:tc>
        <w:tc>
          <w:tcPr>
            <w:tcW w:w="1125" w:type="dxa"/>
            <w:tcBorders>
              <w:top w:val="nil"/>
              <w:left w:val="nil"/>
              <w:bottom w:val="single" w:color="auto" w:sz="4" w:space="0"/>
              <w:right w:val="single" w:color="auto" w:sz="4" w:space="0"/>
            </w:tcBorders>
            <w:vAlign w:val="center"/>
          </w:tcPr>
          <w:p w14:paraId="1EA0E4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1229" w:type="dxa"/>
            <w:tcBorders>
              <w:top w:val="nil"/>
              <w:left w:val="nil"/>
              <w:bottom w:val="single" w:color="auto" w:sz="4" w:space="0"/>
              <w:right w:val="single" w:color="auto" w:sz="4" w:space="0"/>
            </w:tcBorders>
            <w:vAlign w:val="center"/>
          </w:tcPr>
          <w:p w14:paraId="509C86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750元/年</w:t>
            </w:r>
          </w:p>
        </w:tc>
        <w:tc>
          <w:tcPr>
            <w:tcW w:w="755" w:type="dxa"/>
            <w:gridSpan w:val="2"/>
            <w:tcBorders>
              <w:top w:val="single" w:color="auto" w:sz="4" w:space="0"/>
              <w:left w:val="nil"/>
              <w:bottom w:val="single" w:color="auto" w:sz="4" w:space="0"/>
              <w:right w:val="single" w:color="000000" w:sz="4" w:space="0"/>
            </w:tcBorders>
            <w:vAlign w:val="center"/>
          </w:tcPr>
          <w:p w14:paraId="439A6A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3525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364DE08">
            <w:pPr>
              <w:widowControl/>
              <w:jc w:val="center"/>
              <w:rPr>
                <w:rFonts w:hint="eastAsia" w:ascii="宋体" w:hAnsi="宋体" w:eastAsia="宋体" w:cs="宋体"/>
                <w:color w:val="000000"/>
                <w:sz w:val="18"/>
                <w:szCs w:val="18"/>
              </w:rPr>
            </w:pPr>
          </w:p>
        </w:tc>
      </w:tr>
      <w:tr w14:paraId="6BDB50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A54B01">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921C9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D0031E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B4BF2F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6C251F8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4CA13B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81F47C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8C053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D226733">
            <w:pPr>
              <w:widowControl/>
              <w:jc w:val="center"/>
              <w:rPr>
                <w:rFonts w:hint="eastAsia" w:ascii="宋体" w:hAnsi="宋体" w:eastAsia="宋体" w:cs="宋体"/>
                <w:color w:val="000000"/>
                <w:sz w:val="18"/>
                <w:szCs w:val="18"/>
              </w:rPr>
            </w:pPr>
          </w:p>
        </w:tc>
      </w:tr>
      <w:tr w14:paraId="2A2B6CC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599C8F">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4DF5C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73924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AA7427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家长满意度</w:t>
            </w:r>
          </w:p>
        </w:tc>
        <w:tc>
          <w:tcPr>
            <w:tcW w:w="1125" w:type="dxa"/>
            <w:tcBorders>
              <w:top w:val="nil"/>
              <w:left w:val="nil"/>
              <w:bottom w:val="single" w:color="auto" w:sz="4" w:space="0"/>
              <w:right w:val="single" w:color="auto" w:sz="4" w:space="0"/>
            </w:tcBorders>
            <w:vAlign w:val="center"/>
          </w:tcPr>
          <w:p w14:paraId="77085AD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F6F28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F4CE1E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42BDA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6C75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目标值为95%，实际调查中家长均表示满意，故满意度为100%</w:t>
            </w:r>
          </w:p>
        </w:tc>
      </w:tr>
      <w:tr w14:paraId="0CA401D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10A8F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27D31E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79A6D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95.17分</w:t>
            </w:r>
          </w:p>
        </w:tc>
        <w:tc>
          <w:tcPr>
            <w:tcW w:w="1984" w:type="dxa"/>
            <w:gridSpan w:val="2"/>
            <w:tcBorders>
              <w:top w:val="single" w:color="auto" w:sz="4" w:space="0"/>
              <w:left w:val="nil"/>
              <w:bottom w:val="single" w:color="auto" w:sz="4" w:space="0"/>
              <w:right w:val="single" w:color="auto" w:sz="4" w:space="0"/>
            </w:tcBorders>
            <w:vAlign w:val="center"/>
          </w:tcPr>
          <w:p w14:paraId="6C2FA92C">
            <w:pPr>
              <w:widowControl/>
              <w:jc w:val="center"/>
              <w:rPr>
                <w:rFonts w:hint="eastAsia" w:ascii="宋体" w:hAnsi="宋体" w:eastAsia="宋体" w:cs="宋体"/>
                <w:b/>
                <w:bCs/>
                <w:color w:val="000000"/>
                <w:sz w:val="18"/>
                <w:szCs w:val="18"/>
              </w:rPr>
            </w:pPr>
          </w:p>
        </w:tc>
      </w:tr>
    </w:tbl>
    <w:p w14:paraId="772DFC8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B601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270B06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78F4C3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4E5BA4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乌财科教【2023】170号-关于提前下达2024年自治区教育项目经费（自聘教师工资补助）</w:t>
            </w:r>
          </w:p>
        </w:tc>
      </w:tr>
      <w:tr w14:paraId="6E46C04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E8BACB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3CA48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1DB187A5">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717610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乌鲁木齐市第128中学（乌鲁木齐市米东区东山中学）</w:t>
            </w:r>
          </w:p>
        </w:tc>
      </w:tr>
      <w:tr w14:paraId="0A175BD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B2B93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409CAB2">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FA1859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A0AEC9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3470ED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A98FAB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FB46C8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A36D2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FFC05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DAAA3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DA401A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E72C2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33.55</w:t>
            </w:r>
          </w:p>
        </w:tc>
        <w:tc>
          <w:tcPr>
            <w:tcW w:w="1125" w:type="dxa"/>
            <w:tcBorders>
              <w:top w:val="nil"/>
              <w:left w:val="nil"/>
              <w:bottom w:val="single" w:color="auto" w:sz="4" w:space="0"/>
              <w:right w:val="single" w:color="auto" w:sz="4" w:space="0"/>
            </w:tcBorders>
            <w:noWrap/>
            <w:vAlign w:val="center"/>
          </w:tcPr>
          <w:p w14:paraId="165FE95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55.37</w:t>
            </w:r>
          </w:p>
        </w:tc>
        <w:tc>
          <w:tcPr>
            <w:tcW w:w="1275" w:type="dxa"/>
            <w:gridSpan w:val="2"/>
            <w:tcBorders>
              <w:top w:val="single" w:color="auto" w:sz="4" w:space="0"/>
              <w:left w:val="nil"/>
              <w:bottom w:val="single" w:color="auto" w:sz="4" w:space="0"/>
              <w:right w:val="single" w:color="000000" w:sz="4" w:space="0"/>
            </w:tcBorders>
            <w:noWrap/>
            <w:vAlign w:val="center"/>
          </w:tcPr>
          <w:p w14:paraId="0F08C29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53.46</w:t>
            </w:r>
          </w:p>
        </w:tc>
        <w:tc>
          <w:tcPr>
            <w:tcW w:w="1134" w:type="dxa"/>
            <w:gridSpan w:val="2"/>
            <w:tcBorders>
              <w:top w:val="single" w:color="auto" w:sz="4" w:space="0"/>
              <w:left w:val="nil"/>
              <w:bottom w:val="single" w:color="auto" w:sz="4" w:space="0"/>
              <w:right w:val="single" w:color="auto" w:sz="4" w:space="0"/>
            </w:tcBorders>
            <w:vAlign w:val="center"/>
          </w:tcPr>
          <w:p w14:paraId="5478C7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596ED3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96.55%</w:t>
            </w:r>
          </w:p>
        </w:tc>
        <w:tc>
          <w:tcPr>
            <w:tcW w:w="1275" w:type="dxa"/>
            <w:tcBorders>
              <w:top w:val="nil"/>
              <w:left w:val="nil"/>
              <w:bottom w:val="single" w:color="auto" w:sz="4" w:space="0"/>
              <w:right w:val="single" w:color="auto" w:sz="4" w:space="0"/>
            </w:tcBorders>
            <w:vAlign w:val="center"/>
          </w:tcPr>
          <w:p w14:paraId="039F35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9.66分</w:t>
            </w:r>
          </w:p>
        </w:tc>
      </w:tr>
      <w:tr w14:paraId="173A63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C6304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0687A8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29B62D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22.48</w:t>
            </w:r>
          </w:p>
        </w:tc>
        <w:tc>
          <w:tcPr>
            <w:tcW w:w="1125" w:type="dxa"/>
            <w:tcBorders>
              <w:top w:val="nil"/>
              <w:left w:val="nil"/>
              <w:bottom w:val="single" w:color="auto" w:sz="4" w:space="0"/>
              <w:right w:val="single" w:color="auto" w:sz="4" w:space="0"/>
            </w:tcBorders>
            <w:noWrap/>
            <w:vAlign w:val="center"/>
          </w:tcPr>
          <w:p w14:paraId="548B46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44.30</w:t>
            </w:r>
          </w:p>
        </w:tc>
        <w:tc>
          <w:tcPr>
            <w:tcW w:w="1275" w:type="dxa"/>
            <w:gridSpan w:val="2"/>
            <w:tcBorders>
              <w:top w:val="single" w:color="auto" w:sz="4" w:space="0"/>
              <w:left w:val="nil"/>
              <w:bottom w:val="single" w:color="auto" w:sz="4" w:space="0"/>
              <w:right w:val="single" w:color="000000" w:sz="4" w:space="0"/>
            </w:tcBorders>
            <w:noWrap/>
            <w:vAlign w:val="center"/>
          </w:tcPr>
          <w:p w14:paraId="76C3909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42.39</w:t>
            </w:r>
          </w:p>
        </w:tc>
        <w:tc>
          <w:tcPr>
            <w:tcW w:w="1134" w:type="dxa"/>
            <w:gridSpan w:val="2"/>
            <w:tcBorders>
              <w:top w:val="single" w:color="auto" w:sz="4" w:space="0"/>
              <w:left w:val="nil"/>
              <w:bottom w:val="single" w:color="auto" w:sz="4" w:space="0"/>
              <w:right w:val="single" w:color="auto" w:sz="4" w:space="0"/>
            </w:tcBorders>
            <w:vAlign w:val="center"/>
          </w:tcPr>
          <w:p w14:paraId="275473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0733A7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8F78B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C780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12CC3C">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D3AE8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3B8D6D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11.07</w:t>
            </w:r>
          </w:p>
        </w:tc>
        <w:tc>
          <w:tcPr>
            <w:tcW w:w="1125" w:type="dxa"/>
            <w:tcBorders>
              <w:top w:val="nil"/>
              <w:left w:val="nil"/>
              <w:bottom w:val="single" w:color="auto" w:sz="4" w:space="0"/>
              <w:right w:val="single" w:color="auto" w:sz="4" w:space="0"/>
            </w:tcBorders>
            <w:noWrap/>
            <w:vAlign w:val="center"/>
          </w:tcPr>
          <w:p w14:paraId="1A9334D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11.07</w:t>
            </w:r>
          </w:p>
        </w:tc>
        <w:tc>
          <w:tcPr>
            <w:tcW w:w="1275" w:type="dxa"/>
            <w:gridSpan w:val="2"/>
            <w:tcBorders>
              <w:top w:val="single" w:color="auto" w:sz="4" w:space="0"/>
              <w:left w:val="nil"/>
              <w:bottom w:val="single" w:color="auto" w:sz="4" w:space="0"/>
              <w:right w:val="single" w:color="000000" w:sz="4" w:space="0"/>
            </w:tcBorders>
            <w:noWrap/>
            <w:vAlign w:val="center"/>
          </w:tcPr>
          <w:p w14:paraId="617BFF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11.07</w:t>
            </w:r>
          </w:p>
        </w:tc>
        <w:tc>
          <w:tcPr>
            <w:tcW w:w="1134" w:type="dxa"/>
            <w:gridSpan w:val="2"/>
            <w:tcBorders>
              <w:top w:val="single" w:color="auto" w:sz="4" w:space="0"/>
              <w:left w:val="nil"/>
              <w:bottom w:val="single" w:color="auto" w:sz="4" w:space="0"/>
              <w:right w:val="single" w:color="auto" w:sz="4" w:space="0"/>
            </w:tcBorders>
            <w:vAlign w:val="center"/>
          </w:tcPr>
          <w:p w14:paraId="0D27C0A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897AD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DA9C4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0E2D1B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0369F6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457DF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E823D8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E6222A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AD3836F">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630879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此项目通过聘请自聘教师38人并依据工资标准按时发放工资，同工同酬按照职务等级标准进行发放，月工资标准不高于6000元/人/月，代课教师工资按照4950元/人/月的标准进行发放，代课绩效工资350元/月，同工同酬绩效工资690元/月。此项目的实施可有效保障我校自聘教师基本生活待遇，保障我校教师队伍稳定性，保障我校教育教学工作正常开展。</w:t>
            </w:r>
          </w:p>
        </w:tc>
        <w:tc>
          <w:tcPr>
            <w:tcW w:w="4677" w:type="dxa"/>
            <w:gridSpan w:val="7"/>
            <w:tcBorders>
              <w:top w:val="single" w:color="auto" w:sz="4" w:space="0"/>
              <w:left w:val="nil"/>
              <w:bottom w:val="single" w:color="auto" w:sz="4" w:space="0"/>
              <w:right w:val="single" w:color="000000" w:sz="4" w:space="0"/>
            </w:tcBorders>
          </w:tcPr>
          <w:p w14:paraId="33BC199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此项目完成了聘用教师38人工资并依据工资标准按时发放工资，保障了资金发放的准确性，弥补了现有师资力量的不足，保障了学校各项正常教学工作的完成；调动了代课教师的工作热情和积极性，提高了教学质量和教师的工作效率，提高了受益对象的满意度。</w:t>
            </w:r>
          </w:p>
        </w:tc>
      </w:tr>
      <w:tr w14:paraId="2184D1B4">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3C0B79A">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6412BAB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0557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149776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BB5A40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78CFD1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062B26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B1B39B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2F86B4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601BE7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F912491">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D38D89D">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3A5FEA1">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2CF70DE">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5AD0AE8E">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28AD1C9">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E362616">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250DDA9">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474248">
            <w:pPr>
              <w:widowControl/>
              <w:jc w:val="left"/>
              <w:rPr>
                <w:rFonts w:hint="eastAsia" w:ascii="宋体" w:hAnsi="宋体" w:eastAsia="宋体" w:cs="宋体"/>
                <w:color w:val="000000"/>
                <w:sz w:val="18"/>
                <w:szCs w:val="18"/>
              </w:rPr>
            </w:pPr>
          </w:p>
        </w:tc>
      </w:tr>
      <w:tr w14:paraId="2CA68CF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DA0863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8941E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51918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A9E17F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同工同酬教师数量</w:t>
            </w:r>
          </w:p>
        </w:tc>
        <w:tc>
          <w:tcPr>
            <w:tcW w:w="1125" w:type="dxa"/>
            <w:tcBorders>
              <w:top w:val="nil"/>
              <w:left w:val="nil"/>
              <w:bottom w:val="single" w:color="auto" w:sz="4" w:space="0"/>
              <w:right w:val="single" w:color="auto" w:sz="4" w:space="0"/>
            </w:tcBorders>
            <w:vAlign w:val="center"/>
          </w:tcPr>
          <w:p w14:paraId="6E0FBA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w:t>
            </w:r>
          </w:p>
        </w:tc>
        <w:tc>
          <w:tcPr>
            <w:tcW w:w="1229" w:type="dxa"/>
            <w:tcBorders>
              <w:top w:val="nil"/>
              <w:left w:val="nil"/>
              <w:bottom w:val="single" w:color="auto" w:sz="4" w:space="0"/>
              <w:right w:val="single" w:color="auto" w:sz="4" w:space="0"/>
            </w:tcBorders>
            <w:vAlign w:val="center"/>
          </w:tcPr>
          <w:p w14:paraId="6BE4DC7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417479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E01FC6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185C0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因学校班级扩招继续在招聘1人</w:t>
            </w:r>
          </w:p>
        </w:tc>
      </w:tr>
      <w:tr w14:paraId="51E0E9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ADF64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4BA9F28">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7B0A606">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967E9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代课教师数量</w:t>
            </w:r>
          </w:p>
        </w:tc>
        <w:tc>
          <w:tcPr>
            <w:tcW w:w="1125" w:type="dxa"/>
            <w:tcBorders>
              <w:top w:val="nil"/>
              <w:left w:val="nil"/>
              <w:bottom w:val="single" w:color="auto" w:sz="4" w:space="0"/>
              <w:right w:val="single" w:color="auto" w:sz="4" w:space="0"/>
            </w:tcBorders>
            <w:vAlign w:val="center"/>
          </w:tcPr>
          <w:p w14:paraId="2D3066D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&gt;=32人</w:t>
            </w:r>
          </w:p>
        </w:tc>
        <w:tc>
          <w:tcPr>
            <w:tcW w:w="1229" w:type="dxa"/>
            <w:tcBorders>
              <w:top w:val="nil"/>
              <w:left w:val="nil"/>
              <w:bottom w:val="single" w:color="auto" w:sz="4" w:space="0"/>
              <w:right w:val="single" w:color="auto" w:sz="4" w:space="0"/>
            </w:tcBorders>
            <w:vAlign w:val="center"/>
          </w:tcPr>
          <w:p w14:paraId="128BDB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32人</w:t>
            </w:r>
          </w:p>
        </w:tc>
        <w:tc>
          <w:tcPr>
            <w:tcW w:w="755" w:type="dxa"/>
            <w:gridSpan w:val="2"/>
            <w:tcBorders>
              <w:top w:val="single" w:color="auto" w:sz="4" w:space="0"/>
              <w:left w:val="nil"/>
              <w:bottom w:val="single" w:color="auto" w:sz="4" w:space="0"/>
              <w:right w:val="single" w:color="000000" w:sz="4" w:space="0"/>
            </w:tcBorders>
            <w:vAlign w:val="center"/>
          </w:tcPr>
          <w:p w14:paraId="717F5A2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BC26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AA6B4F">
            <w:pPr>
              <w:widowControl/>
              <w:jc w:val="center"/>
              <w:rPr>
                <w:rFonts w:hint="eastAsia" w:ascii="宋体" w:hAnsi="宋体" w:eastAsia="宋体" w:cs="宋体"/>
                <w:color w:val="000000"/>
                <w:sz w:val="18"/>
                <w:szCs w:val="18"/>
              </w:rPr>
            </w:pPr>
          </w:p>
        </w:tc>
      </w:tr>
      <w:tr w14:paraId="743D57F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E3CB84">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E7CE2ED">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F0A3F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819FBD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0F8A55A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0B104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5E41C4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B8F5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D6B4495">
            <w:pPr>
              <w:widowControl/>
              <w:jc w:val="center"/>
              <w:rPr>
                <w:rFonts w:hint="eastAsia" w:ascii="宋体" w:hAnsi="宋体" w:eastAsia="宋体" w:cs="宋体"/>
                <w:color w:val="000000"/>
                <w:sz w:val="18"/>
                <w:szCs w:val="18"/>
              </w:rPr>
            </w:pPr>
          </w:p>
        </w:tc>
      </w:tr>
      <w:tr w14:paraId="21E3D6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BF6CF6">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556CD24">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D46AFA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2B47AE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73664A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6897A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E94C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0E15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ED8ACD">
            <w:pPr>
              <w:widowControl/>
              <w:jc w:val="center"/>
              <w:rPr>
                <w:rFonts w:hint="eastAsia" w:ascii="宋体" w:hAnsi="宋体" w:eastAsia="宋体" w:cs="宋体"/>
                <w:color w:val="000000"/>
                <w:sz w:val="18"/>
                <w:szCs w:val="18"/>
              </w:rPr>
            </w:pPr>
          </w:p>
        </w:tc>
      </w:tr>
      <w:tr w14:paraId="320F7B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B2DB08">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31A35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447CC8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26C1A2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同工同酬教师工资标准</w:t>
            </w:r>
          </w:p>
        </w:tc>
        <w:tc>
          <w:tcPr>
            <w:tcW w:w="1125" w:type="dxa"/>
            <w:tcBorders>
              <w:top w:val="nil"/>
              <w:left w:val="nil"/>
              <w:bottom w:val="single" w:color="auto" w:sz="4" w:space="0"/>
              <w:right w:val="single" w:color="auto" w:sz="4" w:space="0"/>
            </w:tcBorders>
            <w:vAlign w:val="center"/>
          </w:tcPr>
          <w:p w14:paraId="1C386DD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&lt;=5904元/月</w:t>
            </w:r>
          </w:p>
        </w:tc>
        <w:tc>
          <w:tcPr>
            <w:tcW w:w="1229" w:type="dxa"/>
            <w:tcBorders>
              <w:top w:val="nil"/>
              <w:left w:val="nil"/>
              <w:bottom w:val="single" w:color="auto" w:sz="4" w:space="0"/>
              <w:right w:val="single" w:color="auto" w:sz="4" w:space="0"/>
            </w:tcBorders>
            <w:vAlign w:val="center"/>
          </w:tcPr>
          <w:p w14:paraId="20F77E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5940元/月</w:t>
            </w:r>
          </w:p>
        </w:tc>
        <w:tc>
          <w:tcPr>
            <w:tcW w:w="755" w:type="dxa"/>
            <w:gridSpan w:val="2"/>
            <w:tcBorders>
              <w:top w:val="single" w:color="auto" w:sz="4" w:space="0"/>
              <w:left w:val="nil"/>
              <w:bottom w:val="single" w:color="auto" w:sz="4" w:space="0"/>
              <w:right w:val="single" w:color="000000" w:sz="4" w:space="0"/>
            </w:tcBorders>
            <w:vAlign w:val="center"/>
          </w:tcPr>
          <w:p w14:paraId="45C5160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26D05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0C842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绩效目标值为5904元/月，因绩效目标填报时将金额填成实发工资，现取平均数，导致有所偏差</w:t>
            </w:r>
          </w:p>
        </w:tc>
      </w:tr>
      <w:tr w14:paraId="20911A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31B6D5">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B2B711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97E6348">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503ED67">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1B0CE62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&lt;=4950元/月</w:t>
            </w:r>
          </w:p>
        </w:tc>
        <w:tc>
          <w:tcPr>
            <w:tcW w:w="1229" w:type="dxa"/>
            <w:tcBorders>
              <w:top w:val="nil"/>
              <w:left w:val="nil"/>
              <w:bottom w:val="single" w:color="auto" w:sz="4" w:space="0"/>
              <w:right w:val="single" w:color="auto" w:sz="4" w:space="0"/>
            </w:tcBorders>
            <w:vAlign w:val="center"/>
          </w:tcPr>
          <w:p w14:paraId="4D1A6EE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w:t>
            </w:r>
          </w:p>
        </w:tc>
        <w:tc>
          <w:tcPr>
            <w:tcW w:w="755" w:type="dxa"/>
            <w:gridSpan w:val="2"/>
            <w:tcBorders>
              <w:top w:val="single" w:color="auto" w:sz="4" w:space="0"/>
              <w:left w:val="nil"/>
              <w:bottom w:val="single" w:color="auto" w:sz="4" w:space="0"/>
              <w:right w:val="single" w:color="000000" w:sz="4" w:space="0"/>
            </w:tcBorders>
            <w:vAlign w:val="center"/>
          </w:tcPr>
          <w:p w14:paraId="2B8A19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4BF25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07F4B26">
            <w:pPr>
              <w:widowControl/>
              <w:jc w:val="center"/>
              <w:rPr>
                <w:rFonts w:hint="eastAsia" w:ascii="宋体" w:hAnsi="宋体" w:eastAsia="宋体" w:cs="宋体"/>
                <w:color w:val="000000"/>
                <w:sz w:val="18"/>
                <w:szCs w:val="18"/>
              </w:rPr>
            </w:pPr>
          </w:p>
        </w:tc>
      </w:tr>
      <w:tr w14:paraId="74ECAB7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F306E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E78D84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30795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E3B20FD">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保障教学正常开展</w:t>
            </w:r>
          </w:p>
        </w:tc>
        <w:tc>
          <w:tcPr>
            <w:tcW w:w="1125" w:type="dxa"/>
            <w:tcBorders>
              <w:top w:val="nil"/>
              <w:left w:val="nil"/>
              <w:bottom w:val="single" w:color="auto" w:sz="4" w:space="0"/>
              <w:right w:val="single" w:color="auto" w:sz="4" w:space="0"/>
            </w:tcBorders>
            <w:vAlign w:val="center"/>
          </w:tcPr>
          <w:p w14:paraId="1FCBD8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ED3CF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C2E30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34FEBB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7B12DD54">
            <w:pPr>
              <w:widowControl/>
              <w:jc w:val="center"/>
              <w:rPr>
                <w:rFonts w:hint="eastAsia" w:ascii="宋体" w:hAnsi="宋体" w:eastAsia="宋体" w:cs="宋体"/>
                <w:color w:val="000000"/>
                <w:sz w:val="18"/>
                <w:szCs w:val="18"/>
              </w:rPr>
            </w:pPr>
          </w:p>
        </w:tc>
      </w:tr>
      <w:tr w14:paraId="22D736F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64FAF4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FC6678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E1AAC2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99.66分</w:t>
            </w:r>
          </w:p>
        </w:tc>
        <w:tc>
          <w:tcPr>
            <w:tcW w:w="1984" w:type="dxa"/>
            <w:gridSpan w:val="2"/>
            <w:tcBorders>
              <w:top w:val="single" w:color="auto" w:sz="4" w:space="0"/>
              <w:left w:val="nil"/>
              <w:bottom w:val="single" w:color="auto" w:sz="4" w:space="0"/>
              <w:right w:val="single" w:color="auto" w:sz="4" w:space="0"/>
            </w:tcBorders>
            <w:vAlign w:val="center"/>
          </w:tcPr>
          <w:p w14:paraId="442202AD">
            <w:pPr>
              <w:widowControl/>
              <w:jc w:val="center"/>
              <w:rPr>
                <w:rFonts w:hint="eastAsia" w:ascii="宋体" w:hAnsi="宋体" w:eastAsia="宋体" w:cs="宋体"/>
                <w:b/>
                <w:bCs/>
                <w:color w:val="000000"/>
                <w:sz w:val="18"/>
                <w:szCs w:val="18"/>
              </w:rPr>
            </w:pPr>
          </w:p>
        </w:tc>
      </w:tr>
    </w:tbl>
    <w:p w14:paraId="3FC42B1D">
      <w:pPr>
        <w:widowControl/>
        <w:ind w:firstLine="640" w:firstLineChars="200"/>
        <w:rPr>
          <w:rFonts w:ascii="仿宋_GB2312" w:eastAsia="仿宋_GB2312"/>
          <w:sz w:val="32"/>
          <w:szCs w:val="32"/>
        </w:rPr>
      </w:pPr>
      <w:r>
        <w:rPr>
          <w:rFonts w:ascii="仿宋_GB2312" w:eastAsia="仿宋_GB2312"/>
          <w:sz w:val="32"/>
          <w:szCs w:val="32"/>
        </w:rPr>
        <w:br w:type="page"/>
      </w:r>
    </w:p>
    <w:p w14:paraId="3D2E87F0">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312C197D">
      <w:pPr>
        <w:widowControl/>
        <w:ind w:firstLine="640" w:firstLineChars="200"/>
        <w:jc w:val="left"/>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1FB75191">
      <w:pPr>
        <w:widowControl/>
      </w:pPr>
      <w:r>
        <w:rPr>
          <w:sz w:val="0"/>
          <w:szCs w:val="0"/>
        </w:rPr>
        <w:br w:type="page"/>
      </w:r>
    </w:p>
    <w:p w14:paraId="3DA75172">
      <w:pPr>
        <w:widowControl/>
        <w:jc w:val="center"/>
        <w:outlineLvl w:val="0"/>
        <w:rPr>
          <w:rFonts w:ascii="黑体" w:eastAsia="黑体"/>
          <w:sz w:val="32"/>
          <w:szCs w:val="32"/>
        </w:rPr>
      </w:pPr>
      <w:r>
        <w:rPr>
          <w:rFonts w:ascii="黑体" w:eastAsia="黑体"/>
          <w:sz w:val="32"/>
          <w:szCs w:val="32"/>
        </w:rPr>
        <w:t>第三部分 专业名词解释</w:t>
      </w:r>
    </w:p>
    <w:p w14:paraId="617024E6">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3DECB00">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F92777C">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6FF80BD0">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78D3049">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30DF31FE">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50FF94F9">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5337A0EE">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6F747AE">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7A63D991">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3CF7841B">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1E5B1952">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68BDB392">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5051D95">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2F56994">
      <w:pPr>
        <w:widowControl/>
      </w:pPr>
      <w:r>
        <w:rPr>
          <w:sz w:val="0"/>
          <w:szCs w:val="0"/>
        </w:rPr>
        <w:br w:type="page"/>
      </w:r>
    </w:p>
    <w:p w14:paraId="671EB0D8">
      <w:pPr>
        <w:widowControl/>
        <w:jc w:val="center"/>
        <w:outlineLvl w:val="0"/>
        <w:rPr>
          <w:rFonts w:ascii="黑体" w:eastAsia="黑体"/>
          <w:sz w:val="32"/>
          <w:szCs w:val="32"/>
        </w:rPr>
      </w:pPr>
      <w:r>
        <w:rPr>
          <w:rFonts w:ascii="黑体" w:eastAsia="黑体"/>
          <w:sz w:val="32"/>
          <w:szCs w:val="32"/>
        </w:rPr>
        <w:t>第四部分 部门决算报表（见附表）</w:t>
      </w:r>
    </w:p>
    <w:p w14:paraId="6E4B8246">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56D13745">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1174D723">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00353DF9">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13EA8438">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7921B810">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00AAD361">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71E39F73">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FCA852B">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9CB6BBC"/>
    <w:multiLevelType w:val="singleLevel"/>
    <w:tmpl w:val="19CB6BBC"/>
    <w:lvl w:ilvl="0" w:tentative="0">
      <w:start w:val="1"/>
      <w:numFmt w:val="chineseCounting"/>
      <w:suff w:val="nothing"/>
      <w:lvlText w:val="%1、"/>
      <w:lvlJc w:val="left"/>
      <w:pPr>
        <w:ind w:left="712" w:firstLine="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415D21"/>
    <w:rsid w:val="00415D21"/>
    <w:rsid w:val="00781D68"/>
    <w:rsid w:val="00E82607"/>
    <w:rsid w:val="38FA622F"/>
    <w:rsid w:val="53015E7B"/>
    <w:rsid w:val="5B3D29B9"/>
    <w:rsid w:val="73F14818"/>
    <w:rsid w:val="7A2C2B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8638</Words>
  <Characters>9694</Characters>
  <Lines>611</Lines>
  <Paragraphs>496</Paragraphs>
  <TotalTime>12</TotalTime>
  <ScaleCrop>false</ScaleCrop>
  <LinksUpToDate>false</LinksUpToDate>
  <CharactersWithSpaces>9704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2025-09-29T04:48:00Z</dcterms:created>
  <dc:creator>回上.LAPTOP-7R4U860U</dc:creator>
  <cp:lastModifiedBy>辣庅小</cp:lastModifiedBy>
  <dcterms:modified xsi:type="dcterms:W3CDTF">2025-10-15T04:57:01Z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eyJoZGlkIjoiYWZhNmNkZGMwMmRmY2FjMGFhZmQ4ZTZmODZiNzQyZDciLCJ1c2VySWQiOiI0NzAwMzQxNzAifQ==</vt:lpwstr>
  </property>
  <property fmtid="{D5CDD505-2E9C-101B-9397-08002B2CF9AE}" pid="4" name="ICV">
    <vt:lpwstr>1121DE7CB39A4F908C24000AA79D4EDD_12</vt:lpwstr>
  </property>
</Properties>
</file>