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B461DB4">
      <w:pPr>
        <w:widowControl/>
        <w:spacing w:before="0" w:beforeLines="0" w:beforeAutospacing="0" w:after="0" w:afterLines="0" w:afterAutospacing="0" w:line="240" w:lineRule="auto"/>
        <w:jc w:val="left"/>
        <w:rPr>
          <w:rFonts w:ascii="宋体" w:eastAsia="宋体"/>
          <w:sz w:val="32"/>
          <w:szCs w:val="32"/>
        </w:rPr>
      </w:pPr>
    </w:p>
    <w:p w14:paraId="455378C0">
      <w:pPr>
        <w:widowControl/>
        <w:spacing w:before="0" w:beforeLines="0" w:beforeAutospacing="0" w:after="0" w:afterLines="0" w:afterAutospacing="0" w:line="240" w:lineRule="auto"/>
        <w:jc w:val="left"/>
        <w:rPr>
          <w:rFonts w:ascii="宋体" w:eastAsia="宋体"/>
          <w:sz w:val="44"/>
          <w:szCs w:val="44"/>
        </w:rPr>
      </w:pPr>
    </w:p>
    <w:p w14:paraId="2D907B89">
      <w:pPr>
        <w:widowControl/>
        <w:spacing w:before="0" w:beforeLines="0" w:beforeAutospacing="0" w:after="0" w:afterLines="0" w:afterAutospacing="0" w:line="240" w:lineRule="auto"/>
        <w:jc w:val="left"/>
        <w:rPr>
          <w:rFonts w:ascii="宋体" w:eastAsia="宋体"/>
          <w:sz w:val="44"/>
          <w:szCs w:val="44"/>
        </w:rPr>
      </w:pPr>
    </w:p>
    <w:p w14:paraId="2042888F">
      <w:pPr>
        <w:widowControl/>
        <w:spacing w:before="0" w:beforeLines="0" w:beforeAutospacing="0" w:after="0" w:afterLines="0" w:afterAutospacing="0" w:line="240" w:lineRule="auto"/>
        <w:jc w:val="left"/>
        <w:rPr>
          <w:rFonts w:ascii="宋体" w:eastAsia="宋体"/>
          <w:sz w:val="44"/>
          <w:szCs w:val="44"/>
        </w:rPr>
      </w:pPr>
    </w:p>
    <w:p w14:paraId="3A57B606">
      <w:pPr>
        <w:widowControl/>
        <w:spacing w:before="0" w:beforeLines="0" w:beforeAutospacing="0" w:after="0" w:afterLines="0" w:afterAutospacing="0" w:line="240" w:lineRule="auto"/>
        <w:jc w:val="center"/>
        <w:outlineLvl w:val="0"/>
        <w:rPr>
          <w:rFonts w:ascii="宋体" w:eastAsia="黑体"/>
          <w:sz w:val="44"/>
          <w:szCs w:val="44"/>
        </w:rPr>
      </w:pPr>
      <w:r>
        <w:rPr>
          <w:rFonts w:ascii="宋体" w:eastAsia="黑体"/>
          <w:b w:val="0"/>
          <w:sz w:val="44"/>
          <w:szCs w:val="44"/>
        </w:rPr>
        <w:t>乌鲁木齐市米东区市场监督管理局（知识产权局、市场监管综合行政执法队）</w:t>
      </w:r>
    </w:p>
    <w:p w14:paraId="75887B9A">
      <w:pPr>
        <w:widowControl/>
        <w:spacing w:before="0" w:beforeLines="0" w:beforeAutospacing="0" w:after="0" w:afterLines="0" w:afterAutospacing="0" w:line="240" w:lineRule="auto"/>
        <w:jc w:val="center"/>
        <w:outlineLvl w:val="0"/>
        <w:rPr>
          <w:rFonts w:ascii="黑体" w:eastAsia="黑体"/>
          <w:sz w:val="44"/>
          <w:szCs w:val="44"/>
        </w:rPr>
      </w:pPr>
      <w:r>
        <w:rPr>
          <w:rFonts w:ascii="黑体" w:eastAsia="黑体"/>
          <w:b w:val="0"/>
          <w:sz w:val="44"/>
          <w:szCs w:val="44"/>
        </w:rPr>
        <w:t>2024年度部门决算公开说明</w:t>
      </w:r>
    </w:p>
    <w:p w14:paraId="159BD851">
      <w:pPr>
        <w:widowControl/>
      </w:pPr>
      <w:r>
        <w:rPr>
          <w:b w:val="0"/>
          <w:sz w:val="0"/>
          <w:szCs w:val="0"/>
        </w:rPr>
        <w:br w:type="page"/>
      </w:r>
    </w:p>
    <w:p w14:paraId="25BA5585">
      <w:pPr>
        <w:widowControl/>
        <w:spacing w:before="0" w:beforeLines="0" w:beforeAutospacing="0" w:after="0" w:afterLines="0" w:afterAutospacing="0" w:line="240" w:lineRule="auto"/>
        <w:jc w:val="center"/>
        <w:rPr>
          <w:rFonts w:ascii="黑体" w:eastAsia="黑体"/>
          <w:sz w:val="32"/>
          <w:szCs w:val="32"/>
        </w:rPr>
      </w:pPr>
      <w:r>
        <w:rPr>
          <w:rFonts w:ascii="黑体" w:eastAsia="黑体"/>
          <w:b/>
          <w:sz w:val="32"/>
          <w:szCs w:val="32"/>
        </w:rPr>
        <w:t>目</w:t>
      </w:r>
      <w:r>
        <w:rPr>
          <w:rFonts w:hint="eastAsia" w:ascii="黑体" w:eastAsia="黑体"/>
          <w:b/>
          <w:sz w:val="32"/>
          <w:szCs w:val="32"/>
          <w:lang w:val="en-US" w:eastAsia="zh-CN"/>
        </w:rPr>
        <w:t xml:space="preserve"> </w:t>
      </w:r>
      <w:r>
        <w:rPr>
          <w:rFonts w:ascii="黑体" w:eastAsia="黑体"/>
          <w:b/>
          <w:sz w:val="32"/>
          <w:szCs w:val="32"/>
        </w:rPr>
        <w:t xml:space="preserve"> 录</w:t>
      </w:r>
    </w:p>
    <w:p w14:paraId="5BF1FFD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第一部分</w:t>
      </w:r>
      <w:r>
        <w:rPr>
          <w:rFonts w:hint="eastAsia" w:ascii="仿宋_GB2312" w:eastAsia="仿宋_GB2312"/>
          <w:b/>
          <w:sz w:val="32"/>
          <w:szCs w:val="32"/>
          <w:lang w:val="en-US" w:eastAsia="zh-CN"/>
        </w:rPr>
        <w:t xml:space="preserve"> </w:t>
      </w:r>
      <w:r>
        <w:rPr>
          <w:rFonts w:ascii="仿宋_GB2312" w:eastAsia="仿宋_GB2312"/>
          <w:b/>
          <w:sz w:val="32"/>
          <w:szCs w:val="32"/>
        </w:rPr>
        <w:t>单位概况</w:t>
      </w:r>
    </w:p>
    <w:p w14:paraId="61E847A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一、主要职能</w:t>
      </w:r>
    </w:p>
    <w:p w14:paraId="012A822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二、机构设置及人员情况</w:t>
      </w:r>
    </w:p>
    <w:p w14:paraId="754DFC8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第二部分 部门决算情况说明</w:t>
      </w:r>
    </w:p>
    <w:p w14:paraId="7D0057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一、收入支出决算总体情况说明</w:t>
      </w:r>
    </w:p>
    <w:p w14:paraId="3570475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二、收入决算情况说明</w:t>
      </w:r>
    </w:p>
    <w:p w14:paraId="1113731C">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三、支出决算情况说明</w:t>
      </w:r>
    </w:p>
    <w:p w14:paraId="0B3C364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四、财政拨款收入支出决算总体情况说明</w:t>
      </w:r>
    </w:p>
    <w:p w14:paraId="7D4B5F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五、一般公共预算财政拨款支出决算情况说明</w:t>
      </w:r>
    </w:p>
    <w:p w14:paraId="327CDD20">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（一）一般公共预算财政拨款支出决算总体情况</w:t>
      </w:r>
    </w:p>
    <w:p w14:paraId="531E5C1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（二）一般公共预算财政拨款支出决算结构情况</w:t>
      </w:r>
    </w:p>
    <w:p w14:paraId="3029C99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（三）一般公共预算财政拨款支出决算具体情况</w:t>
      </w:r>
    </w:p>
    <w:p w14:paraId="522B5F44">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​六、一般公共预算财政拨款基本支出决算情况说明</w:t>
      </w:r>
    </w:p>
    <w:p w14:paraId="529727E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七、政府性基金预算财政拨款收入支出决算情况说明</w:t>
      </w:r>
    </w:p>
    <w:p w14:paraId="5B7F99E1">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八、国有资本经营预算财政拨款收入支出决算情况说明</w:t>
      </w:r>
    </w:p>
    <w:p w14:paraId="67CB40B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九、财政拨款“三公”经费支出决算情况说明</w:t>
      </w:r>
    </w:p>
    <w:p w14:paraId="466E72CF">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​十、其他重要事项的情况说明</w:t>
      </w:r>
    </w:p>
    <w:p w14:paraId="7B974D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（一）机关运行经费及公用经费支出情况</w:t>
      </w:r>
    </w:p>
    <w:p w14:paraId="1EE6602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（二）政府采购情况</w:t>
      </w:r>
    </w:p>
    <w:p w14:paraId="001533F2">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（三）国有资产占用情况说明</w:t>
      </w:r>
    </w:p>
    <w:p w14:paraId="0FFC85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十一、预算绩效的情况说明</w:t>
      </w:r>
    </w:p>
    <w:p w14:paraId="42548A4A">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十二、其他需说明的事项</w:t>
      </w:r>
    </w:p>
    <w:p w14:paraId="2B78955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第三部分 专业名词解释</w:t>
      </w:r>
    </w:p>
    <w:p w14:paraId="3B9C864E">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sz w:val="32"/>
          <w:szCs w:val="32"/>
        </w:rPr>
        <w:t>第四部分 部门决算报表（见附表）</w:t>
      </w:r>
    </w:p>
    <w:p w14:paraId="3A7BA23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一、《收入支出决算总表》</w:t>
      </w:r>
    </w:p>
    <w:p w14:paraId="503DD78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二、《收入决算表》</w:t>
      </w:r>
    </w:p>
    <w:p w14:paraId="78E38BE6">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三、《支出决算表》</w:t>
      </w:r>
    </w:p>
    <w:p w14:paraId="5592663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四、《财政拨款收入支出决算总表》</w:t>
      </w:r>
    </w:p>
    <w:p w14:paraId="26DC792B">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五、《一般公共预算财政拨款支出决算表》</w:t>
      </w:r>
    </w:p>
    <w:p w14:paraId="19825A65">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六、《一般公共预算财政拨款基本支出决算表》</w:t>
      </w:r>
    </w:p>
    <w:p w14:paraId="7D5A4F67">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七、《政府性基金预算财政拨款收入支出决算表》</w:t>
      </w:r>
    </w:p>
    <w:p w14:paraId="7269D5A3">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八、《国有资本经营预算财政拨款收入支出决算表》</w:t>
      </w:r>
    </w:p>
    <w:p w14:paraId="785FEC98">
      <w:pPr>
        <w:widowControl/>
        <w:spacing w:before="0" w:beforeLines="0" w:beforeAutospacing="0" w:after="0" w:afterLines="0" w:afterAutospacing="0" w:line="240" w:lineRule="auto"/>
        <w:jc w:val="left"/>
        <w:rPr>
          <w:rFonts w:ascii="仿宋_GB2312" w:eastAsia="仿宋_GB2312"/>
          <w:sz w:val="32"/>
          <w:szCs w:val="32"/>
        </w:rPr>
      </w:pPr>
      <w:r>
        <w:rPr>
          <w:rFonts w:ascii="仿宋_GB2312" w:eastAsia="仿宋_GB2312"/>
          <w:b w:val="0"/>
          <w:sz w:val="32"/>
          <w:szCs w:val="32"/>
        </w:rPr>
        <w:t>九、《财政拨款“三公”经费支出决算表》</w:t>
      </w:r>
    </w:p>
    <w:p w14:paraId="1FD435A3">
      <w:pPr>
        <w:widowControl/>
      </w:pPr>
      <w:r>
        <w:rPr>
          <w:b w:val="0"/>
          <w:sz w:val="0"/>
          <w:szCs w:val="0"/>
        </w:rPr>
        <w:br w:type="page"/>
      </w:r>
    </w:p>
    <w:p w14:paraId="313B9397">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第一部分</w:t>
      </w:r>
      <w:r>
        <w:rPr>
          <w:rFonts w:hint="eastAsia" w:ascii="黑体" w:eastAsia="黑体"/>
          <w:b w:val="0"/>
          <w:sz w:val="32"/>
          <w:szCs w:val="32"/>
          <w:lang w:val="en-US" w:eastAsia="zh-CN"/>
        </w:rPr>
        <w:t xml:space="preserve"> </w:t>
      </w:r>
      <w:r>
        <w:rPr>
          <w:rFonts w:ascii="黑体" w:eastAsia="黑体"/>
          <w:b w:val="0"/>
          <w:sz w:val="32"/>
          <w:szCs w:val="32"/>
        </w:rPr>
        <w:t>单位概况</w:t>
      </w:r>
    </w:p>
    <w:p w14:paraId="2415EAC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一、主要职能</w:t>
      </w:r>
    </w:p>
    <w:p w14:paraId="4DFFFA49">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(一)负责本辖区市场综合监督管理和知识产权管理。贯彻执行国家、自治区、乌鲁木齐市和我区有关市场监督管理和知识产权管理的方针、政策和</w:t>
      </w:r>
      <w:r>
        <w:rPr>
          <w:rFonts w:hint="eastAsia" w:ascii="仿宋_GB2312" w:eastAsia="仿宋_GB2312"/>
          <w:b w:val="0"/>
          <w:sz w:val="32"/>
          <w:szCs w:val="32"/>
          <w:lang w:eastAsia="zh-CN"/>
        </w:rPr>
        <w:t>法律法规</w:t>
      </w:r>
      <w:r>
        <w:rPr>
          <w:rFonts w:ascii="仿宋_GB2312" w:eastAsia="仿宋_GB2312"/>
          <w:b w:val="0"/>
          <w:sz w:val="32"/>
          <w:szCs w:val="32"/>
        </w:rPr>
        <w:t>及相关规章标准;组织实施质量强区战略、食品药品安全战略、标准化战略和知识产权战略;拟订并组织实施市场监督管理工作中长期规划、年度计划,规范和维护市场秩序,营造诚实守信、公平竞争的市场环境。</w:t>
      </w:r>
    </w:p>
    <w:p w14:paraId="6BC063A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二)负责本辖区市场主体统一登记注册。组织实施商事制度改革;负责各类企业、农民专业合作社和从事经营活动的单位、个体工商户等市场主体的登记注册和监督管理工作;建立市场主体信息公示和共享机制,依法公示和共享有关信息,加强信用监管,推动市场主体信用体系建设。</w:t>
      </w:r>
    </w:p>
    <w:p w14:paraId="70657F7A">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(三)负责本辖区组织指导市场监管和知识产权综合执法工作。推动实行统一的市场监管;规范市场监管和知识产权行政执法行为。</w:t>
      </w:r>
    </w:p>
    <w:p w14:paraId="4BFBF70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四)负责本辖区监督管理市场秩序。依法监督管理市场交易,网络商品交易及有关服务的行为;组织指导查处价格收费违法违规、不正当竞争、违法直销、传销、侵犯商标专利知识产权和制售假冒伪劣商品行为;依法实施合同行政监督管理,指导、监督管理动产抵押物登记和拍卖行为;指导广告业发展,监督管理广告活动;指导查处无照生产经营和相关无证生产经营行为指导市消费者协会开展消费维权工作。</w:t>
      </w:r>
    </w:p>
    <w:p w14:paraId="7C1FB51E">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五)负责本辖区宏观质量管理。拟订并实施质量发展的制度措施;统筹质量基础设施建设与应用,会同有关部门组织实施重大工程设备质量监理制度,组织重大质量事故调查,组织实施缺陷产品召回制度,监督管理产品防伪工作。</w:t>
      </w:r>
    </w:p>
    <w:p w14:paraId="670507A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(六)负责本辖区产品质量安全监督管理。管理产品质量监督抽查、风险监控工作;组织实施质量分级制度、质量安全追溯制度;推进产品质量诚信体系建设;负责工业产品生产许可证的监督管理。</w:t>
      </w:r>
    </w:p>
    <w:p w14:paraId="1817BBA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(七)负责本辖区特种设备安全监督管理。综合管理特种设备安全监察、监督工作,监督检查高耗能特种设备节能标准和锅炉环境保护标准的执行情况。</w:t>
      </w:r>
    </w:p>
    <w:p w14:paraId="7E4EFA3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(八)负责本辖区食品安全监督管理综合协调。负责食品安全应急体系建设,组织指导重大食品安全事件应急处置和调查处理工作;落实食品安全重要信息直报制度。</w:t>
      </w:r>
    </w:p>
    <w:p w14:paraId="18BA675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九)负责本辖区食品安全监督管理。建立覆盖食品生产、流通、消费全过程的监督检查制度和隐患排查治理机制并组织实施,防范区域性、系统性食品安全风险;推动建立食品生产经营者落实主体责任的机制,健全食品安全追溯体系;组织开展食品安全监督抽检、风险监测、检查处置和风险预警、风险交流工作;组织实施特殊食品注册核查、备案和监督管理。</w:t>
      </w:r>
    </w:p>
    <w:p w14:paraId="0465AEC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负责本辖区药品(含中药、民族药,下同)医疗器械和化妆品安全监督管理。监督实施药品、医疗器械、化妆品标准和分类管理制度,配合实施国家基本药物制度;监督、指导实施药品、化妆品经营和使用质量管理规范;监督、指导实施医疗器械生产、经营和使用质量管理规范;负责药品、医疗器械和化妆品上市后风险管理,组织、开展药品、化妆品不良反应和医疗器械不良事件监测、评价和处置工作;依法承担药品、医疗器械和化妆品安全应急管理。</w:t>
      </w:r>
    </w:p>
    <w:p w14:paraId="2DC1046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一)负责本辖区统一管理计量工作。执行国家计量制度,推行国家法定计量单位,依法管理计量器,组织量值传递,开展强制检定工作;规范、监督商品量和市场计量行为;负责对计量检定机构及检定人员的资质资格进行监督管理。</w:t>
      </w:r>
    </w:p>
    <w:p w14:paraId="4DE6D18B">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(十二)负责本辖区统一管理标准化工作。依法承担地方标准的立项、编号和批准发布等工作;依法协调指导团体标准、企业标准制定工作;管理和指导标准化试点示范项目。</w:t>
      </w:r>
    </w:p>
    <w:p w14:paraId="50131C90">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(十三)负责本辖区统一管理检验检测工作。推进检验检测机构改革,规范检验检测市场,完善检验检测体系,指导协调检验检测行业发展。</w:t>
      </w:r>
    </w:p>
    <w:p w14:paraId="3393454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(十四)负责本辖区统一管理、监督和综合协调认证认可工作。依法对获得资质认定(计量认证、审查认可)的实验室、检查机构和认证机构实施监督管理;依法组织实施强制性产品认证活动的监督管理。</w:t>
      </w:r>
    </w:p>
    <w:p w14:paraId="5D41843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(十五)负责本辖区市场监督管理和知识产权科技与信息化建设、新闻宣传,以及对外交流合作;按规定承担技术性贸易措施有关工作。</w:t>
      </w:r>
    </w:p>
    <w:p w14:paraId="0410EBD2">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六)负责本辖区知识产权保护与促进工作。实施严格保护商标、专利、原产地地理标志等知识产权制度措施;依法承担商标、专利、原产地地理标志等知识产权相关工作;监督指导知识产权争议处理、维权援助和纠纷调处;组织实施知识产权激励奖励、知识产权转化运用和交易运营政策措施;指导和促进知识产权服务业发展;组织实施知识产权宣传、推广工作,指导协调知识产权对外交流与合作。</w:t>
      </w:r>
    </w:p>
    <w:p w14:paraId="3AD1107C">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(十七)承担本辖区食品安全委员会的具体工作。</w:t>
      </w:r>
    </w:p>
    <w:p w14:paraId="5355E146">
      <w:pPr>
        <w:widowControl/>
        <w:spacing w:before="0" w:beforeLines="0" w:beforeAutospacing="0" w:after="0" w:afterLines="0" w:afterAutospacing="0" w:line="240" w:lineRule="auto"/>
        <w:ind w:firstLine="640" w:firstLineChars="200"/>
        <w:jc w:val="both"/>
        <w:rPr>
          <w:rFonts w:ascii="仿宋_GB2312" w:eastAsia="仿宋_GB2312"/>
          <w:b w:val="0"/>
          <w:sz w:val="32"/>
          <w:szCs w:val="32"/>
        </w:rPr>
      </w:pPr>
      <w:r>
        <w:rPr>
          <w:rFonts w:ascii="仿宋_GB2312" w:eastAsia="仿宋_GB2312"/>
          <w:b w:val="0"/>
          <w:sz w:val="32"/>
          <w:szCs w:val="32"/>
        </w:rPr>
        <w:t>(十八)承办本辖区区委、区政府交办的其他事项。</w:t>
      </w:r>
    </w:p>
    <w:p w14:paraId="06E2BAA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十九)职能转变。大力推进质量提升。加强全面质量管理和质量基础设施体系建设,完善质量激励制度,推进品牌建设。加快建立企业产品质量安全事故强制报告制度及经营者首问和赔偿先付制度,创新第三方质量评价,强化生产经营者主体责任,推广先进的质量管理方法，全面实施企业产品与服务标准。</w:t>
      </w:r>
    </w:p>
    <w:p w14:paraId="71A7E97D">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二、机构设置及人员情况</w:t>
      </w:r>
    </w:p>
    <w:p w14:paraId="09B9A38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乌鲁木齐市米东区市场监督管理局（知识产权局、市场监管综合行政执法队）2024年度，实有人数265人，其中：在职人员136人，增加8人；离休人员0人，较上年无变化；退休人员129人，增加19人。</w:t>
      </w:r>
    </w:p>
    <w:p w14:paraId="7ECE4F9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乌鲁木齐市米东区市场监督管理局（知识产权局、市场监管综合行政执法队）无下属预算单位，下设14个</w:t>
      </w:r>
      <w:r>
        <w:rPr>
          <w:rFonts w:hint="eastAsia" w:ascii="仿宋_GB2312" w:eastAsia="仿宋_GB2312"/>
          <w:b w:val="0"/>
          <w:sz w:val="32"/>
          <w:szCs w:val="32"/>
          <w:lang w:val="en-US" w:eastAsia="zh-CN"/>
        </w:rPr>
        <w:t>科室</w:t>
      </w:r>
      <w:r>
        <w:rPr>
          <w:rFonts w:ascii="仿宋_GB2312" w:eastAsia="仿宋_GB2312"/>
          <w:b w:val="0"/>
          <w:sz w:val="32"/>
          <w:szCs w:val="32"/>
        </w:rPr>
        <w:t>，分别是：党政办公室、政策法规股、执法稽查股、行政审批股、信用监督管理股、网络交易监督管理股、广告知识产权监督管理股、消费者权益保护股（私个协会）、产品质量安全监督管理股、特种设备安全监察股、标准化计量认证认可监督管理股、食品生产监督管理股、餐饮服务监督管理股（食安委办公室）、药品化妆品医疗器械监督管理股。</w:t>
      </w:r>
    </w:p>
    <w:p w14:paraId="4A88D90B">
      <w:pPr>
        <w:widowControl/>
      </w:pPr>
      <w:r>
        <w:rPr>
          <w:b w:val="0"/>
          <w:sz w:val="0"/>
          <w:szCs w:val="0"/>
        </w:rPr>
        <w:br w:type="page"/>
      </w:r>
    </w:p>
    <w:p w14:paraId="35483A7E">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第二部分 部门决算情况说明</w:t>
      </w:r>
    </w:p>
    <w:p w14:paraId="53D4DE8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一、收入支出决算总体情况说明</w:t>
      </w:r>
    </w:p>
    <w:p w14:paraId="4296F54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2024年度收入总计2,619.37万元，其中：本年收入合计2,619.37万元，使用非财政拨款结余（含专用结余）0.00万元，年初结转和结余0.00万元。</w:t>
      </w:r>
    </w:p>
    <w:p w14:paraId="775F252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2024年度支出总计2,619.37万元，其中：本年支出合计2,619.37万元，结余分配0.00万元，年末结转和结余0.00万元。</w:t>
      </w:r>
    </w:p>
    <w:p w14:paraId="4B185387">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收入支出总体与上年相比，减少676.97万元，下降20.54%，主要原因是：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w:t>
      </w:r>
    </w:p>
    <w:p w14:paraId="666BC08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二、收入决算情况说明</w:t>
      </w:r>
    </w:p>
    <w:p w14:paraId="4D9C836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本年收入2,619.37万元，其中：财政拨款收入2,619.37万元,占100.00%；上级补助收入0.00万元,占0.00%；事业收入0.00万元，占0.00%；经营收入0.00万元,占0.00%；附属单位上缴收入0.00万元，占0.00%；其他收入0.00万元，占0.00%。</w:t>
      </w:r>
    </w:p>
    <w:p w14:paraId="41FBDD06">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三、支出决算情况说明</w:t>
      </w:r>
    </w:p>
    <w:p w14:paraId="6DC8D47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本年支出2,619.37万元，其中：基本支出2,564.84万元，占97.92%；项目支出54.53万元，占2.08%；上缴上级支出0.00万元，占0.00%；经营支出0.00万元，占0.00%；对附属单位补助支出0.00万元，占0.00%。</w:t>
      </w:r>
    </w:p>
    <w:p w14:paraId="53C19197">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四、财政拨款收入支出决算总体情况说明</w:t>
      </w:r>
    </w:p>
    <w:p w14:paraId="06A037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收入总计2,619.37万元，其中：年初财政拨款结转和结余0.00万元，本年财政拨款收入2,619.37万元。财政拨款支出总计2,619.37万元，其中：年末财政拨款结转和结余0.00万元，本年财政拨款支出2,619.37万元。</w:t>
      </w:r>
    </w:p>
    <w:p w14:paraId="763A8606">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财政拨款收入支出总体与上年相比，减少676.97万元，下降20.54%，主要原因是：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。与年初预算相比，年初预算数9,539.28万元，决算数2,619.37万元，预决算差异率-72.54%，主要原因是：</w:t>
      </w:r>
      <w:r>
        <w:rPr>
          <w:rFonts w:hint="eastAsia" w:ascii="仿宋_GB2312" w:eastAsia="仿宋_GB2312"/>
          <w:b w:val="0"/>
          <w:sz w:val="32"/>
          <w:szCs w:val="32"/>
          <w:lang w:val="en-US" w:eastAsia="zh-CN"/>
        </w:rPr>
        <w:t>本年单位车辆运行维护费、咨询费、邮电费等经费较年初预算减少。</w:t>
      </w:r>
    </w:p>
    <w:p w14:paraId="2539947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五、一般公共预算财政拨款支出决算情况说明</w:t>
      </w:r>
    </w:p>
    <w:p w14:paraId="7CC6DEF4">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（一）一般公共预算财政拨款支出决算总体情况</w:t>
      </w:r>
    </w:p>
    <w:p w14:paraId="00E593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2024年度一般公共预算财政拨款支出2,619.37万元，占本年支出合计的100.00%。与上年相比，减少665.39万元，下降20.26%，主要原因是：</w:t>
      </w:r>
      <w:r>
        <w:rPr>
          <w:rFonts w:hint="eastAsia" w:ascii="仿宋_GB2312" w:eastAsia="仿宋_GB2312"/>
          <w:b w:val="0"/>
          <w:sz w:val="32"/>
          <w:szCs w:val="32"/>
          <w:lang w:val="en-US" w:eastAsia="zh-CN"/>
        </w:rPr>
        <w:t>本年单位车辆运行维护费、咨询费、邮电费等经费较上年减少</w:t>
      </w:r>
      <w:r>
        <w:rPr>
          <w:rFonts w:ascii="仿宋_GB2312" w:eastAsia="仿宋_GB2312"/>
          <w:b w:val="0"/>
          <w:sz w:val="32"/>
          <w:szCs w:val="32"/>
        </w:rPr>
        <w:t>。与年初预算相比，年初预算数9,539.28万元，决算数2,619.37万元，预决算差异率-72.54%，主要原因是：</w:t>
      </w:r>
      <w:r>
        <w:rPr>
          <w:rFonts w:hint="eastAsia" w:ascii="仿宋_GB2312" w:eastAsia="仿宋_GB2312"/>
          <w:b w:val="0"/>
          <w:sz w:val="32"/>
          <w:szCs w:val="32"/>
          <w:lang w:val="en-US" w:eastAsia="zh-CN"/>
        </w:rPr>
        <w:t>本年单位车辆运行维护费、咨询费、邮电费等经费较年初预算减少</w:t>
      </w:r>
      <w:r>
        <w:rPr>
          <w:rFonts w:ascii="仿宋_GB2312" w:eastAsia="仿宋_GB2312"/>
          <w:b w:val="0"/>
          <w:sz w:val="32"/>
          <w:szCs w:val="32"/>
        </w:rPr>
        <w:t>。</w:t>
      </w:r>
    </w:p>
    <w:p w14:paraId="692E0599">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（二）一般公共预算财政拨款支出决算结构情况</w:t>
      </w:r>
    </w:p>
    <w:p w14:paraId="6DAC325B">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1.</w:t>
      </w:r>
      <w:r>
        <w:rPr>
          <w:rFonts w:ascii="仿宋_GB2312" w:eastAsia="仿宋_GB2312"/>
          <w:b w:val="0"/>
          <w:sz w:val="32"/>
          <w:szCs w:val="32"/>
        </w:rPr>
        <w:t>一般公共服务支出（类）2,326.90万元，占88.83%。</w:t>
      </w:r>
    </w:p>
    <w:p w14:paraId="2429DDE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hint="eastAsia" w:ascii="仿宋_GB2312" w:eastAsia="仿宋_GB2312"/>
          <w:b w:val="0"/>
          <w:sz w:val="32"/>
          <w:szCs w:val="32"/>
          <w:lang w:val="en-US" w:eastAsia="zh-CN"/>
        </w:rPr>
        <w:t>2.</w:t>
      </w:r>
      <w:r>
        <w:rPr>
          <w:rFonts w:ascii="仿宋_GB2312" w:eastAsia="仿宋_GB2312"/>
          <w:b w:val="0"/>
          <w:sz w:val="32"/>
          <w:szCs w:val="32"/>
        </w:rPr>
        <w:t>社会保障和就业支出（类）292.47万元，占11.17%。</w:t>
      </w:r>
    </w:p>
    <w:p w14:paraId="2D295A45">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（三）一般公共预算财政拨款支出决算具体情况</w:t>
      </w:r>
    </w:p>
    <w:p w14:paraId="73A76388">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1、一般公共服务支出（类）市场监督管理事务（款）行政运行（项）：支出决算数为2,272.37万元，比上年决算减少646.18万元，下降22.14%，主要原因是：</w:t>
      </w:r>
      <w:r>
        <w:rPr>
          <w:rFonts w:hint="eastAsia" w:ascii="仿宋_GB2312" w:eastAsia="仿宋_GB2312"/>
          <w:b w:val="0"/>
          <w:sz w:val="32"/>
          <w:szCs w:val="32"/>
          <w:lang w:val="en-US" w:eastAsia="zh-CN"/>
        </w:rPr>
        <w:t>本年单位办公费、咨询费、邮电费等经费减少</w:t>
      </w:r>
      <w:r>
        <w:rPr>
          <w:rFonts w:ascii="仿宋_GB2312" w:eastAsia="仿宋_GB2312"/>
          <w:b w:val="0"/>
          <w:sz w:val="32"/>
          <w:szCs w:val="32"/>
        </w:rPr>
        <w:t>。</w:t>
      </w:r>
    </w:p>
    <w:p w14:paraId="08D1AA82">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2、一般公共服务支出（类）市场监督管理事务（款）市场秩序执法（项）：支出决算数为38.92万元，比上年决算增加38.92万元，增长100.00%，主要原因是：</w:t>
      </w:r>
      <w:r>
        <w:rPr>
          <w:rFonts w:hint="eastAsia" w:ascii="仿宋_GB2312" w:eastAsia="仿宋_GB2312"/>
          <w:b w:val="0"/>
          <w:sz w:val="32"/>
          <w:szCs w:val="32"/>
          <w:lang w:val="en-US" w:eastAsia="zh-CN"/>
        </w:rPr>
        <w:t>本年单位增加市场监管执法经费</w:t>
      </w:r>
      <w:r>
        <w:rPr>
          <w:rFonts w:ascii="仿宋_GB2312" w:eastAsia="仿宋_GB2312"/>
          <w:b w:val="0"/>
          <w:sz w:val="32"/>
          <w:szCs w:val="32"/>
        </w:rPr>
        <w:t>。</w:t>
      </w:r>
    </w:p>
    <w:p w14:paraId="79D69A51">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3、一般公共服务支出（类）市场监督管理事务（款）药品事务（项）：支出决算数为15.61万元，比上年决算增加7.78万元，增长99.36%，主要原因是：</w:t>
      </w:r>
      <w:r>
        <w:rPr>
          <w:rFonts w:hint="eastAsia" w:ascii="仿宋_GB2312" w:eastAsia="仿宋_GB2312"/>
          <w:b w:val="0"/>
          <w:sz w:val="32"/>
          <w:szCs w:val="32"/>
          <w:lang w:val="en-US" w:eastAsia="zh-CN"/>
        </w:rPr>
        <w:t>本年度单位增加自治区药品抽检经费</w:t>
      </w:r>
      <w:r>
        <w:rPr>
          <w:rFonts w:ascii="仿宋_GB2312" w:eastAsia="仿宋_GB2312"/>
          <w:b w:val="0"/>
          <w:sz w:val="32"/>
          <w:szCs w:val="32"/>
        </w:rPr>
        <w:t>。</w:t>
      </w:r>
    </w:p>
    <w:p w14:paraId="0ACF0EE5">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4、社会保障和就业支出（类）行政事业单位养老支出（款）行政单位离退休（项）：支出决算数为0.15万元，比上年决算增加0.15万元，增长100.00%，主要原因是：</w:t>
      </w:r>
      <w:r>
        <w:rPr>
          <w:rFonts w:hint="eastAsia" w:ascii="仿宋_GB2312" w:eastAsia="仿宋_GB2312"/>
          <w:b w:val="0"/>
          <w:sz w:val="32"/>
          <w:szCs w:val="32"/>
          <w:lang w:val="zh-CN" w:eastAsia="zh-CN"/>
        </w:rPr>
        <w:t>单位本年退休人员退休费、奖励金等较上年增加</w:t>
      </w:r>
      <w:r>
        <w:rPr>
          <w:rFonts w:ascii="仿宋_GB2312" w:eastAsia="仿宋_GB2312"/>
          <w:b w:val="0"/>
          <w:sz w:val="32"/>
          <w:szCs w:val="32"/>
        </w:rPr>
        <w:t>。</w:t>
      </w:r>
    </w:p>
    <w:p w14:paraId="6BC4486A">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5、社会保障和就业支出（类）行政事业单位养老支出（款）机关事业单位基本养老保险缴费支出（项）：支出决算数为265.38万元，比上年决算增加34.68万元，增长15.03%，主要原因是：</w:t>
      </w:r>
      <w:r>
        <w:rPr>
          <w:rFonts w:hint="eastAsia" w:ascii="仿宋_GB2312" w:eastAsia="仿宋_GB2312"/>
          <w:b w:val="0"/>
          <w:sz w:val="32"/>
          <w:szCs w:val="32"/>
          <w:lang w:val="en-US" w:eastAsia="zh-CN"/>
        </w:rPr>
        <w:t>本年单位人员增加，基本养老保险缴费增加</w:t>
      </w:r>
      <w:r>
        <w:rPr>
          <w:rFonts w:ascii="仿宋_GB2312" w:eastAsia="仿宋_GB2312"/>
          <w:b w:val="0"/>
          <w:sz w:val="32"/>
          <w:szCs w:val="32"/>
        </w:rPr>
        <w:t>。</w:t>
      </w:r>
    </w:p>
    <w:p w14:paraId="37DDFCF3">
      <w:pPr>
        <w:widowControl/>
        <w:spacing w:before="0" w:beforeLines="0" w:beforeAutospacing="0" w:after="0" w:afterLines="0" w:afterAutospacing="0" w:line="240" w:lineRule="auto"/>
        <w:ind w:firstLine="640" w:firstLineChars="200"/>
        <w:rPr>
          <w:rFonts w:ascii="仿宋_GB2312" w:eastAsia="仿宋_GB2312"/>
          <w:sz w:val="32"/>
          <w:szCs w:val="32"/>
        </w:rPr>
      </w:pPr>
      <w:r>
        <w:rPr>
          <w:rFonts w:ascii="仿宋_GB2312" w:eastAsia="仿宋_GB2312"/>
          <w:b w:val="0"/>
          <w:sz w:val="32"/>
          <w:szCs w:val="32"/>
        </w:rPr>
        <w:t>6、社会保障和就业支出（类）行政事业单位养老支出（款）机关事业单位职业年金缴费支出（项）：支出决算数为26.94万元，比上年决算减少100.74万元，下降78.90%，主要原因是：</w:t>
      </w:r>
      <w:r>
        <w:rPr>
          <w:rFonts w:hint="eastAsia" w:ascii="仿宋_GB2312" w:eastAsia="仿宋_GB2312"/>
          <w:b w:val="0"/>
          <w:sz w:val="32"/>
          <w:szCs w:val="32"/>
          <w:lang w:eastAsia="zh-CN"/>
        </w:rPr>
        <w:t>单位本年一次性职业年金缴费</w:t>
      </w:r>
      <w:r>
        <w:rPr>
          <w:rFonts w:hint="eastAsia" w:ascii="仿宋_GB2312" w:eastAsia="仿宋_GB2312"/>
          <w:b w:val="0"/>
          <w:sz w:val="32"/>
          <w:szCs w:val="32"/>
          <w:lang w:val="en-US" w:eastAsia="zh-CN"/>
        </w:rPr>
        <w:t>减少</w:t>
      </w:r>
      <w:r>
        <w:rPr>
          <w:rFonts w:ascii="仿宋_GB2312" w:eastAsia="仿宋_GB2312"/>
          <w:b w:val="0"/>
          <w:sz w:val="32"/>
          <w:szCs w:val="32"/>
        </w:rPr>
        <w:t>。</w:t>
      </w:r>
    </w:p>
    <w:p w14:paraId="587CE48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六、一般公共预算财政拨款基本支出决算情况说明</w:t>
      </w:r>
    </w:p>
    <w:p w14:paraId="560C64D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一般公共预算财政拨款基本支出2,564.84万元，其中：人员经费2,350.40万元，包括：基本工资、津贴补贴、奖金、机关事业单位基本养老保险缴费、职业年金缴费、职工基本医疗保险缴费、公务员医疗补助缴费、其他社会保障缴费、住房公积金和退休费。</w:t>
      </w:r>
    </w:p>
    <w:p w14:paraId="0BFB924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公用经费214.44万元，包括：办公费、水费、电费、取暖费、劳务费、工会经费、福利费和公务用车运行维护费。</w:t>
      </w:r>
    </w:p>
    <w:p w14:paraId="625DB053">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七、政府性基金预算财政拨款收入支出决算情况说明</w:t>
      </w:r>
    </w:p>
    <w:p w14:paraId="4066F6C9">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本单位本年度无政府性基金预算财政拨款收入、支出及结转和结余，政府性基金预算财政拨款收入支出决算表为空表。</w:t>
      </w:r>
    </w:p>
    <w:p w14:paraId="4127CB4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八、国有资本经营预算财政拨款收入支出决算情况说明</w:t>
      </w:r>
    </w:p>
    <w:p w14:paraId="63609848">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本单位本年度无国有资本经营预算财政拨款收入、支出及结转和结余，国有资本经营预算财政拨款收入支出决算表为空表。</w:t>
      </w:r>
    </w:p>
    <w:p w14:paraId="53694A38">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九、财政拨款“三公”经费支出决算情况说明</w:t>
      </w:r>
    </w:p>
    <w:p w14:paraId="64E72C2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2024年度财政拨款“三公”经费支出32.87万元，比上年减少6.21万元，下降15.89%，主要原因是：</w:t>
      </w:r>
      <w:r>
        <w:rPr>
          <w:rFonts w:hint="eastAsia" w:ascii="仿宋_GB2312" w:eastAsia="仿宋_GB2312"/>
          <w:b w:val="0"/>
          <w:sz w:val="32"/>
          <w:szCs w:val="32"/>
        </w:rPr>
        <w:t>减少车辆出行，车辆维修费、燃油费等较上年减少</w:t>
      </w:r>
      <w:r>
        <w:rPr>
          <w:rFonts w:ascii="仿宋_GB2312" w:eastAsia="仿宋_GB2312"/>
          <w:b w:val="0"/>
          <w:sz w:val="32"/>
          <w:szCs w:val="32"/>
        </w:rPr>
        <w:t>。其中：因公出国（境）费支出0.00万元,占0.00%，与上年相比无变化，主要原因是：</w:t>
      </w:r>
      <w:bookmarkStart w:id="0" w:name="_Hlk207114081"/>
      <w:r>
        <w:rPr>
          <w:rFonts w:hint="eastAsia" w:ascii="仿宋_GB2312" w:eastAsia="仿宋_GB2312"/>
          <w:b w:val="0"/>
          <w:sz w:val="32"/>
          <w:szCs w:val="32"/>
          <w:lang w:eastAsia="zh-CN"/>
        </w:rPr>
        <w:t>我单位上年度与本年度均无</w:t>
      </w:r>
      <w:bookmarkEnd w:id="0"/>
      <w:r>
        <w:rPr>
          <w:rFonts w:hint="eastAsia" w:ascii="仿宋_GB2312" w:eastAsia="仿宋_GB2312"/>
          <w:b w:val="0"/>
          <w:sz w:val="32"/>
          <w:szCs w:val="32"/>
          <w:lang w:eastAsia="zh-CN"/>
        </w:rPr>
        <w:t>此项经费</w:t>
      </w:r>
      <w:r>
        <w:rPr>
          <w:rFonts w:ascii="仿宋_GB2312" w:eastAsia="仿宋_GB2312"/>
          <w:b w:val="0"/>
          <w:sz w:val="32"/>
          <w:szCs w:val="32"/>
        </w:rPr>
        <w:t>；公务用车购置及运行维护费支出32.87万元，占100.00%，比上年减少6.21万元，下降15.89%，主要原因是：</w:t>
      </w:r>
      <w:r>
        <w:rPr>
          <w:rFonts w:hint="eastAsia" w:ascii="仿宋_GB2312" w:eastAsia="仿宋_GB2312"/>
          <w:b w:val="0"/>
          <w:sz w:val="32"/>
          <w:szCs w:val="32"/>
        </w:rPr>
        <w:t>减少车辆出行，车辆维修费、燃油费等较上年减少</w:t>
      </w:r>
      <w:r>
        <w:rPr>
          <w:rFonts w:ascii="仿宋_GB2312" w:eastAsia="仿宋_GB2312"/>
          <w:b w:val="0"/>
          <w:sz w:val="32"/>
          <w:szCs w:val="32"/>
        </w:rPr>
        <w:t>；公务接待费支出0.00万元，占0.00%，与上年相比无变化，主要原因是：</w:t>
      </w:r>
      <w:r>
        <w:rPr>
          <w:rFonts w:hint="eastAsia" w:ascii="仿宋_GB2312" w:eastAsia="仿宋_GB2312"/>
          <w:b w:val="0"/>
          <w:sz w:val="32"/>
          <w:szCs w:val="32"/>
          <w:lang w:eastAsia="zh-CN"/>
        </w:rPr>
        <w:t>我单位上年度与本年度均无此项经费</w:t>
      </w:r>
      <w:r>
        <w:rPr>
          <w:rFonts w:ascii="仿宋_GB2312" w:eastAsia="仿宋_GB2312"/>
          <w:b w:val="0"/>
          <w:sz w:val="32"/>
          <w:szCs w:val="32"/>
        </w:rPr>
        <w:t>。</w:t>
      </w:r>
    </w:p>
    <w:p w14:paraId="310DD80E">
      <w:pPr>
        <w:widowControl/>
        <w:spacing w:before="0" w:beforeLines="0" w:beforeAutospacing="0" w:after="0" w:afterLines="0" w:afterAutospacing="0" w:line="240" w:lineRule="auto"/>
        <w:ind w:firstLine="640" w:firstLineChars="200"/>
        <w:jc w:val="left"/>
        <w:rPr>
          <w:rFonts w:ascii="仿宋_GB2312" w:eastAsia="仿宋_GB2312"/>
          <w:sz w:val="32"/>
          <w:szCs w:val="32"/>
        </w:rPr>
      </w:pPr>
      <w:r>
        <w:rPr>
          <w:rFonts w:ascii="仿宋_GB2312" w:eastAsia="仿宋_GB2312"/>
          <w:b w:val="0"/>
          <w:sz w:val="32"/>
          <w:szCs w:val="32"/>
        </w:rPr>
        <w:t>具体情况如下：</w:t>
      </w:r>
    </w:p>
    <w:p w14:paraId="3BAAE2C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因公出国（境）费支出0.00万元，开支内容包括本年度我单位无因公出国（境）费。单位全年安排的因公出国（境）团组0个，因公出国（境）0人次。</w:t>
      </w:r>
    </w:p>
    <w:p w14:paraId="6FE0E5CA">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公务用车购置及运行维护费32.87万元，其中：公务用车购置费0.00万元，公务用车运行维护费32.87万元。公务用车运行维护费开支内容包括</w:t>
      </w:r>
      <w:r>
        <w:rPr>
          <w:rFonts w:hint="eastAsia" w:ascii="仿宋_GB2312" w:eastAsia="仿宋_GB2312"/>
          <w:b w:val="0"/>
          <w:sz w:val="32"/>
          <w:szCs w:val="32"/>
          <w:lang w:eastAsia="zh-CN"/>
        </w:rPr>
        <w:t>公务用车维修维护费、燃油费、保险费、过路费等</w:t>
      </w:r>
      <w:r>
        <w:rPr>
          <w:rFonts w:ascii="仿宋_GB2312" w:eastAsia="仿宋_GB2312"/>
          <w:b w:val="0"/>
          <w:sz w:val="32"/>
          <w:szCs w:val="32"/>
        </w:rPr>
        <w:t>。公务用车购置数0辆，公务用车保有量40辆。国有资产占用情况中固定资产车辆40辆，与公务用车保有量差异原因是：</w:t>
      </w:r>
      <w:r>
        <w:rPr>
          <w:rFonts w:hint="eastAsia" w:ascii="仿宋_GB2312" w:eastAsia="仿宋_GB2312"/>
          <w:b w:val="0"/>
          <w:sz w:val="32"/>
          <w:szCs w:val="32"/>
        </w:rPr>
        <w:t>本单位固定资产车辆与公务用车保有量一致无差异</w:t>
      </w:r>
      <w:r>
        <w:rPr>
          <w:rFonts w:ascii="仿宋_GB2312" w:eastAsia="仿宋_GB2312"/>
          <w:b w:val="0"/>
          <w:sz w:val="32"/>
          <w:szCs w:val="32"/>
        </w:rPr>
        <w:t>。</w:t>
      </w:r>
    </w:p>
    <w:p w14:paraId="787EC01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公务接待费0.00万元，开支内容包括本年度我单位无公务接待费。单位全年安排的国内公务接待0批次，0人次。</w:t>
      </w:r>
    </w:p>
    <w:p w14:paraId="1378F70E">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与全年预算相比，财政拨款“三公”经费支出全年预算数32.87万元，决算数32.87万元，预决算差异率0.00%，主要原因是：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。其中：因公出国（境）费全年预算数0.00万元，决算数0.00万元，预决算差异率0.00%，主要原因是：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；公务用车购置费全年预算数0.00万元，决算数0.00万元，预决算差异率0.00%，主要原因是：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；公务用车运行维护费全年预算数32.87万元，决算数32.87万元，预决算差异率0.00%，主要原因是：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；公务接待费全年预算数0.00万元，决算数0.00万元，预决算差异率0.00%，主要原因是：</w:t>
      </w:r>
      <w:r>
        <w:rPr>
          <w:rFonts w:hint="eastAsia" w:ascii="仿宋_GB2312" w:eastAsia="仿宋_GB2312"/>
          <w:b w:val="0"/>
          <w:sz w:val="32"/>
          <w:szCs w:val="32"/>
          <w:lang w:eastAsia="zh-CN"/>
        </w:rPr>
        <w:t>严格按照预算执行，预决算对比无差异</w:t>
      </w:r>
      <w:r>
        <w:rPr>
          <w:rFonts w:ascii="仿宋_GB2312" w:eastAsia="仿宋_GB2312"/>
          <w:b w:val="0"/>
          <w:sz w:val="32"/>
          <w:szCs w:val="32"/>
        </w:rPr>
        <w:t>。</w:t>
      </w:r>
    </w:p>
    <w:p w14:paraId="080B6165">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十、其他重要事项的情况说明</w:t>
      </w:r>
    </w:p>
    <w:p w14:paraId="50EB4FE8">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（一）机关运行经费及公用经费支出情况</w:t>
      </w:r>
    </w:p>
    <w:p w14:paraId="0CDC2DB0">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乌鲁木齐市米东区市场监督管理局（知识产权局、市场监管综合行政执法队）单位（行政单位和参照公务员法管理事业单位）机关运行经费支出214.44万元，比上年减少214.40万元，下降50.00%，主要原因是：本年度</w:t>
      </w:r>
      <w:r>
        <w:rPr>
          <w:rFonts w:hint="eastAsia" w:ascii="仿宋_GB2312" w:eastAsia="仿宋_GB2312"/>
          <w:b w:val="0"/>
          <w:sz w:val="32"/>
          <w:szCs w:val="32"/>
          <w:lang w:val="en-US" w:eastAsia="zh-CN"/>
        </w:rPr>
        <w:t>我单位</w:t>
      </w:r>
      <w:r>
        <w:rPr>
          <w:rFonts w:ascii="仿宋_GB2312" w:eastAsia="仿宋_GB2312"/>
          <w:b w:val="0"/>
          <w:sz w:val="32"/>
          <w:szCs w:val="32"/>
        </w:rPr>
        <w:t>办公费、水费、电费</w:t>
      </w:r>
      <w:r>
        <w:rPr>
          <w:rFonts w:hint="eastAsia" w:ascii="仿宋_GB2312" w:eastAsia="仿宋_GB2312"/>
          <w:b w:val="0"/>
          <w:sz w:val="32"/>
          <w:szCs w:val="32"/>
          <w:lang w:val="en-US" w:eastAsia="zh-CN"/>
        </w:rPr>
        <w:t>较上年减少</w:t>
      </w:r>
      <w:r>
        <w:rPr>
          <w:rFonts w:ascii="仿宋_GB2312" w:eastAsia="仿宋_GB2312"/>
          <w:b w:val="0"/>
          <w:sz w:val="32"/>
          <w:szCs w:val="32"/>
        </w:rPr>
        <w:t>。</w:t>
      </w:r>
    </w:p>
    <w:p w14:paraId="124550E3">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（二）政府采购情况</w:t>
      </w:r>
    </w:p>
    <w:p w14:paraId="4BB870A1">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2024年度政府采购支出总额0.84万元，其中：政府采购货物支出0.84万元、政府采购工程支出0.00万元、政府采购服务支出0.00万元。</w:t>
      </w:r>
    </w:p>
    <w:p w14:paraId="58DC1D5C">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授予中小企业合同金额0.84万元，占政府采购支出总额的100.00%，其中：授予小微企业合同金额0.84万元，占政府采购支出总额的100.00%。</w:t>
      </w:r>
    </w:p>
    <w:p w14:paraId="504E7170">
      <w:pPr>
        <w:widowControl/>
        <w:spacing w:before="0" w:beforeLines="0" w:beforeAutospacing="0" w:after="0" w:afterLines="0" w:afterAutospacing="0" w:line="240" w:lineRule="auto"/>
        <w:ind w:firstLine="640" w:firstLineChars="200"/>
        <w:jc w:val="left"/>
        <w:outlineLvl w:val="2"/>
        <w:rPr>
          <w:rFonts w:ascii="黑体" w:eastAsia="黑体"/>
          <w:sz w:val="32"/>
          <w:szCs w:val="32"/>
        </w:rPr>
      </w:pPr>
      <w:r>
        <w:rPr>
          <w:rFonts w:ascii="黑体" w:eastAsia="黑体"/>
          <w:b w:val="0"/>
          <w:sz w:val="32"/>
          <w:szCs w:val="32"/>
        </w:rPr>
        <w:t>（三）国有资产占用情况说明</w:t>
      </w:r>
    </w:p>
    <w:p w14:paraId="3F1F0A8F">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截至2024年12月31日，房屋29,313.34平方米，价值8,627.04万元。车辆40辆，价值874.33万元，其中：副部（省）级及以上领导用车0辆、主要负责人用车0辆、机要通信用车0辆、应急保障用车0辆、执法执勤用车40辆、特种专业技术用车0辆、离退休干部服务用车0辆、其他用车0辆，其他用车主要是：</w:t>
      </w:r>
      <w:r>
        <w:rPr>
          <w:rFonts w:hint="eastAsia" w:ascii="仿宋_GB2312" w:eastAsia="仿宋_GB2312"/>
          <w:b w:val="0"/>
          <w:sz w:val="32"/>
          <w:szCs w:val="32"/>
          <w:lang w:val="en-US" w:eastAsia="zh-CN"/>
        </w:rPr>
        <w:t>单位无</w:t>
      </w:r>
      <w:r>
        <w:rPr>
          <w:rFonts w:ascii="仿宋_GB2312" w:eastAsia="仿宋_GB2312"/>
          <w:b w:val="0"/>
          <w:sz w:val="32"/>
          <w:szCs w:val="32"/>
        </w:rPr>
        <w:t>其他用车;单价100万元（含）以上设备（不含车辆）0台（套）。</w:t>
      </w:r>
    </w:p>
    <w:p w14:paraId="436F2AD0">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r>
        <w:rPr>
          <w:rFonts w:ascii="黑体" w:eastAsia="黑体"/>
          <w:b w:val="0"/>
          <w:sz w:val="32"/>
          <w:szCs w:val="32"/>
        </w:rPr>
        <w:t>十一、预算绩效的情况说明</w:t>
      </w:r>
    </w:p>
    <w:p w14:paraId="58FBF767">
      <w:pPr>
        <w:widowControl w:val="0"/>
        <w:spacing w:after="0" w:line="240" w:lineRule="auto"/>
        <w:ind w:firstLine="640" w:firstLineChars="200"/>
        <w:jc w:val="left"/>
        <w:rPr>
          <w:rFonts w:hint="eastAsia" w:ascii="宋体" w:hAnsi="宋体" w:eastAsia="宋体" w:cs="宋体"/>
          <w:b/>
          <w:bCs/>
          <w:kern w:val="0"/>
          <w:sz w:val="18"/>
          <w:szCs w:val="18"/>
          <w:lang w:eastAsia="zh-CN"/>
          <w14:ligatures w14:val="none"/>
        </w:rPr>
      </w:pPr>
      <w:r>
        <w:rPr>
          <w:rFonts w:ascii="仿宋_GB2312" w:eastAsia="仿宋_GB2312"/>
          <w:b w:val="0"/>
          <w:sz w:val="32"/>
          <w:szCs w:val="32"/>
        </w:rPr>
        <w:t>根据预算绩效管理要求，本单位2024年度预算绩效管理形成整体支出绩效自评表1个，全年预算总额2,619.37万元，实际执行总额2,619.37万元；预算绩效评价项目</w:t>
      </w:r>
      <w:r>
        <w:rPr>
          <w:rFonts w:hint="eastAsia" w:ascii="仿宋_GB2312" w:eastAsia="仿宋_GB2312"/>
          <w:b w:val="0"/>
          <w:sz w:val="32"/>
          <w:szCs w:val="32"/>
          <w:lang w:val="en-US" w:eastAsia="zh-CN"/>
        </w:rPr>
        <w:t>1</w:t>
      </w:r>
      <w:r>
        <w:rPr>
          <w:rFonts w:ascii="仿宋_GB2312" w:eastAsia="仿宋_GB2312"/>
          <w:b w:val="0"/>
          <w:sz w:val="32"/>
          <w:szCs w:val="32"/>
        </w:rPr>
        <w:t>个，全年预算数</w:t>
      </w:r>
      <w:r>
        <w:rPr>
          <w:rFonts w:hint="eastAsia" w:ascii="仿宋_GB2312" w:eastAsia="仿宋_GB2312"/>
          <w:b w:val="0"/>
          <w:sz w:val="32"/>
          <w:szCs w:val="32"/>
          <w:lang w:eastAsia="zh-CN"/>
        </w:rPr>
        <w:t>38.92</w:t>
      </w:r>
      <w:r>
        <w:rPr>
          <w:rFonts w:ascii="仿宋_GB2312" w:eastAsia="仿宋_GB2312"/>
          <w:b w:val="0"/>
          <w:sz w:val="32"/>
          <w:szCs w:val="32"/>
        </w:rPr>
        <w:t>万元，全年执行数</w:t>
      </w:r>
      <w:r>
        <w:rPr>
          <w:rFonts w:hint="eastAsia" w:ascii="仿宋_GB2312" w:eastAsia="仿宋_GB2312"/>
          <w:b w:val="0"/>
          <w:sz w:val="32"/>
          <w:szCs w:val="32"/>
          <w:lang w:eastAsia="zh-CN"/>
        </w:rPr>
        <w:t>38.92</w:t>
      </w:r>
      <w:r>
        <w:rPr>
          <w:rFonts w:ascii="仿宋_GB2312" w:eastAsia="仿宋_GB2312"/>
          <w:b w:val="0"/>
          <w:sz w:val="32"/>
          <w:szCs w:val="32"/>
        </w:rPr>
        <w:t>万元。</w:t>
      </w:r>
      <w:r>
        <w:rPr>
          <w:rFonts w:hint="eastAsia" w:ascii="仿宋_GB2312" w:eastAsia="仿宋_GB2312"/>
          <w:b w:val="0"/>
          <w:sz w:val="32"/>
          <w:szCs w:val="32"/>
        </w:rPr>
        <w:t>预算绩效管理取得的成效：一是通过预算绩效管理，规范了项目资金的使用，不断提高专项资金使用效益，加强了项目资金的管理；二是实行预算绩效管理，推进项目的实施进度。发现的问题及原因：一是项目实施中出现进度缓慢的现象，组织实施绩效管理的程序、步骤、方法、原则和要求进行统一的规定；二是资金管理不够规范，项目实施过程中的上报、跟踪、反馈机制尚未真正形成，对本项目资金的使用、实施等监管措施仍然存在改进的空间建议以规章规则的形式，出台绩效管理制度，对绩效管理的目的、意义、性质和特点。下一步改进措施：一是继续规范资金管理，全面做好项目绩效预算；二是业务部门进行指导、监督和检查时进一步加强主动性，积极探索更有效和积极主动的监管方式</w:t>
      </w:r>
      <w:r>
        <w:rPr>
          <w:rFonts w:ascii="仿宋_GB2312" w:eastAsia="仿宋_GB2312"/>
          <w:b w:val="0"/>
          <w:sz w:val="32"/>
          <w:szCs w:val="32"/>
        </w:rPr>
        <w:t>。具体附部门整体支出绩效自评表，项目支出绩效自评表和部门评价报告。</w:t>
      </w:r>
      <w:bookmarkStart w:id="1" w:name="_Hlk174962300"/>
    </w:p>
    <w:p w14:paraId="6A45B9EF">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部门（单位）整体支出绩效目标自评表</w:t>
      </w:r>
    </w:p>
    <w:tbl>
      <w:tblPr>
        <w:tblStyle w:val="11"/>
        <w:tblpPr w:leftFromText="180" w:rightFromText="180" w:vertAnchor="text" w:horzAnchor="page" w:tblpX="1190" w:tblpY="225"/>
        <w:tblOverlap w:val="never"/>
        <w:tblW w:w="9935" w:type="dxa"/>
        <w:tblInd w:w="0"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775B87EA">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6EBE5CB">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B8A5ED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乌鲁木齐市米东区市场监督管理局（知识产权局）</w:t>
            </w:r>
          </w:p>
        </w:tc>
        <w:tc>
          <w:tcPr>
            <w:tcW w:w="284" w:type="dxa"/>
            <w:tcBorders>
              <w:top w:val="nil"/>
              <w:left w:val="nil"/>
              <w:bottom w:val="nil"/>
              <w:right w:val="nil"/>
            </w:tcBorders>
            <w:noWrap/>
            <w:vAlign w:val="center"/>
          </w:tcPr>
          <w:p w14:paraId="7684FACD">
            <w:pPr>
              <w:widowControl/>
              <w:spacing w:after="0" w:line="240" w:lineRule="auto"/>
              <w:jc w:val="left"/>
              <w:rPr>
                <w:rFonts w:hint="eastAsia" w:ascii="宋体" w:hAnsi="宋体" w:eastAsia="宋体" w:cs="宋体"/>
                <w:b/>
                <w:bCs/>
                <w:kern w:val="0"/>
                <w:sz w:val="18"/>
                <w:szCs w:val="18"/>
                <w:lang w:eastAsia="zh-CN"/>
                <w14:ligatures w14:val="none"/>
              </w:rPr>
            </w:pPr>
          </w:p>
        </w:tc>
      </w:tr>
      <w:tr w14:paraId="2444660D">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46534E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部门资金（万元）</w:t>
            </w:r>
          </w:p>
        </w:tc>
        <w:tc>
          <w:tcPr>
            <w:tcW w:w="1417" w:type="dxa"/>
            <w:tcBorders>
              <w:top w:val="nil"/>
              <w:left w:val="nil"/>
              <w:bottom w:val="single" w:color="auto" w:sz="4" w:space="0"/>
              <w:right w:val="single" w:color="auto" w:sz="4" w:space="0"/>
            </w:tcBorders>
            <w:vAlign w:val="center"/>
          </w:tcPr>
          <w:p w14:paraId="04D7145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资金来源</w:t>
            </w:r>
          </w:p>
        </w:tc>
        <w:tc>
          <w:tcPr>
            <w:tcW w:w="1418" w:type="dxa"/>
            <w:tcBorders>
              <w:top w:val="nil"/>
              <w:left w:val="nil"/>
              <w:bottom w:val="single" w:color="auto" w:sz="4" w:space="0"/>
              <w:right w:val="single" w:color="auto" w:sz="4" w:space="0"/>
            </w:tcBorders>
            <w:vAlign w:val="center"/>
          </w:tcPr>
          <w:p w14:paraId="053149A7">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年初预算数</w:t>
            </w:r>
          </w:p>
        </w:tc>
        <w:tc>
          <w:tcPr>
            <w:tcW w:w="1276" w:type="dxa"/>
            <w:tcBorders>
              <w:top w:val="nil"/>
              <w:left w:val="nil"/>
              <w:bottom w:val="single" w:color="auto" w:sz="4" w:space="0"/>
              <w:right w:val="single" w:color="auto" w:sz="4" w:space="0"/>
            </w:tcBorders>
            <w:vAlign w:val="center"/>
          </w:tcPr>
          <w:p w14:paraId="5DDF089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全年预算数</w:t>
            </w:r>
          </w:p>
        </w:tc>
        <w:tc>
          <w:tcPr>
            <w:tcW w:w="1701" w:type="dxa"/>
            <w:tcBorders>
              <w:top w:val="nil"/>
              <w:left w:val="nil"/>
              <w:bottom w:val="single" w:color="auto" w:sz="4" w:space="0"/>
              <w:right w:val="single" w:color="auto" w:sz="4" w:space="0"/>
            </w:tcBorders>
            <w:vAlign w:val="center"/>
          </w:tcPr>
          <w:p w14:paraId="1321272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全年执行数</w:t>
            </w:r>
          </w:p>
        </w:tc>
        <w:tc>
          <w:tcPr>
            <w:tcW w:w="1134" w:type="dxa"/>
            <w:tcBorders>
              <w:top w:val="nil"/>
              <w:left w:val="nil"/>
              <w:bottom w:val="single" w:color="auto" w:sz="4" w:space="0"/>
              <w:right w:val="single" w:color="auto" w:sz="4" w:space="0"/>
            </w:tcBorders>
            <w:vAlign w:val="center"/>
          </w:tcPr>
          <w:p w14:paraId="5AA221D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992" w:type="dxa"/>
            <w:tcBorders>
              <w:top w:val="nil"/>
              <w:left w:val="nil"/>
              <w:bottom w:val="single" w:color="auto" w:sz="4" w:space="0"/>
              <w:right w:val="single" w:color="auto" w:sz="4" w:space="0"/>
            </w:tcBorders>
            <w:vAlign w:val="center"/>
          </w:tcPr>
          <w:p w14:paraId="605A5DFF">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执行率</w:t>
            </w:r>
          </w:p>
        </w:tc>
        <w:tc>
          <w:tcPr>
            <w:tcW w:w="720" w:type="dxa"/>
            <w:tcBorders>
              <w:top w:val="nil"/>
              <w:left w:val="nil"/>
              <w:bottom w:val="single" w:color="auto" w:sz="4" w:space="0"/>
              <w:right w:val="single" w:color="auto" w:sz="4" w:space="0"/>
            </w:tcBorders>
            <w:vAlign w:val="center"/>
          </w:tcPr>
          <w:p w14:paraId="719A14F6">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5C8740EB">
            <w:pPr>
              <w:widowControl/>
              <w:spacing w:after="0" w:line="240" w:lineRule="auto"/>
              <w:jc w:val="center"/>
              <w:rPr>
                <w:rFonts w:hint="eastAsia" w:ascii="宋体" w:hAnsi="宋体" w:eastAsia="宋体" w:cs="宋体"/>
                <w:b/>
                <w:bCs/>
                <w:kern w:val="0"/>
                <w:sz w:val="18"/>
                <w:szCs w:val="18"/>
                <w:lang w:eastAsia="zh-CN"/>
                <w14:ligatures w14:val="none"/>
              </w:rPr>
            </w:pPr>
          </w:p>
        </w:tc>
      </w:tr>
      <w:tr w14:paraId="3B85E070">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385B2EF">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noWrap/>
            <w:vAlign w:val="center"/>
          </w:tcPr>
          <w:p w14:paraId="116E3F7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年度总资金</w:t>
            </w:r>
          </w:p>
        </w:tc>
        <w:tc>
          <w:tcPr>
            <w:tcW w:w="1418" w:type="dxa"/>
            <w:tcBorders>
              <w:top w:val="nil"/>
              <w:left w:val="nil"/>
              <w:bottom w:val="single" w:color="auto" w:sz="4" w:space="0"/>
              <w:right w:val="single" w:color="auto" w:sz="4" w:space="0"/>
            </w:tcBorders>
            <w:vAlign w:val="center"/>
          </w:tcPr>
          <w:p w14:paraId="432AA8D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9,539.28</w:t>
            </w:r>
          </w:p>
        </w:tc>
        <w:tc>
          <w:tcPr>
            <w:tcW w:w="1276" w:type="dxa"/>
            <w:tcBorders>
              <w:top w:val="nil"/>
              <w:left w:val="nil"/>
              <w:bottom w:val="single" w:color="auto" w:sz="4" w:space="0"/>
              <w:right w:val="single" w:color="auto" w:sz="4" w:space="0"/>
            </w:tcBorders>
            <w:vAlign w:val="center"/>
          </w:tcPr>
          <w:p w14:paraId="6302E21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2,619.37</w:t>
            </w:r>
          </w:p>
        </w:tc>
        <w:tc>
          <w:tcPr>
            <w:tcW w:w="1701" w:type="dxa"/>
            <w:tcBorders>
              <w:top w:val="nil"/>
              <w:left w:val="nil"/>
              <w:bottom w:val="single" w:color="auto" w:sz="4" w:space="0"/>
              <w:right w:val="single" w:color="auto" w:sz="4" w:space="0"/>
            </w:tcBorders>
            <w:vAlign w:val="center"/>
          </w:tcPr>
          <w:p w14:paraId="2E3DD4A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2,619.37</w:t>
            </w:r>
          </w:p>
        </w:tc>
        <w:tc>
          <w:tcPr>
            <w:tcW w:w="1134" w:type="dxa"/>
            <w:tcBorders>
              <w:top w:val="nil"/>
              <w:left w:val="nil"/>
              <w:bottom w:val="single" w:color="auto" w:sz="4" w:space="0"/>
              <w:right w:val="single" w:color="auto" w:sz="4" w:space="0"/>
            </w:tcBorders>
            <w:vAlign w:val="center"/>
          </w:tcPr>
          <w:p w14:paraId="7AF2E96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992" w:type="dxa"/>
            <w:tcBorders>
              <w:top w:val="nil"/>
              <w:left w:val="nil"/>
              <w:bottom w:val="single" w:color="auto" w:sz="4" w:space="0"/>
              <w:right w:val="single" w:color="auto" w:sz="4" w:space="0"/>
            </w:tcBorders>
            <w:vAlign w:val="center"/>
          </w:tcPr>
          <w:p w14:paraId="07A4666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nil"/>
              <w:left w:val="nil"/>
              <w:bottom w:val="single" w:color="auto" w:sz="4" w:space="0"/>
              <w:right w:val="single" w:color="auto" w:sz="4" w:space="0"/>
            </w:tcBorders>
            <w:vAlign w:val="center"/>
          </w:tcPr>
          <w:p w14:paraId="182FB71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w:t>
            </w:r>
          </w:p>
        </w:tc>
        <w:tc>
          <w:tcPr>
            <w:tcW w:w="284" w:type="dxa"/>
            <w:tcBorders>
              <w:top w:val="nil"/>
              <w:left w:val="nil"/>
              <w:bottom w:val="nil"/>
              <w:right w:val="nil"/>
            </w:tcBorders>
            <w:noWrap/>
            <w:vAlign w:val="center"/>
          </w:tcPr>
          <w:p w14:paraId="5BB4F276">
            <w:pPr>
              <w:widowControl/>
              <w:spacing w:after="0" w:line="240" w:lineRule="auto"/>
              <w:jc w:val="center"/>
              <w:rPr>
                <w:rFonts w:hint="eastAsia" w:ascii="宋体" w:hAnsi="宋体" w:eastAsia="宋体" w:cs="宋体"/>
                <w:b/>
                <w:bCs/>
                <w:kern w:val="0"/>
                <w:sz w:val="18"/>
                <w:szCs w:val="18"/>
                <w:lang w:eastAsia="zh-CN"/>
                <w14:ligatures w14:val="none"/>
              </w:rPr>
            </w:pPr>
          </w:p>
        </w:tc>
      </w:tr>
      <w:tr w14:paraId="49930F8E">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88391C6">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0C5C677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其中:上级资金（万元）</w:t>
            </w:r>
          </w:p>
        </w:tc>
        <w:tc>
          <w:tcPr>
            <w:tcW w:w="1418" w:type="dxa"/>
            <w:tcBorders>
              <w:top w:val="nil"/>
              <w:left w:val="nil"/>
              <w:bottom w:val="single" w:color="auto" w:sz="4" w:space="0"/>
              <w:right w:val="single" w:color="auto" w:sz="4" w:space="0"/>
            </w:tcBorders>
            <w:vAlign w:val="center"/>
          </w:tcPr>
          <w:p w14:paraId="50FEAE4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276" w:type="dxa"/>
            <w:tcBorders>
              <w:top w:val="nil"/>
              <w:left w:val="nil"/>
              <w:bottom w:val="single" w:color="auto" w:sz="4" w:space="0"/>
              <w:right w:val="single" w:color="auto" w:sz="4" w:space="0"/>
            </w:tcBorders>
            <w:vAlign w:val="center"/>
          </w:tcPr>
          <w:p w14:paraId="254D96C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701" w:type="dxa"/>
            <w:tcBorders>
              <w:top w:val="nil"/>
              <w:left w:val="nil"/>
              <w:bottom w:val="single" w:color="auto" w:sz="4" w:space="0"/>
              <w:right w:val="single" w:color="auto" w:sz="4" w:space="0"/>
            </w:tcBorders>
            <w:vAlign w:val="center"/>
          </w:tcPr>
          <w:p w14:paraId="45F07EF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0.00</w:t>
            </w:r>
          </w:p>
        </w:tc>
        <w:tc>
          <w:tcPr>
            <w:tcW w:w="1134" w:type="dxa"/>
            <w:tcBorders>
              <w:top w:val="nil"/>
              <w:left w:val="nil"/>
              <w:bottom w:val="single" w:color="auto" w:sz="4" w:space="0"/>
              <w:right w:val="single" w:color="auto" w:sz="4" w:space="0"/>
            </w:tcBorders>
            <w:vAlign w:val="center"/>
          </w:tcPr>
          <w:p w14:paraId="6FCA813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324230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7964FB4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06F699CF">
            <w:pPr>
              <w:widowControl/>
              <w:spacing w:after="0" w:line="240" w:lineRule="auto"/>
              <w:jc w:val="center"/>
              <w:rPr>
                <w:rFonts w:hint="eastAsia" w:ascii="宋体" w:hAnsi="宋体" w:eastAsia="宋体" w:cs="宋体"/>
                <w:kern w:val="0"/>
                <w:sz w:val="18"/>
                <w:szCs w:val="18"/>
                <w:lang w:eastAsia="zh-CN"/>
                <w14:ligatures w14:val="none"/>
              </w:rPr>
            </w:pPr>
          </w:p>
        </w:tc>
      </w:tr>
      <w:tr w14:paraId="00090F96">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BF8667B">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2B8F549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本级资金（万元）</w:t>
            </w:r>
          </w:p>
        </w:tc>
        <w:tc>
          <w:tcPr>
            <w:tcW w:w="1418" w:type="dxa"/>
            <w:tcBorders>
              <w:top w:val="nil"/>
              <w:left w:val="nil"/>
              <w:bottom w:val="single" w:color="auto" w:sz="4" w:space="0"/>
              <w:right w:val="single" w:color="auto" w:sz="4" w:space="0"/>
            </w:tcBorders>
            <w:vAlign w:val="center"/>
          </w:tcPr>
          <w:p w14:paraId="299BC55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2,814.32</w:t>
            </w:r>
          </w:p>
        </w:tc>
        <w:tc>
          <w:tcPr>
            <w:tcW w:w="1276" w:type="dxa"/>
            <w:tcBorders>
              <w:top w:val="nil"/>
              <w:left w:val="nil"/>
              <w:bottom w:val="single" w:color="auto" w:sz="4" w:space="0"/>
              <w:right w:val="single" w:color="auto" w:sz="4" w:space="0"/>
            </w:tcBorders>
            <w:vAlign w:val="center"/>
          </w:tcPr>
          <w:p w14:paraId="7458FCF2">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2,564.84</w:t>
            </w:r>
          </w:p>
        </w:tc>
        <w:tc>
          <w:tcPr>
            <w:tcW w:w="1701" w:type="dxa"/>
            <w:tcBorders>
              <w:top w:val="nil"/>
              <w:left w:val="nil"/>
              <w:bottom w:val="single" w:color="auto" w:sz="4" w:space="0"/>
              <w:right w:val="single" w:color="auto" w:sz="4" w:space="0"/>
            </w:tcBorders>
            <w:vAlign w:val="center"/>
          </w:tcPr>
          <w:p w14:paraId="6FBAB895">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2,564.84</w:t>
            </w:r>
          </w:p>
        </w:tc>
        <w:tc>
          <w:tcPr>
            <w:tcW w:w="1134" w:type="dxa"/>
            <w:tcBorders>
              <w:top w:val="nil"/>
              <w:left w:val="nil"/>
              <w:bottom w:val="single" w:color="auto" w:sz="4" w:space="0"/>
              <w:right w:val="single" w:color="auto" w:sz="4" w:space="0"/>
            </w:tcBorders>
            <w:vAlign w:val="center"/>
          </w:tcPr>
          <w:p w14:paraId="47A14D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992" w:type="dxa"/>
            <w:tcBorders>
              <w:top w:val="nil"/>
              <w:left w:val="nil"/>
              <w:bottom w:val="single" w:color="auto" w:sz="4" w:space="0"/>
              <w:right w:val="single" w:color="auto" w:sz="4" w:space="0"/>
            </w:tcBorders>
            <w:vAlign w:val="center"/>
          </w:tcPr>
          <w:p w14:paraId="680C4763">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720" w:type="dxa"/>
            <w:tcBorders>
              <w:top w:val="nil"/>
              <w:left w:val="nil"/>
              <w:bottom w:val="single" w:color="auto" w:sz="4" w:space="0"/>
              <w:right w:val="single" w:color="auto" w:sz="4" w:space="0"/>
            </w:tcBorders>
            <w:vAlign w:val="center"/>
          </w:tcPr>
          <w:p w14:paraId="6489E8F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Times New Roman"/>
                <w:kern w:val="2"/>
                <w:sz w:val="18"/>
                <w:szCs w:val="18"/>
                <w:lang w:eastAsia="zh-CN"/>
                <w14:ligatures w14:val="standardContextual"/>
              </w:rPr>
              <w:t>-</w:t>
            </w:r>
          </w:p>
        </w:tc>
        <w:tc>
          <w:tcPr>
            <w:tcW w:w="284" w:type="dxa"/>
            <w:tcBorders>
              <w:top w:val="nil"/>
              <w:left w:val="nil"/>
              <w:bottom w:val="nil"/>
              <w:right w:val="nil"/>
            </w:tcBorders>
            <w:noWrap/>
            <w:vAlign w:val="center"/>
          </w:tcPr>
          <w:p w14:paraId="3F456505">
            <w:pPr>
              <w:widowControl/>
              <w:spacing w:after="0" w:line="240" w:lineRule="auto"/>
              <w:jc w:val="center"/>
              <w:rPr>
                <w:rFonts w:hint="eastAsia" w:ascii="宋体" w:hAnsi="宋体" w:eastAsia="宋体" w:cs="宋体"/>
                <w:kern w:val="0"/>
                <w:sz w:val="18"/>
                <w:szCs w:val="18"/>
                <w:lang w:eastAsia="zh-CN"/>
                <w14:ligatures w14:val="none"/>
              </w:rPr>
            </w:pPr>
          </w:p>
        </w:tc>
      </w:tr>
      <w:tr w14:paraId="2A45B820">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AB881AA">
            <w:pPr>
              <w:widowControl/>
              <w:spacing w:after="0" w:line="240" w:lineRule="auto"/>
              <w:jc w:val="center"/>
              <w:rPr>
                <w:rFonts w:hint="eastAsia" w:ascii="宋体" w:hAnsi="宋体" w:eastAsia="宋体" w:cs="宋体"/>
                <w:b/>
                <w:bCs/>
                <w:kern w:val="0"/>
                <w:sz w:val="18"/>
                <w:szCs w:val="18"/>
                <w:lang w:eastAsia="zh-CN"/>
                <w14:ligatures w14:val="none"/>
              </w:rPr>
            </w:pPr>
          </w:p>
        </w:tc>
        <w:tc>
          <w:tcPr>
            <w:tcW w:w="1417" w:type="dxa"/>
            <w:tcBorders>
              <w:top w:val="nil"/>
              <w:left w:val="nil"/>
              <w:bottom w:val="single" w:color="auto" w:sz="4" w:space="0"/>
              <w:right w:val="single" w:color="auto" w:sz="4" w:space="0"/>
            </w:tcBorders>
            <w:vAlign w:val="center"/>
          </w:tcPr>
          <w:p w14:paraId="3898EF8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其他资金（万元）</w:t>
            </w:r>
          </w:p>
        </w:tc>
        <w:tc>
          <w:tcPr>
            <w:tcW w:w="1418" w:type="dxa"/>
            <w:tcBorders>
              <w:top w:val="nil"/>
              <w:left w:val="nil"/>
              <w:bottom w:val="single" w:color="auto" w:sz="4" w:space="0"/>
              <w:right w:val="single" w:color="auto" w:sz="4" w:space="0"/>
            </w:tcBorders>
            <w:vAlign w:val="center"/>
          </w:tcPr>
          <w:p w14:paraId="0D2B940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6,724.96</w:t>
            </w:r>
          </w:p>
        </w:tc>
        <w:tc>
          <w:tcPr>
            <w:tcW w:w="1276" w:type="dxa"/>
            <w:tcBorders>
              <w:top w:val="nil"/>
              <w:left w:val="nil"/>
              <w:bottom w:val="single" w:color="auto" w:sz="4" w:space="0"/>
              <w:right w:val="single" w:color="auto" w:sz="4" w:space="0"/>
            </w:tcBorders>
            <w:vAlign w:val="center"/>
          </w:tcPr>
          <w:p w14:paraId="1261AFB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54.53</w:t>
            </w:r>
          </w:p>
        </w:tc>
        <w:tc>
          <w:tcPr>
            <w:tcW w:w="1701" w:type="dxa"/>
            <w:tcBorders>
              <w:top w:val="nil"/>
              <w:left w:val="nil"/>
              <w:bottom w:val="single" w:color="auto" w:sz="4" w:space="0"/>
              <w:right w:val="single" w:color="auto" w:sz="4" w:space="0"/>
            </w:tcBorders>
            <w:vAlign w:val="center"/>
          </w:tcPr>
          <w:p w14:paraId="49F559B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54.53</w:t>
            </w:r>
          </w:p>
        </w:tc>
        <w:tc>
          <w:tcPr>
            <w:tcW w:w="1134" w:type="dxa"/>
            <w:tcBorders>
              <w:top w:val="nil"/>
              <w:left w:val="nil"/>
              <w:bottom w:val="single" w:color="auto" w:sz="4" w:space="0"/>
              <w:right w:val="single" w:color="auto" w:sz="4" w:space="0"/>
            </w:tcBorders>
            <w:vAlign w:val="center"/>
          </w:tcPr>
          <w:p w14:paraId="115F837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992" w:type="dxa"/>
            <w:tcBorders>
              <w:top w:val="nil"/>
              <w:left w:val="nil"/>
              <w:bottom w:val="single" w:color="auto" w:sz="4" w:space="0"/>
              <w:right w:val="single" w:color="auto" w:sz="4" w:space="0"/>
            </w:tcBorders>
            <w:vAlign w:val="center"/>
          </w:tcPr>
          <w:p w14:paraId="2921EDCE">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720" w:type="dxa"/>
            <w:tcBorders>
              <w:top w:val="nil"/>
              <w:left w:val="nil"/>
              <w:bottom w:val="single" w:color="auto" w:sz="4" w:space="0"/>
              <w:right w:val="single" w:color="auto" w:sz="4" w:space="0"/>
            </w:tcBorders>
            <w:vAlign w:val="center"/>
          </w:tcPr>
          <w:p w14:paraId="2BADCA0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w:t>
            </w:r>
          </w:p>
        </w:tc>
        <w:tc>
          <w:tcPr>
            <w:tcW w:w="284" w:type="dxa"/>
            <w:tcBorders>
              <w:top w:val="nil"/>
              <w:left w:val="nil"/>
              <w:bottom w:val="nil"/>
              <w:right w:val="nil"/>
            </w:tcBorders>
            <w:noWrap/>
            <w:vAlign w:val="center"/>
          </w:tcPr>
          <w:p w14:paraId="0F54898C">
            <w:pPr>
              <w:widowControl/>
              <w:spacing w:after="0" w:line="240" w:lineRule="auto"/>
              <w:jc w:val="center"/>
              <w:rPr>
                <w:rFonts w:hint="eastAsia" w:ascii="宋体" w:hAnsi="宋体" w:eastAsia="宋体" w:cs="宋体"/>
                <w:kern w:val="0"/>
                <w:sz w:val="18"/>
                <w:szCs w:val="18"/>
                <w:lang w:eastAsia="zh-CN"/>
                <w14:ligatures w14:val="none"/>
              </w:rPr>
            </w:pPr>
          </w:p>
        </w:tc>
      </w:tr>
      <w:tr w14:paraId="389C3CCE">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CFDCBF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ADB6E9D">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0272DBF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实际完成情况</w:t>
            </w:r>
          </w:p>
        </w:tc>
        <w:tc>
          <w:tcPr>
            <w:tcW w:w="284" w:type="dxa"/>
            <w:tcBorders>
              <w:top w:val="nil"/>
              <w:left w:val="nil"/>
              <w:bottom w:val="nil"/>
              <w:right w:val="nil"/>
            </w:tcBorders>
            <w:noWrap/>
            <w:vAlign w:val="center"/>
          </w:tcPr>
          <w:p w14:paraId="1B0C446D">
            <w:pPr>
              <w:widowControl/>
              <w:spacing w:after="0" w:line="240" w:lineRule="auto"/>
              <w:jc w:val="left"/>
              <w:rPr>
                <w:rFonts w:hint="eastAsia" w:ascii="宋体" w:hAnsi="宋体" w:eastAsia="宋体" w:cs="宋体"/>
                <w:b/>
                <w:bCs/>
                <w:kern w:val="0"/>
                <w:sz w:val="18"/>
                <w:szCs w:val="18"/>
                <w:lang w:eastAsia="zh-CN"/>
                <w14:ligatures w14:val="none"/>
              </w:rPr>
            </w:pPr>
          </w:p>
        </w:tc>
      </w:tr>
      <w:tr w14:paraId="6506EC8D">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99FFE5A">
            <w:pPr>
              <w:widowControl/>
              <w:spacing w:after="0" w:line="240" w:lineRule="auto"/>
              <w:jc w:val="left"/>
              <w:rPr>
                <w:rFonts w:hint="eastAsia" w:ascii="宋体" w:hAnsi="宋体" w:eastAsia="宋体" w:cs="宋体"/>
                <w:b/>
                <w:bCs/>
                <w:kern w:val="0"/>
                <w:sz w:val="18"/>
                <w:szCs w:val="18"/>
                <w:lang w:eastAsia="zh-CN"/>
                <w14:ligatures w14:val="none"/>
              </w:rPr>
            </w:pPr>
          </w:p>
        </w:tc>
        <w:tc>
          <w:tcPr>
            <w:tcW w:w="4111" w:type="dxa"/>
            <w:gridSpan w:val="3"/>
            <w:tcBorders>
              <w:top w:val="single" w:color="auto" w:sz="4" w:space="0"/>
              <w:left w:val="nil"/>
              <w:bottom w:val="single" w:color="auto" w:sz="4" w:space="0"/>
              <w:right w:val="single" w:color="auto" w:sz="4" w:space="0"/>
            </w:tcBorders>
          </w:tcPr>
          <w:p w14:paraId="66CAE483">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单位职能：在上级部门和乌鲁木齐监管局指导下，负责市场监督管理和知识产权管理。负责市场主体统一登记注册，负责各类企业、农民专业合作社和从事经营活动的单位、个体工商户等市场主体的登记注册和监督管理工作；建设市场主体信息公示和共享机制，依法公示和共享有关信息，加强信息监管，推动市场主体信用体系建设。组织市场监管和知识产权综合执法工作，组织查处重大违法案件；规范市场监管和知识产权行政执法行为；负责监督管理市场执法。依法监管市场交易，网络商品交易和有关服务的行为。负责产品质量安全监督管理。管理产品质量监督抽查；组织实施质量分级制度、质量安全追溯制度；推进产品质量诚信体系建设；负责工业产品生产许可证的监督管理。负责统一管理计量工作。执行国家计量制度，推行国家法定计量单位，依法管理计量器具，组织量值传递；规范、监督商品量和市场计量行为；负责对计量检定机构及检定人员的资质资格进行监督管理。负责统一管理标准化工作。依法协调指导团体标准、企业标准制定工作；管理和指导标准化试点示范项目。2024年我局重点工作计划:总体工作要求：聚焦自治区党委十届七次、八次全会，市委十二届六次全会，区委三届六次全会精神及区委、区政府的各项决策部署，增强“四个意识”，坚定“四个自信”，做到“两个维护”，聚焦新疆工作总目标，立足市场监管职能，坚持“一手抓服务发展，一手抓行政执法”，推进“放管服”及“质量强区”，抓好食品药品、特种设备、产品质量“四大安全”，抓重点、补短板、强弱项，为我区经济社会发展与社会长治久安做出积极贡献。主要预期目标：一是深入推进“放管服”改革，全面推行注册登记“审核合一、一人通办”，实施“互联网+电子政务”，持续优化营商环境。二是推进依法行政，健全公平竞争审查制度，促进形成公平正义的市场环境。三是守住食品药品、特种设备、产品质量“四大安全”底线，确保重点领域内不发生重大安全事故。四是强化监管执法，大力整顿规范市场秩序，查处垄断和不正当竞争违法行为，营造公平竞争的市场环境。</w:t>
            </w:r>
          </w:p>
        </w:tc>
        <w:tc>
          <w:tcPr>
            <w:tcW w:w="4547" w:type="dxa"/>
            <w:gridSpan w:val="4"/>
            <w:tcBorders>
              <w:top w:val="single" w:color="auto" w:sz="4" w:space="0"/>
              <w:left w:val="nil"/>
              <w:bottom w:val="single" w:color="auto" w:sz="4" w:space="0"/>
              <w:right w:val="single" w:color="auto" w:sz="4" w:space="0"/>
            </w:tcBorders>
          </w:tcPr>
          <w:p w14:paraId="04D65B7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推进“放管服”改革。依托“互联网+政务服务”，提升“最多跑一次”改革实效。对区重点项目做到全过程跟踪服务，办理区政府招商引资企业19户。将简易注销公示期由45日缩短为20日，办理简易注销业务697户。深化“证照分离”改革，推行预包装食品备案制，办理备案登记2589户。承担自贸区改革试点任务5项，完成率100%，新增市场主体219户。2024年我区新增各类市场主体9472户，其中企业新增2402户农民专业合作社新增12户，个体工商新增7058户，办理食品经营许可2113户。2、企业年报率92.98%，对逾期未年报115户企业予以行政处罚，罚款金额11.9万元。对346户企业、144户农民专业合作社，17672条个体工商户移出经营异常名录，进行信用修复;对638户僵尸企业进行立案调查，吊销企业381户。制定下达32项内部、20项部门联合“双随机”抽查计划。引导个体工商户转型升级，完成“个转企”91户。积极推动企业标准自我声明公开督查制度，指导企业将标准公开上传公共服务平台。3、深化民生领域“铁拳”行动。突出关系人民群众利益的重点领域查办一批群众身边性质恶劣的违法案件。专项行动立案48起，罚没款51.29万元。推进包容审慎监管。严格落实国家市场监督管理总局和自治区市场监管领域“首违不罚”、“减免责”三项清单，为企业减负增效。截止目前，适用“首违不罚”案件24件(其中不予立案12件)，轻微违法行为不予处罚66件(其中不予立案51件)，从轻处罚22件，减轻处罚12件。强化价格监管。集中开展重点节假日、停车场收费及旅游市场价格专项检查工作。联合商务、文旅等部门对辖区餐饮、住宿企业开展旅游旺季价格提醒。检查经营主体937家次，立案3起。五是开展堆煤场专项整治。建立堆煤场相关部门联席会议、联合执法工作机制，对堆煤场及生活用煤销售点开展常态化巡查。全局查处各类违法案件立案193件(其中反不正当竞争类4件，食品类70件，两品一类15件，产品质量类42件，特种设备类2件，计量类5件，商标侵权类20件，广告类13件，价格类5件，市场主体准入类2件，其他各类案件9件)，结案150件(含结转案件32件)，罚没款入库总金额318.33万元。4、推进质量提升行动。组织多领域专家和国家市场监管总局电线电缆行业权威专家、板材行业专家深入米东区生产一线，为10家企业一对一“把脉问诊”，帮助企业解决实际困难23件，提高核心竞争力，助力企业高质量发展。充分发挥质量强区领导小组办公室牵头抓总作用，组织召开质量工作会议;加大重点工业产品监督抽查力度，计划完成7大类18种产品188批次，完成监督抽查不合格产品后处理工作，完成率100%;持续做好55家取得生产许可证企业的证后监管工作，做到2次全覆盖监督检查;贯彻市场监管总局75号、76号令，做好自治区工业产品质量监管平台录入和使用，计划完成500家生产销售主体录入。5、提升市场标准计量水平。积极推动企业标准自我声明公开督查制度，指导企业将标准公开上传公共服务平台，目前已上传206户企业，累计上报1543项标准，涵盖1962种产品。开展百城千业万企对标达标提升专项行动，指导35户企业完成对标达标。对辖区内农贸市场、商店、加油加气站、制配镜行业等使用的强制检定计量器具进行检查，检查计量器具1400台(件)。对41家检验检测机构开展全覆盖检查，下发处罚决定书1份，罚款1万元，责令改正通知书4份。帮扶2户小微企业通过质量管理体系认证提升。6、持续深化“政银合作”。加强与银行的紧密协作在政务服务大厅窗口配备自助服务终端6台，合作银行网点现场指导人员4名，免费为公众提供咨询、代理业务以及网上申报指导等优质高效服务，让信息“多跑趟”，群众最多“跑一趟”。7、实施地理标志产品保护。通过开展行政指导、宣贯相关政策、组织召开相关单位协调会，推进“米泉大米”农产品地理标志向地理标志产品转化，促进产业振兴。目前已向国家知识产权局提交了申报材料。8、助力光伏产业发展。抽调2名干部常驻我区光伏基地，跑办帮办为企业提供行政审批及食品安全保障服务。协调市局高效审批，首家药店及时落户基地，满足基地企业职工购药需求。举办各类经营主体培训班15期，参训人员220人次;发放宣传材料5300余份;检查工地食堂68家，规范办理健康证79人;为光伏驿站26家商户上门办理行政许可。</w:t>
            </w:r>
          </w:p>
        </w:tc>
        <w:tc>
          <w:tcPr>
            <w:tcW w:w="284" w:type="dxa"/>
            <w:tcBorders>
              <w:top w:val="nil"/>
              <w:left w:val="nil"/>
              <w:bottom w:val="nil"/>
              <w:right w:val="nil"/>
            </w:tcBorders>
            <w:noWrap/>
            <w:vAlign w:val="center"/>
          </w:tcPr>
          <w:p w14:paraId="7A35346A">
            <w:pPr>
              <w:widowControl/>
              <w:spacing w:after="0" w:line="240" w:lineRule="auto"/>
              <w:jc w:val="left"/>
              <w:rPr>
                <w:rFonts w:hint="eastAsia" w:ascii="宋体" w:hAnsi="宋体" w:eastAsia="宋体" w:cs="宋体"/>
                <w:kern w:val="0"/>
                <w:sz w:val="18"/>
                <w:szCs w:val="18"/>
                <w:lang w:eastAsia="zh-CN"/>
                <w14:ligatures w14:val="none"/>
              </w:rPr>
            </w:pPr>
          </w:p>
        </w:tc>
      </w:tr>
      <w:tr w14:paraId="65671773">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2269B258">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一级指标</w:t>
            </w:r>
          </w:p>
        </w:tc>
        <w:tc>
          <w:tcPr>
            <w:tcW w:w="1417" w:type="dxa"/>
            <w:tcBorders>
              <w:top w:val="nil"/>
              <w:left w:val="nil"/>
              <w:bottom w:val="single" w:color="auto" w:sz="4" w:space="0"/>
              <w:right w:val="single" w:color="auto" w:sz="4" w:space="0"/>
            </w:tcBorders>
            <w:vAlign w:val="center"/>
          </w:tcPr>
          <w:p w14:paraId="54D008B4">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二级指标</w:t>
            </w:r>
          </w:p>
        </w:tc>
        <w:tc>
          <w:tcPr>
            <w:tcW w:w="1418" w:type="dxa"/>
            <w:tcBorders>
              <w:top w:val="nil"/>
              <w:left w:val="nil"/>
              <w:bottom w:val="single" w:color="auto" w:sz="4" w:space="0"/>
              <w:right w:val="single" w:color="auto" w:sz="4" w:space="0"/>
            </w:tcBorders>
            <w:vAlign w:val="center"/>
          </w:tcPr>
          <w:p w14:paraId="2D7A9DAA">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三级指标</w:t>
            </w:r>
          </w:p>
        </w:tc>
        <w:tc>
          <w:tcPr>
            <w:tcW w:w="1276" w:type="dxa"/>
            <w:tcBorders>
              <w:top w:val="nil"/>
              <w:left w:val="nil"/>
              <w:bottom w:val="single" w:color="auto" w:sz="4" w:space="0"/>
              <w:right w:val="single" w:color="auto" w:sz="4" w:space="0"/>
            </w:tcBorders>
            <w:vAlign w:val="center"/>
          </w:tcPr>
          <w:p w14:paraId="206E248C">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预期指标值</w:t>
            </w:r>
          </w:p>
        </w:tc>
        <w:tc>
          <w:tcPr>
            <w:tcW w:w="1701" w:type="dxa"/>
            <w:tcBorders>
              <w:top w:val="nil"/>
              <w:left w:val="nil"/>
              <w:bottom w:val="single" w:color="auto" w:sz="4" w:space="0"/>
              <w:right w:val="single" w:color="auto" w:sz="4" w:space="0"/>
            </w:tcBorders>
            <w:vAlign w:val="center"/>
          </w:tcPr>
          <w:p w14:paraId="173E56E5">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指标值设定依据</w:t>
            </w:r>
          </w:p>
        </w:tc>
        <w:tc>
          <w:tcPr>
            <w:tcW w:w="1134" w:type="dxa"/>
            <w:tcBorders>
              <w:top w:val="nil"/>
              <w:left w:val="nil"/>
              <w:bottom w:val="single" w:color="auto" w:sz="4" w:space="0"/>
              <w:right w:val="single" w:color="auto" w:sz="4" w:space="0"/>
            </w:tcBorders>
            <w:vAlign w:val="center"/>
          </w:tcPr>
          <w:p w14:paraId="4C27F519">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实际完成指标值</w:t>
            </w:r>
          </w:p>
        </w:tc>
        <w:tc>
          <w:tcPr>
            <w:tcW w:w="992" w:type="dxa"/>
            <w:tcBorders>
              <w:top w:val="nil"/>
              <w:left w:val="nil"/>
              <w:bottom w:val="single" w:color="auto" w:sz="4" w:space="0"/>
              <w:right w:val="single" w:color="auto" w:sz="4" w:space="0"/>
            </w:tcBorders>
            <w:vAlign w:val="center"/>
          </w:tcPr>
          <w:p w14:paraId="2AAC7D1E">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分值权重</w:t>
            </w:r>
          </w:p>
        </w:tc>
        <w:tc>
          <w:tcPr>
            <w:tcW w:w="720" w:type="dxa"/>
            <w:tcBorders>
              <w:top w:val="nil"/>
              <w:left w:val="nil"/>
              <w:bottom w:val="single" w:color="auto" w:sz="4" w:space="0"/>
              <w:right w:val="single" w:color="auto" w:sz="4" w:space="0"/>
            </w:tcBorders>
            <w:vAlign w:val="center"/>
          </w:tcPr>
          <w:p w14:paraId="5D7BA9E2">
            <w:pPr>
              <w:widowControl/>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得分</w:t>
            </w:r>
          </w:p>
        </w:tc>
        <w:tc>
          <w:tcPr>
            <w:tcW w:w="284" w:type="dxa"/>
            <w:tcBorders>
              <w:top w:val="nil"/>
              <w:left w:val="nil"/>
              <w:bottom w:val="nil"/>
              <w:right w:val="nil"/>
            </w:tcBorders>
            <w:noWrap/>
            <w:vAlign w:val="center"/>
          </w:tcPr>
          <w:p w14:paraId="4E8BB8DA">
            <w:pPr>
              <w:widowControl/>
              <w:spacing w:after="0" w:line="240" w:lineRule="auto"/>
              <w:jc w:val="left"/>
              <w:rPr>
                <w:rFonts w:hint="eastAsia" w:ascii="宋体" w:hAnsi="宋体" w:eastAsia="宋体" w:cs="宋体"/>
                <w:b/>
                <w:bCs/>
                <w:kern w:val="0"/>
                <w:sz w:val="18"/>
                <w:szCs w:val="18"/>
                <w:lang w:eastAsia="zh-CN"/>
                <w14:ligatures w14:val="none"/>
              </w:rPr>
            </w:pPr>
          </w:p>
        </w:tc>
      </w:tr>
      <w:tr w14:paraId="2F042A85">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7CCA22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履职效能</w:t>
            </w:r>
          </w:p>
        </w:tc>
        <w:tc>
          <w:tcPr>
            <w:tcW w:w="1417" w:type="dxa"/>
            <w:vMerge w:val="restart"/>
            <w:tcBorders>
              <w:top w:val="nil"/>
              <w:left w:val="nil"/>
              <w:right w:val="single" w:color="auto" w:sz="4" w:space="0"/>
            </w:tcBorders>
            <w:noWrap/>
            <w:vAlign w:val="center"/>
          </w:tcPr>
          <w:p w14:paraId="0D7B729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数量指标</w:t>
            </w:r>
          </w:p>
        </w:tc>
        <w:tc>
          <w:tcPr>
            <w:tcW w:w="1418" w:type="dxa"/>
            <w:tcBorders>
              <w:top w:val="nil"/>
              <w:left w:val="nil"/>
              <w:bottom w:val="single" w:color="auto" w:sz="4" w:space="0"/>
              <w:right w:val="single" w:color="auto" w:sz="4" w:space="0"/>
            </w:tcBorders>
            <w:noWrap/>
            <w:vAlign w:val="center"/>
          </w:tcPr>
          <w:p w14:paraId="4C06FE2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检验批次</w:t>
            </w:r>
          </w:p>
        </w:tc>
        <w:tc>
          <w:tcPr>
            <w:tcW w:w="1276" w:type="dxa"/>
            <w:tcBorders>
              <w:top w:val="nil"/>
              <w:left w:val="nil"/>
              <w:bottom w:val="single" w:color="auto" w:sz="4" w:space="0"/>
              <w:right w:val="single" w:color="auto" w:sz="4" w:space="0"/>
            </w:tcBorders>
            <w:noWrap/>
            <w:vAlign w:val="center"/>
          </w:tcPr>
          <w:p w14:paraId="248B795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&gt;=36批次</w:t>
            </w:r>
          </w:p>
        </w:tc>
        <w:tc>
          <w:tcPr>
            <w:tcW w:w="1701" w:type="dxa"/>
            <w:tcBorders>
              <w:top w:val="nil"/>
              <w:left w:val="nil"/>
              <w:bottom w:val="single" w:color="auto" w:sz="4" w:space="0"/>
              <w:right w:val="single" w:color="auto" w:sz="4" w:space="0"/>
            </w:tcBorders>
            <w:noWrap/>
            <w:vAlign w:val="center"/>
          </w:tcPr>
          <w:p w14:paraId="7C6AFF9E">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nil"/>
              <w:left w:val="nil"/>
              <w:bottom w:val="single" w:color="auto" w:sz="4" w:space="0"/>
              <w:right w:val="single" w:color="auto" w:sz="4" w:space="0"/>
            </w:tcBorders>
            <w:noWrap/>
            <w:vAlign w:val="center"/>
          </w:tcPr>
          <w:p w14:paraId="15573DE8">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37批次</w:t>
            </w:r>
          </w:p>
        </w:tc>
        <w:tc>
          <w:tcPr>
            <w:tcW w:w="992" w:type="dxa"/>
            <w:tcBorders>
              <w:top w:val="nil"/>
              <w:left w:val="nil"/>
              <w:bottom w:val="single" w:color="auto" w:sz="4" w:space="0"/>
              <w:right w:val="single" w:color="auto" w:sz="4" w:space="0"/>
            </w:tcBorders>
            <w:noWrap/>
            <w:vAlign w:val="center"/>
          </w:tcPr>
          <w:p w14:paraId="49D75B1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484A347C">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2CA29666">
            <w:pPr>
              <w:widowControl/>
              <w:spacing w:after="0" w:line="240" w:lineRule="auto"/>
              <w:jc w:val="center"/>
              <w:rPr>
                <w:rFonts w:hint="eastAsia" w:ascii="宋体" w:hAnsi="宋体" w:eastAsia="宋体" w:cs="宋体"/>
                <w:kern w:val="0"/>
                <w:sz w:val="18"/>
                <w:szCs w:val="18"/>
                <w:lang w:eastAsia="zh-CN"/>
                <w14:ligatures w14:val="none"/>
              </w:rPr>
            </w:pPr>
          </w:p>
        </w:tc>
      </w:tr>
      <w:tr w14:paraId="735756A2">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02F396EE">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vMerge w:val="continue"/>
            <w:tcBorders>
              <w:left w:val="nil"/>
              <w:bottom w:val="single" w:color="auto" w:sz="4" w:space="0"/>
              <w:right w:val="single" w:color="auto" w:sz="4" w:space="0"/>
            </w:tcBorders>
            <w:noWrap/>
            <w:vAlign w:val="center"/>
          </w:tcPr>
          <w:p w14:paraId="214906A1">
            <w:pPr>
              <w:widowControl/>
              <w:spacing w:after="0" w:line="240" w:lineRule="auto"/>
              <w:jc w:val="center"/>
              <w:rPr>
                <w:rFonts w:hint="eastAsia" w:ascii="宋体" w:hAnsi="宋体" w:eastAsia="宋体" w:cs="宋体"/>
                <w:kern w:val="0"/>
                <w:sz w:val="18"/>
                <w:szCs w:val="18"/>
                <w:lang w:eastAsia="zh-CN"/>
                <w14:ligatures w14:val="none"/>
              </w:rPr>
            </w:pPr>
          </w:p>
        </w:tc>
        <w:tc>
          <w:tcPr>
            <w:tcW w:w="1418" w:type="dxa"/>
            <w:tcBorders>
              <w:top w:val="nil"/>
              <w:left w:val="nil"/>
              <w:bottom w:val="single" w:color="auto" w:sz="4" w:space="0"/>
              <w:right w:val="single" w:color="auto" w:sz="4" w:space="0"/>
            </w:tcBorders>
            <w:noWrap/>
            <w:vAlign w:val="center"/>
          </w:tcPr>
          <w:p w14:paraId="4D6E4D7A">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药品检查品种数</w:t>
            </w:r>
          </w:p>
        </w:tc>
        <w:tc>
          <w:tcPr>
            <w:tcW w:w="1276" w:type="dxa"/>
            <w:tcBorders>
              <w:top w:val="nil"/>
              <w:left w:val="nil"/>
              <w:bottom w:val="single" w:color="auto" w:sz="4" w:space="0"/>
              <w:right w:val="single" w:color="auto" w:sz="4" w:space="0"/>
            </w:tcBorders>
            <w:noWrap/>
            <w:vAlign w:val="center"/>
          </w:tcPr>
          <w:p w14:paraId="5278BE36">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&gt;=10种</w:t>
            </w:r>
          </w:p>
        </w:tc>
        <w:tc>
          <w:tcPr>
            <w:tcW w:w="1701" w:type="dxa"/>
            <w:tcBorders>
              <w:top w:val="nil"/>
              <w:left w:val="nil"/>
              <w:bottom w:val="single" w:color="auto" w:sz="4" w:space="0"/>
              <w:right w:val="single" w:color="auto" w:sz="4" w:space="0"/>
            </w:tcBorders>
            <w:noWrap/>
            <w:vAlign w:val="center"/>
          </w:tcPr>
          <w:p w14:paraId="4A389E9D">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nil"/>
              <w:left w:val="nil"/>
              <w:bottom w:val="single" w:color="auto" w:sz="4" w:space="0"/>
              <w:right w:val="single" w:color="auto" w:sz="4" w:space="0"/>
            </w:tcBorders>
            <w:noWrap/>
            <w:vAlign w:val="center"/>
          </w:tcPr>
          <w:p w14:paraId="2E92219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37种</w:t>
            </w:r>
          </w:p>
        </w:tc>
        <w:tc>
          <w:tcPr>
            <w:tcW w:w="992" w:type="dxa"/>
            <w:tcBorders>
              <w:top w:val="nil"/>
              <w:left w:val="nil"/>
              <w:bottom w:val="single" w:color="auto" w:sz="4" w:space="0"/>
              <w:right w:val="single" w:color="auto" w:sz="4" w:space="0"/>
            </w:tcBorders>
            <w:noWrap/>
            <w:vAlign w:val="center"/>
          </w:tcPr>
          <w:p w14:paraId="2240C45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nil"/>
              <w:left w:val="nil"/>
              <w:bottom w:val="single" w:color="auto" w:sz="4" w:space="0"/>
              <w:right w:val="single" w:color="auto" w:sz="4" w:space="0"/>
            </w:tcBorders>
            <w:noWrap/>
            <w:vAlign w:val="center"/>
          </w:tcPr>
          <w:p w14:paraId="2D0968D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4D39062E">
            <w:pPr>
              <w:widowControl/>
              <w:spacing w:after="0" w:line="240" w:lineRule="auto"/>
              <w:jc w:val="center"/>
              <w:rPr>
                <w:rFonts w:hint="eastAsia" w:ascii="宋体" w:hAnsi="宋体" w:eastAsia="宋体" w:cs="宋体"/>
                <w:kern w:val="0"/>
                <w:sz w:val="18"/>
                <w:szCs w:val="18"/>
                <w:lang w:eastAsia="zh-CN"/>
                <w14:ligatures w14:val="none"/>
              </w:rPr>
            </w:pPr>
          </w:p>
        </w:tc>
      </w:tr>
      <w:tr w14:paraId="219EE037">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3CEE5B9A">
            <w:pPr>
              <w:widowControl/>
              <w:spacing w:after="0" w:line="240" w:lineRule="auto"/>
              <w:jc w:val="center"/>
              <w:rPr>
                <w:rFonts w:hint="eastAsia" w:ascii="宋体" w:hAnsi="宋体" w:eastAsia="宋体" w:cs="宋体"/>
                <w:kern w:val="0"/>
                <w:sz w:val="18"/>
                <w:szCs w:val="18"/>
                <w:lang w:eastAsia="zh-CN"/>
                <w14:ligatures w14:val="none"/>
              </w:rPr>
            </w:pPr>
          </w:p>
        </w:tc>
        <w:tc>
          <w:tcPr>
            <w:tcW w:w="1417" w:type="dxa"/>
            <w:tcBorders>
              <w:top w:val="single" w:color="auto" w:sz="4" w:space="0"/>
              <w:left w:val="nil"/>
              <w:bottom w:val="single" w:color="auto" w:sz="4" w:space="0"/>
              <w:right w:val="single" w:color="auto" w:sz="4" w:space="0"/>
            </w:tcBorders>
            <w:noWrap/>
            <w:vAlign w:val="center"/>
          </w:tcPr>
          <w:p w14:paraId="27CE39E9">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质量指标</w:t>
            </w:r>
          </w:p>
        </w:tc>
        <w:tc>
          <w:tcPr>
            <w:tcW w:w="1418" w:type="dxa"/>
            <w:tcBorders>
              <w:top w:val="single" w:color="auto" w:sz="4" w:space="0"/>
              <w:left w:val="nil"/>
              <w:bottom w:val="single" w:color="auto" w:sz="4" w:space="0"/>
              <w:right w:val="single" w:color="auto" w:sz="4" w:space="0"/>
            </w:tcBorders>
            <w:noWrap/>
            <w:vAlign w:val="center"/>
          </w:tcPr>
          <w:p w14:paraId="6832EC5D">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药品检验合格率</w:t>
            </w:r>
          </w:p>
        </w:tc>
        <w:tc>
          <w:tcPr>
            <w:tcW w:w="1276" w:type="dxa"/>
            <w:tcBorders>
              <w:top w:val="single" w:color="auto" w:sz="4" w:space="0"/>
              <w:left w:val="nil"/>
              <w:bottom w:val="single" w:color="auto" w:sz="4" w:space="0"/>
              <w:right w:val="single" w:color="auto" w:sz="4" w:space="0"/>
            </w:tcBorders>
            <w:noWrap/>
            <w:vAlign w:val="center"/>
          </w:tcPr>
          <w:p w14:paraId="709382F0">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&gt;=100%</w:t>
            </w:r>
          </w:p>
        </w:tc>
        <w:tc>
          <w:tcPr>
            <w:tcW w:w="1701" w:type="dxa"/>
            <w:tcBorders>
              <w:top w:val="single" w:color="auto" w:sz="4" w:space="0"/>
              <w:left w:val="nil"/>
              <w:bottom w:val="single" w:color="auto" w:sz="4" w:space="0"/>
              <w:right w:val="single" w:color="auto" w:sz="4" w:space="0"/>
            </w:tcBorders>
            <w:noWrap/>
            <w:vAlign w:val="center"/>
          </w:tcPr>
          <w:p w14:paraId="1B60F959">
            <w:pPr>
              <w:widowControl/>
              <w:spacing w:after="0" w:line="240" w:lineRule="auto"/>
              <w:jc w:val="left"/>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关于印发〈新疆维吾尔自治区2023年国家药品、医疗器械、化妆品抽检实施方案〉的通知》（新药监稽〔2023〕49号）《关于印发〈2023年自治区药品、医疗器械、化妆品抽检工作方案〉的通知》（新药监稽〔2023〕50号）</w:t>
            </w:r>
          </w:p>
        </w:tc>
        <w:tc>
          <w:tcPr>
            <w:tcW w:w="1134" w:type="dxa"/>
            <w:tcBorders>
              <w:top w:val="single" w:color="auto" w:sz="4" w:space="0"/>
              <w:left w:val="nil"/>
              <w:bottom w:val="single" w:color="auto" w:sz="4" w:space="0"/>
              <w:right w:val="single" w:color="auto" w:sz="4" w:space="0"/>
            </w:tcBorders>
            <w:noWrap/>
            <w:vAlign w:val="center"/>
          </w:tcPr>
          <w:p w14:paraId="325D052F">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992" w:type="dxa"/>
            <w:tcBorders>
              <w:top w:val="single" w:color="auto" w:sz="4" w:space="0"/>
              <w:left w:val="nil"/>
              <w:bottom w:val="single" w:color="auto" w:sz="4" w:space="0"/>
              <w:right w:val="single" w:color="auto" w:sz="4" w:space="0"/>
            </w:tcBorders>
            <w:noWrap/>
            <w:vAlign w:val="center"/>
          </w:tcPr>
          <w:p w14:paraId="26105C31">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720" w:type="dxa"/>
            <w:tcBorders>
              <w:top w:val="single" w:color="auto" w:sz="4" w:space="0"/>
              <w:left w:val="nil"/>
              <w:bottom w:val="single" w:color="auto" w:sz="4" w:space="0"/>
              <w:right w:val="single" w:color="auto" w:sz="4" w:space="0"/>
            </w:tcBorders>
            <w:noWrap/>
            <w:vAlign w:val="center"/>
          </w:tcPr>
          <w:p w14:paraId="10A6A96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30</w:t>
            </w:r>
          </w:p>
        </w:tc>
        <w:tc>
          <w:tcPr>
            <w:tcW w:w="284" w:type="dxa"/>
            <w:tcBorders>
              <w:top w:val="nil"/>
              <w:left w:val="nil"/>
              <w:bottom w:val="nil"/>
              <w:right w:val="nil"/>
            </w:tcBorders>
            <w:noWrap/>
            <w:vAlign w:val="center"/>
          </w:tcPr>
          <w:p w14:paraId="04929FF1">
            <w:pPr>
              <w:widowControl/>
              <w:spacing w:after="0" w:line="240" w:lineRule="auto"/>
              <w:jc w:val="center"/>
              <w:rPr>
                <w:rFonts w:hint="eastAsia" w:ascii="宋体" w:hAnsi="宋体" w:eastAsia="宋体" w:cs="宋体"/>
                <w:kern w:val="0"/>
                <w:sz w:val="18"/>
                <w:szCs w:val="18"/>
                <w:lang w:eastAsia="zh-CN"/>
                <w14:ligatures w14:val="none"/>
              </w:rPr>
            </w:pPr>
          </w:p>
        </w:tc>
      </w:tr>
      <w:tr w14:paraId="0A9CDE35">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F559D2B">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总分</w:t>
            </w:r>
          </w:p>
        </w:tc>
        <w:tc>
          <w:tcPr>
            <w:tcW w:w="992" w:type="dxa"/>
            <w:tcBorders>
              <w:top w:val="single" w:color="auto" w:sz="4" w:space="0"/>
              <w:left w:val="nil"/>
              <w:bottom w:val="single" w:color="auto" w:sz="4" w:space="0"/>
              <w:right w:val="single" w:color="auto" w:sz="4" w:space="0"/>
            </w:tcBorders>
            <w:noWrap/>
            <w:vAlign w:val="center"/>
          </w:tcPr>
          <w:p w14:paraId="651C0047">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720" w:type="dxa"/>
            <w:tcBorders>
              <w:top w:val="single" w:color="auto" w:sz="4" w:space="0"/>
              <w:left w:val="nil"/>
              <w:bottom w:val="single" w:color="auto" w:sz="4" w:space="0"/>
              <w:right w:val="single" w:color="auto" w:sz="4" w:space="0"/>
            </w:tcBorders>
            <w:noWrap/>
            <w:vAlign w:val="center"/>
          </w:tcPr>
          <w:p w14:paraId="436029F4">
            <w:pPr>
              <w:widowControl/>
              <w:spacing w:after="0" w:line="240" w:lineRule="auto"/>
              <w:jc w:val="center"/>
              <w:rPr>
                <w:rFonts w:hint="eastAsia" w:ascii="宋体" w:hAnsi="宋体" w:eastAsia="宋体" w:cs="宋体"/>
                <w:kern w:val="0"/>
                <w:sz w:val="18"/>
                <w:szCs w:val="18"/>
                <w:lang w:eastAsia="zh-CN"/>
                <w14:ligatures w14:val="none"/>
              </w:rPr>
            </w:pPr>
            <w:r>
              <w:rPr>
                <w:rFonts w:hint="eastAsia" w:ascii="宋体" w:hAnsi="宋体" w:eastAsia="宋体" w:cs="宋体"/>
                <w:kern w:val="0"/>
                <w:sz w:val="18"/>
                <w:szCs w:val="18"/>
                <w:lang w:eastAsia="zh-CN"/>
                <w14:ligatures w14:val="none"/>
              </w:rPr>
              <w:t>100</w:t>
            </w:r>
          </w:p>
        </w:tc>
        <w:tc>
          <w:tcPr>
            <w:tcW w:w="284" w:type="dxa"/>
            <w:tcBorders>
              <w:top w:val="nil"/>
              <w:left w:val="nil"/>
              <w:bottom w:val="nil"/>
              <w:right w:val="nil"/>
            </w:tcBorders>
            <w:noWrap/>
            <w:vAlign w:val="center"/>
          </w:tcPr>
          <w:p w14:paraId="6FF618E8">
            <w:pPr>
              <w:widowControl/>
              <w:spacing w:after="0" w:line="240" w:lineRule="auto"/>
              <w:jc w:val="center"/>
              <w:rPr>
                <w:rFonts w:hint="eastAsia" w:ascii="宋体" w:hAnsi="宋体" w:eastAsia="宋体" w:cs="宋体"/>
                <w:kern w:val="0"/>
                <w:sz w:val="18"/>
                <w:szCs w:val="18"/>
                <w:lang w:eastAsia="zh-CN"/>
                <w14:ligatures w14:val="none"/>
              </w:rPr>
            </w:pPr>
          </w:p>
        </w:tc>
      </w:tr>
    </w:tbl>
    <w:p w14:paraId="677BF5C8">
      <w:pPr>
        <w:widowControl w:val="0"/>
        <w:spacing w:after="0" w:line="240" w:lineRule="auto"/>
        <w:jc w:val="center"/>
        <w:rPr>
          <w:rFonts w:hint="eastAsia" w:ascii="宋体" w:hAnsi="宋体" w:eastAsia="宋体" w:cs="宋体"/>
          <w:b/>
          <w:bCs/>
          <w:kern w:val="0"/>
          <w:sz w:val="28"/>
          <w:szCs w:val="28"/>
          <w:lang w:eastAsia="zh-CN"/>
          <w14:ligatures w14:val="none"/>
        </w:rPr>
      </w:pPr>
      <w:r>
        <w:rPr>
          <w:rFonts w:hint="eastAsia" w:ascii="宋体" w:hAnsi="宋体" w:eastAsia="宋体" w:cs="宋体"/>
          <w:b/>
          <w:bCs/>
          <w:kern w:val="0"/>
          <w:sz w:val="18"/>
          <w:szCs w:val="18"/>
          <w:lang w:eastAsia="zh-CN"/>
          <w14:ligatures w14:val="none"/>
        </w:rPr>
        <w:br w:type="page"/>
      </w:r>
      <w:r>
        <w:rPr>
          <w:rFonts w:hint="eastAsia" w:ascii="宋体" w:hAnsi="宋体" w:eastAsia="宋体" w:cs="宋体"/>
          <w:b/>
          <w:bCs/>
          <w:kern w:val="0"/>
          <w:sz w:val="28"/>
          <w:szCs w:val="28"/>
          <w:lang w:eastAsia="zh-CN"/>
          <w14:ligatures w14:val="none"/>
        </w:rPr>
        <w:t>项目支出绩效自评表</w:t>
      </w:r>
    </w:p>
    <w:p w14:paraId="08372321">
      <w:pPr>
        <w:widowControl w:val="0"/>
        <w:spacing w:after="0" w:line="240" w:lineRule="auto"/>
        <w:jc w:val="center"/>
        <w:rPr>
          <w:rFonts w:hint="eastAsia" w:ascii="宋体" w:hAnsi="宋体" w:eastAsia="宋体" w:cs="宋体"/>
          <w:b/>
          <w:bCs/>
          <w:kern w:val="0"/>
          <w:sz w:val="18"/>
          <w:szCs w:val="18"/>
          <w:lang w:eastAsia="zh-CN"/>
          <w14:ligatures w14:val="none"/>
        </w:rPr>
      </w:pPr>
      <w:r>
        <w:rPr>
          <w:rFonts w:hint="eastAsia" w:ascii="宋体" w:hAnsi="宋体" w:eastAsia="宋体" w:cs="宋体"/>
          <w:b/>
          <w:bCs/>
          <w:kern w:val="0"/>
          <w:sz w:val="18"/>
          <w:szCs w:val="18"/>
          <w:lang w:eastAsia="zh-CN"/>
          <w14:ligatures w14:val="none"/>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9E9D4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A5D280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D9B332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2024年市场监管执法经费</w:t>
            </w:r>
          </w:p>
        </w:tc>
      </w:tr>
      <w:tr w14:paraId="56EB6E4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8DC74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A03A0A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乌鲁木齐市米东区市场监督管理局（知识产权局）</w:t>
            </w:r>
          </w:p>
        </w:tc>
        <w:tc>
          <w:tcPr>
            <w:tcW w:w="1275" w:type="dxa"/>
            <w:gridSpan w:val="2"/>
            <w:tcBorders>
              <w:top w:val="nil"/>
              <w:left w:val="nil"/>
              <w:bottom w:val="single" w:color="auto" w:sz="4" w:space="0"/>
              <w:right w:val="single" w:color="000000" w:sz="4" w:space="0"/>
            </w:tcBorders>
            <w:vAlign w:val="center"/>
          </w:tcPr>
          <w:p w14:paraId="4931AC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实施单位</w:t>
            </w:r>
          </w:p>
        </w:tc>
        <w:tc>
          <w:tcPr>
            <w:tcW w:w="3402" w:type="dxa"/>
            <w:gridSpan w:val="5"/>
            <w:tcBorders>
              <w:top w:val="nil"/>
              <w:left w:val="nil"/>
              <w:bottom w:val="single" w:color="auto" w:sz="4" w:space="0"/>
              <w:right w:val="single" w:color="000000" w:sz="4" w:space="0"/>
            </w:tcBorders>
            <w:vAlign w:val="center"/>
          </w:tcPr>
          <w:p w14:paraId="151FB90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乌鲁木齐市米东区市场监督管理局（知识产权局）</w:t>
            </w:r>
          </w:p>
        </w:tc>
      </w:tr>
      <w:tr w14:paraId="3DB2414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1FCD64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6C9CAB1">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239" w:type="dxa"/>
            <w:tcBorders>
              <w:top w:val="single" w:color="auto" w:sz="4" w:space="0"/>
              <w:left w:val="nil"/>
              <w:bottom w:val="single" w:color="auto" w:sz="4" w:space="0"/>
              <w:right w:val="single" w:color="000000" w:sz="4" w:space="0"/>
            </w:tcBorders>
            <w:vAlign w:val="center"/>
          </w:tcPr>
          <w:p w14:paraId="2B4DC4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年初预算数</w:t>
            </w:r>
          </w:p>
        </w:tc>
        <w:tc>
          <w:tcPr>
            <w:tcW w:w="1125" w:type="dxa"/>
            <w:tcBorders>
              <w:top w:val="nil"/>
              <w:left w:val="nil"/>
              <w:bottom w:val="single" w:color="auto" w:sz="4" w:space="0"/>
              <w:right w:val="single" w:color="auto" w:sz="4" w:space="0"/>
            </w:tcBorders>
            <w:vAlign w:val="center"/>
          </w:tcPr>
          <w:p w14:paraId="6A660FD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A9D287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F3B333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993" w:type="dxa"/>
            <w:gridSpan w:val="2"/>
            <w:tcBorders>
              <w:top w:val="single" w:color="auto" w:sz="4" w:space="0"/>
              <w:left w:val="nil"/>
              <w:bottom w:val="single" w:color="auto" w:sz="4" w:space="0"/>
              <w:right w:val="single" w:color="auto" w:sz="4" w:space="0"/>
            </w:tcBorders>
            <w:vAlign w:val="center"/>
          </w:tcPr>
          <w:p w14:paraId="04FDBB6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执行率</w:t>
            </w:r>
          </w:p>
        </w:tc>
        <w:tc>
          <w:tcPr>
            <w:tcW w:w="1275" w:type="dxa"/>
            <w:tcBorders>
              <w:top w:val="nil"/>
              <w:left w:val="nil"/>
              <w:bottom w:val="single" w:color="auto" w:sz="4" w:space="0"/>
              <w:right w:val="single" w:color="auto" w:sz="4" w:space="0"/>
            </w:tcBorders>
            <w:vAlign w:val="center"/>
          </w:tcPr>
          <w:p w14:paraId="73C466A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r>
      <w:tr w14:paraId="0531F1D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71EB6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6F8FE3B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年度资金总额</w:t>
            </w:r>
          </w:p>
        </w:tc>
        <w:tc>
          <w:tcPr>
            <w:tcW w:w="1239" w:type="dxa"/>
            <w:tcBorders>
              <w:top w:val="single" w:color="auto" w:sz="4" w:space="0"/>
              <w:left w:val="nil"/>
              <w:bottom w:val="single" w:color="auto" w:sz="4" w:space="0"/>
              <w:right w:val="single" w:color="000000" w:sz="4" w:space="0"/>
            </w:tcBorders>
            <w:noWrap/>
            <w:vAlign w:val="center"/>
          </w:tcPr>
          <w:p w14:paraId="3EA7CAB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25" w:type="dxa"/>
            <w:tcBorders>
              <w:top w:val="nil"/>
              <w:left w:val="nil"/>
              <w:bottom w:val="single" w:color="auto" w:sz="4" w:space="0"/>
              <w:right w:val="single" w:color="auto" w:sz="4" w:space="0"/>
            </w:tcBorders>
            <w:noWrap/>
            <w:vAlign w:val="center"/>
          </w:tcPr>
          <w:p w14:paraId="204C177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275" w:type="dxa"/>
            <w:gridSpan w:val="2"/>
            <w:tcBorders>
              <w:top w:val="single" w:color="auto" w:sz="4" w:space="0"/>
              <w:left w:val="nil"/>
              <w:bottom w:val="single" w:color="auto" w:sz="4" w:space="0"/>
              <w:right w:val="single" w:color="000000" w:sz="4" w:space="0"/>
            </w:tcBorders>
            <w:noWrap/>
            <w:vAlign w:val="center"/>
          </w:tcPr>
          <w:p w14:paraId="171A471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34" w:type="dxa"/>
            <w:gridSpan w:val="2"/>
            <w:tcBorders>
              <w:top w:val="single" w:color="auto" w:sz="4" w:space="0"/>
              <w:left w:val="nil"/>
              <w:bottom w:val="single" w:color="auto" w:sz="4" w:space="0"/>
              <w:right w:val="single" w:color="auto" w:sz="4" w:space="0"/>
            </w:tcBorders>
            <w:vAlign w:val="center"/>
          </w:tcPr>
          <w:p w14:paraId="7CC9ADE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993" w:type="dxa"/>
            <w:gridSpan w:val="2"/>
            <w:tcBorders>
              <w:top w:val="single" w:color="auto" w:sz="4" w:space="0"/>
              <w:left w:val="nil"/>
              <w:bottom w:val="single" w:color="auto" w:sz="4" w:space="0"/>
              <w:right w:val="single" w:color="auto" w:sz="4" w:space="0"/>
            </w:tcBorders>
            <w:vAlign w:val="center"/>
          </w:tcPr>
          <w:p w14:paraId="0711B2D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100.00%</w:t>
            </w:r>
          </w:p>
        </w:tc>
        <w:tc>
          <w:tcPr>
            <w:tcW w:w="1275" w:type="dxa"/>
            <w:tcBorders>
              <w:top w:val="nil"/>
              <w:left w:val="nil"/>
              <w:bottom w:val="single" w:color="auto" w:sz="4" w:space="0"/>
              <w:right w:val="single" w:color="auto" w:sz="4" w:space="0"/>
            </w:tcBorders>
            <w:vAlign w:val="center"/>
          </w:tcPr>
          <w:p w14:paraId="11E430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10.00分</w:t>
            </w:r>
          </w:p>
        </w:tc>
      </w:tr>
      <w:tr w14:paraId="523BC1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AA8B26">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090F6D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CC312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25" w:type="dxa"/>
            <w:tcBorders>
              <w:top w:val="nil"/>
              <w:left w:val="nil"/>
              <w:bottom w:val="single" w:color="auto" w:sz="4" w:space="0"/>
              <w:right w:val="single" w:color="auto" w:sz="4" w:space="0"/>
            </w:tcBorders>
            <w:noWrap/>
            <w:vAlign w:val="center"/>
          </w:tcPr>
          <w:p w14:paraId="0749F88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275" w:type="dxa"/>
            <w:gridSpan w:val="2"/>
            <w:tcBorders>
              <w:top w:val="single" w:color="auto" w:sz="4" w:space="0"/>
              <w:left w:val="nil"/>
              <w:bottom w:val="single" w:color="auto" w:sz="4" w:space="0"/>
              <w:right w:val="single" w:color="000000" w:sz="4" w:space="0"/>
            </w:tcBorders>
            <w:noWrap/>
            <w:vAlign w:val="center"/>
          </w:tcPr>
          <w:p w14:paraId="14C9E8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38.92</w:t>
            </w:r>
          </w:p>
        </w:tc>
        <w:tc>
          <w:tcPr>
            <w:tcW w:w="1134" w:type="dxa"/>
            <w:gridSpan w:val="2"/>
            <w:tcBorders>
              <w:top w:val="single" w:color="auto" w:sz="4" w:space="0"/>
              <w:left w:val="nil"/>
              <w:bottom w:val="single" w:color="auto" w:sz="4" w:space="0"/>
              <w:right w:val="single" w:color="auto" w:sz="4" w:space="0"/>
            </w:tcBorders>
            <w:vAlign w:val="center"/>
          </w:tcPr>
          <w:p w14:paraId="3D32F6B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49358A5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22DFFA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12C1E85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B361AF3">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336" w:type="dxa"/>
            <w:gridSpan w:val="2"/>
            <w:tcBorders>
              <w:top w:val="single" w:color="auto" w:sz="4" w:space="0"/>
              <w:left w:val="nil"/>
              <w:bottom w:val="single" w:color="auto" w:sz="4" w:space="0"/>
              <w:right w:val="single" w:color="auto" w:sz="4" w:space="0"/>
            </w:tcBorders>
            <w:vAlign w:val="center"/>
          </w:tcPr>
          <w:p w14:paraId="3B673C0F">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其他资金</w:t>
            </w:r>
          </w:p>
        </w:tc>
        <w:tc>
          <w:tcPr>
            <w:tcW w:w="1239" w:type="dxa"/>
            <w:tcBorders>
              <w:top w:val="single" w:color="auto" w:sz="4" w:space="0"/>
              <w:left w:val="nil"/>
              <w:bottom w:val="single" w:color="auto" w:sz="4" w:space="0"/>
              <w:right w:val="single" w:color="000000" w:sz="4" w:space="0"/>
            </w:tcBorders>
            <w:noWrap/>
            <w:vAlign w:val="center"/>
          </w:tcPr>
          <w:p w14:paraId="0ED22D36">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25" w:type="dxa"/>
            <w:tcBorders>
              <w:top w:val="nil"/>
              <w:left w:val="nil"/>
              <w:bottom w:val="single" w:color="auto" w:sz="4" w:space="0"/>
              <w:right w:val="single" w:color="auto" w:sz="4" w:space="0"/>
            </w:tcBorders>
            <w:noWrap/>
            <w:vAlign w:val="center"/>
          </w:tcPr>
          <w:p w14:paraId="05697F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15DC7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0.00</w:t>
            </w:r>
          </w:p>
        </w:tc>
        <w:tc>
          <w:tcPr>
            <w:tcW w:w="1134" w:type="dxa"/>
            <w:gridSpan w:val="2"/>
            <w:tcBorders>
              <w:top w:val="single" w:color="auto" w:sz="4" w:space="0"/>
              <w:left w:val="nil"/>
              <w:bottom w:val="single" w:color="auto" w:sz="4" w:space="0"/>
              <w:right w:val="single" w:color="auto" w:sz="4" w:space="0"/>
            </w:tcBorders>
            <w:vAlign w:val="center"/>
          </w:tcPr>
          <w:p w14:paraId="5C12B3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993" w:type="dxa"/>
            <w:gridSpan w:val="2"/>
            <w:tcBorders>
              <w:top w:val="single" w:color="auto" w:sz="4" w:space="0"/>
              <w:left w:val="nil"/>
              <w:bottom w:val="single" w:color="auto" w:sz="4" w:space="0"/>
              <w:right w:val="single" w:color="auto" w:sz="4" w:space="0"/>
            </w:tcBorders>
            <w:vAlign w:val="center"/>
          </w:tcPr>
          <w:p w14:paraId="5C75635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c>
          <w:tcPr>
            <w:tcW w:w="1275" w:type="dxa"/>
            <w:tcBorders>
              <w:top w:val="nil"/>
              <w:left w:val="nil"/>
              <w:bottom w:val="single" w:color="auto" w:sz="4" w:space="0"/>
              <w:right w:val="single" w:color="auto" w:sz="4" w:space="0"/>
            </w:tcBorders>
            <w:vAlign w:val="center"/>
          </w:tcPr>
          <w:p w14:paraId="043F9FF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w:t>
            </w:r>
          </w:p>
        </w:tc>
      </w:tr>
      <w:tr w14:paraId="3F1388F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6CA25DA">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7FB51A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预期目标</w:t>
            </w:r>
          </w:p>
        </w:tc>
        <w:tc>
          <w:tcPr>
            <w:tcW w:w="4677" w:type="dxa"/>
            <w:gridSpan w:val="7"/>
            <w:tcBorders>
              <w:top w:val="single" w:color="auto" w:sz="4" w:space="0"/>
              <w:left w:val="nil"/>
              <w:bottom w:val="single" w:color="auto" w:sz="4" w:space="0"/>
              <w:right w:val="single" w:color="auto" w:sz="4" w:space="0"/>
            </w:tcBorders>
            <w:vAlign w:val="center"/>
          </w:tcPr>
          <w:p w14:paraId="06069AC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实际完成情况</w:t>
            </w:r>
          </w:p>
        </w:tc>
      </w:tr>
      <w:tr w14:paraId="2EF73E5D">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08185E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4407" w:type="dxa"/>
            <w:gridSpan w:val="5"/>
            <w:tcBorders>
              <w:top w:val="single" w:color="auto" w:sz="4" w:space="0"/>
              <w:left w:val="nil"/>
              <w:bottom w:val="single" w:color="auto" w:sz="4" w:space="0"/>
              <w:right w:val="single" w:color="000000" w:sz="4" w:space="0"/>
            </w:tcBorders>
          </w:tcPr>
          <w:p w14:paraId="5323417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通过对本单位市场监管相关工作的经费保障，有效保障执法人员的执法设备专业性，在保障执法人员自身安全性的同时，有效防范执法风险，提升工作效率，提高监管市场秩序，保障本辖区人民群众的切身利益。</w:t>
            </w:r>
          </w:p>
        </w:tc>
        <w:tc>
          <w:tcPr>
            <w:tcW w:w="4677" w:type="dxa"/>
            <w:gridSpan w:val="7"/>
            <w:tcBorders>
              <w:top w:val="single" w:color="auto" w:sz="4" w:space="0"/>
              <w:left w:val="nil"/>
              <w:bottom w:val="single" w:color="auto" w:sz="4" w:space="0"/>
              <w:right w:val="single" w:color="000000" w:sz="4" w:space="0"/>
            </w:tcBorders>
          </w:tcPr>
          <w:p w14:paraId="0543E68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通过对市场执法相关法律法规、文件规定系统学习，有效提高自身业务水平，严格要求自身，及时配备相关执法设备，有效提升执法专业性及工作效率，有效保障本辖区内市场秩序稳定，有效保障人民群众的财产安全及切身利益。</w:t>
            </w:r>
          </w:p>
        </w:tc>
      </w:tr>
      <w:tr w14:paraId="528E19C3">
        <w:tblPrEx>
          <w:tblCellMar>
            <w:top w:w="0" w:type="dxa"/>
            <w:left w:w="108" w:type="dxa"/>
            <w:bottom w:w="0" w:type="dxa"/>
            <w:right w:w="108" w:type="dxa"/>
          </w:tblCellMar>
        </w:tblPrEx>
        <w:trPr>
          <w:cantSplit/>
          <w:trHeight w:val="290" w:hRule="atLeast"/>
        </w:trPr>
        <w:tc>
          <w:tcPr>
            <w:tcW w:w="598" w:type="dxa"/>
            <w:vMerge w:val="restart"/>
            <w:tcBorders>
              <w:top w:val="nil"/>
              <w:left w:val="single" w:color="auto" w:sz="4" w:space="0"/>
              <w:bottom w:val="single" w:color="auto" w:sz="4" w:space="0"/>
              <w:right w:val="single" w:color="auto" w:sz="4" w:space="0"/>
            </w:tcBorders>
            <w:vAlign w:val="center"/>
          </w:tcPr>
          <w:p w14:paraId="75BBFB73">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07" w:type="dxa"/>
            <w:vMerge w:val="restart"/>
            <w:tcBorders>
              <w:top w:val="nil"/>
              <w:left w:val="single" w:color="auto" w:sz="4" w:space="0"/>
              <w:bottom w:val="single" w:color="auto" w:sz="4" w:space="0"/>
              <w:right w:val="single" w:color="auto" w:sz="4" w:space="0"/>
            </w:tcBorders>
            <w:vAlign w:val="center"/>
          </w:tcPr>
          <w:p w14:paraId="205B723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FA41A88">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2D07B3">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373B1D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B3409E4">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F3416E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FAF0DAB">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2BBF652">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偏差原因分析及改进措施</w:t>
            </w:r>
          </w:p>
        </w:tc>
      </w:tr>
      <w:tr w14:paraId="048CF166">
        <w:tblPrEx>
          <w:tblCellMar>
            <w:top w:w="0" w:type="dxa"/>
            <w:left w:w="108" w:type="dxa"/>
            <w:bottom w:w="0" w:type="dxa"/>
            <w:right w:w="108" w:type="dxa"/>
          </w:tblCellMar>
        </w:tblPrEx>
        <w:trPr>
          <w:cantSplit/>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64424372">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top w:val="nil"/>
              <w:left w:val="single" w:color="auto" w:sz="4" w:space="0"/>
              <w:bottom w:val="single" w:color="auto" w:sz="4" w:space="0"/>
              <w:right w:val="single" w:color="auto" w:sz="4" w:space="0"/>
            </w:tcBorders>
            <w:vAlign w:val="center"/>
          </w:tcPr>
          <w:p w14:paraId="3D1F29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18" w:type="dxa"/>
            <w:vMerge w:val="continue"/>
            <w:tcBorders>
              <w:top w:val="nil"/>
              <w:left w:val="single" w:color="auto" w:sz="4" w:space="0"/>
              <w:bottom w:val="single" w:color="auto" w:sz="4" w:space="0"/>
              <w:right w:val="single" w:color="auto" w:sz="4" w:space="0"/>
            </w:tcBorders>
            <w:vAlign w:val="center"/>
          </w:tcPr>
          <w:p w14:paraId="7E31FC34">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8B34A1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125" w:type="dxa"/>
            <w:vMerge w:val="continue"/>
            <w:tcBorders>
              <w:top w:val="nil"/>
              <w:left w:val="single" w:color="auto" w:sz="4" w:space="0"/>
              <w:bottom w:val="single" w:color="auto" w:sz="4" w:space="0"/>
              <w:right w:val="single" w:color="auto" w:sz="4" w:space="0"/>
            </w:tcBorders>
            <w:vAlign w:val="center"/>
          </w:tcPr>
          <w:p w14:paraId="6509A2AD">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229" w:type="dxa"/>
            <w:vMerge w:val="continue"/>
            <w:tcBorders>
              <w:top w:val="nil"/>
              <w:left w:val="single" w:color="auto" w:sz="4" w:space="0"/>
              <w:bottom w:val="single" w:color="auto" w:sz="4" w:space="0"/>
              <w:right w:val="single" w:color="auto" w:sz="4" w:space="0"/>
            </w:tcBorders>
            <w:vAlign w:val="center"/>
          </w:tcPr>
          <w:p w14:paraId="288840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25E2641">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1377B8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0B6B61">
            <w:pPr>
              <w:widowControl/>
              <w:spacing w:after="0" w:line="240" w:lineRule="auto"/>
              <w:jc w:val="left"/>
              <w:rPr>
                <w:rFonts w:hint="eastAsia" w:ascii="宋体" w:hAnsi="宋体" w:eastAsia="宋体" w:cs="宋体"/>
                <w:color w:val="000000"/>
                <w:kern w:val="0"/>
                <w:sz w:val="18"/>
                <w:szCs w:val="18"/>
                <w:lang w:eastAsia="zh-CN"/>
                <w14:ligatures w14:val="none"/>
              </w:rPr>
            </w:pPr>
          </w:p>
        </w:tc>
      </w:tr>
      <w:tr w14:paraId="2D6C527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B4D005D">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年度绩效指标完成情况</w:t>
            </w:r>
          </w:p>
        </w:tc>
        <w:tc>
          <w:tcPr>
            <w:tcW w:w="707" w:type="dxa"/>
            <w:vMerge w:val="restart"/>
            <w:tcBorders>
              <w:top w:val="nil"/>
              <w:left w:val="nil"/>
              <w:right w:val="single" w:color="auto" w:sz="4" w:space="0"/>
            </w:tcBorders>
            <w:vAlign w:val="center"/>
          </w:tcPr>
          <w:p w14:paraId="07F239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产出指标</w:t>
            </w:r>
          </w:p>
        </w:tc>
        <w:tc>
          <w:tcPr>
            <w:tcW w:w="718" w:type="dxa"/>
            <w:vMerge w:val="restart"/>
            <w:tcBorders>
              <w:top w:val="nil"/>
              <w:left w:val="nil"/>
              <w:right w:val="single" w:color="auto" w:sz="4" w:space="0"/>
            </w:tcBorders>
            <w:vAlign w:val="center"/>
          </w:tcPr>
          <w:p w14:paraId="1881C27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745C7D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行政执法案件查处数</w:t>
            </w:r>
          </w:p>
        </w:tc>
        <w:tc>
          <w:tcPr>
            <w:tcW w:w="1125" w:type="dxa"/>
            <w:tcBorders>
              <w:top w:val="nil"/>
              <w:left w:val="nil"/>
              <w:bottom w:val="single" w:color="auto" w:sz="4" w:space="0"/>
              <w:right w:val="single" w:color="auto" w:sz="4" w:space="0"/>
            </w:tcBorders>
            <w:vAlign w:val="center"/>
          </w:tcPr>
          <w:p w14:paraId="37F09F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&gt;=80件</w:t>
            </w:r>
          </w:p>
        </w:tc>
        <w:tc>
          <w:tcPr>
            <w:tcW w:w="1229" w:type="dxa"/>
            <w:tcBorders>
              <w:top w:val="nil"/>
              <w:left w:val="nil"/>
              <w:bottom w:val="single" w:color="auto" w:sz="4" w:space="0"/>
              <w:right w:val="single" w:color="auto" w:sz="4" w:space="0"/>
            </w:tcBorders>
            <w:vAlign w:val="center"/>
          </w:tcPr>
          <w:p w14:paraId="7BD034C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204件</w:t>
            </w:r>
          </w:p>
        </w:tc>
        <w:tc>
          <w:tcPr>
            <w:tcW w:w="755" w:type="dxa"/>
            <w:gridSpan w:val="2"/>
            <w:tcBorders>
              <w:top w:val="single" w:color="auto" w:sz="4" w:space="0"/>
              <w:left w:val="nil"/>
              <w:bottom w:val="single" w:color="auto" w:sz="4" w:space="0"/>
              <w:right w:val="single" w:color="000000" w:sz="4" w:space="0"/>
            </w:tcBorders>
            <w:vAlign w:val="center"/>
          </w:tcPr>
          <w:p w14:paraId="20BBFDE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6FA0D7C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61C8315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因无往年数据作为参考，所以保守设定行政执法案件查处数为80件，我单位在2024年度加大对辖区内违法建设，针对违法行为进行立案查处，实际查处案件204件，所以存在偏差。</w:t>
            </w:r>
          </w:p>
        </w:tc>
      </w:tr>
      <w:tr w14:paraId="25DD77A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42BF2C">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36EA14B0">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7CFF9328">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4844A2B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检查频次</w:t>
            </w:r>
          </w:p>
        </w:tc>
        <w:tc>
          <w:tcPr>
            <w:tcW w:w="1125" w:type="dxa"/>
            <w:tcBorders>
              <w:top w:val="nil"/>
              <w:left w:val="nil"/>
              <w:bottom w:val="single" w:color="auto" w:sz="4" w:space="0"/>
              <w:right w:val="single" w:color="auto" w:sz="4" w:space="0"/>
            </w:tcBorders>
            <w:vAlign w:val="center"/>
          </w:tcPr>
          <w:p w14:paraId="7CA4305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&gt;=100次</w:t>
            </w:r>
          </w:p>
        </w:tc>
        <w:tc>
          <w:tcPr>
            <w:tcW w:w="1229" w:type="dxa"/>
            <w:tcBorders>
              <w:top w:val="nil"/>
              <w:left w:val="nil"/>
              <w:bottom w:val="single" w:color="auto" w:sz="4" w:space="0"/>
              <w:right w:val="single" w:color="auto" w:sz="4" w:space="0"/>
            </w:tcBorders>
            <w:vAlign w:val="center"/>
          </w:tcPr>
          <w:p w14:paraId="0556D92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1020次</w:t>
            </w:r>
          </w:p>
        </w:tc>
        <w:tc>
          <w:tcPr>
            <w:tcW w:w="755" w:type="dxa"/>
            <w:gridSpan w:val="2"/>
            <w:tcBorders>
              <w:top w:val="single" w:color="auto" w:sz="4" w:space="0"/>
              <w:left w:val="nil"/>
              <w:bottom w:val="single" w:color="auto" w:sz="4" w:space="0"/>
              <w:right w:val="single" w:color="000000" w:sz="4" w:space="0"/>
            </w:tcBorders>
            <w:vAlign w:val="center"/>
          </w:tcPr>
          <w:p w14:paraId="7359BA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7EE41E4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6B0B3E2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因无往年数据作为参考，所以保守设定检查频次为100次，2024年全年度实际完成值为1020次，所以产生偏差。</w:t>
            </w:r>
          </w:p>
        </w:tc>
      </w:tr>
      <w:tr w14:paraId="17B346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9C9230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right w:val="single" w:color="auto" w:sz="4" w:space="0"/>
            </w:tcBorders>
            <w:vAlign w:val="center"/>
          </w:tcPr>
          <w:p w14:paraId="44AA8BD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2EDB079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6FC3F1D">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查办案件合格率</w:t>
            </w:r>
          </w:p>
        </w:tc>
        <w:tc>
          <w:tcPr>
            <w:tcW w:w="1125" w:type="dxa"/>
            <w:tcBorders>
              <w:top w:val="nil"/>
              <w:left w:val="nil"/>
              <w:bottom w:val="single" w:color="auto" w:sz="4" w:space="0"/>
              <w:right w:val="single" w:color="auto" w:sz="4" w:space="0"/>
            </w:tcBorders>
            <w:vAlign w:val="center"/>
          </w:tcPr>
          <w:p w14:paraId="7D40A01C">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&gt;=99%</w:t>
            </w:r>
          </w:p>
        </w:tc>
        <w:tc>
          <w:tcPr>
            <w:tcW w:w="1229" w:type="dxa"/>
            <w:tcBorders>
              <w:top w:val="nil"/>
              <w:left w:val="nil"/>
              <w:bottom w:val="single" w:color="auto" w:sz="4" w:space="0"/>
              <w:right w:val="single" w:color="auto" w:sz="4" w:space="0"/>
            </w:tcBorders>
            <w:vAlign w:val="center"/>
          </w:tcPr>
          <w:p w14:paraId="6BED741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12A8A3D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4BACB4E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4C407217">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因无往年数据作为参考，所以保守设定查办案件合格率为99%，2024年实际的查办案件合格率为100%，所以有偏差。</w:t>
            </w:r>
          </w:p>
        </w:tc>
      </w:tr>
      <w:tr w14:paraId="1A39A80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BD5670">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60942B2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tcBorders>
              <w:top w:val="nil"/>
              <w:left w:val="nil"/>
              <w:bottom w:val="single" w:color="auto" w:sz="4" w:space="0"/>
              <w:right w:val="single" w:color="auto" w:sz="4" w:space="0"/>
            </w:tcBorders>
            <w:vAlign w:val="center"/>
          </w:tcPr>
          <w:p w14:paraId="47EC53D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9482B4">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项目完成时间</w:t>
            </w:r>
          </w:p>
        </w:tc>
        <w:tc>
          <w:tcPr>
            <w:tcW w:w="1125" w:type="dxa"/>
            <w:tcBorders>
              <w:top w:val="nil"/>
              <w:left w:val="nil"/>
              <w:bottom w:val="single" w:color="auto" w:sz="4" w:space="0"/>
              <w:right w:val="single" w:color="auto" w:sz="4" w:space="0"/>
            </w:tcBorders>
            <w:vAlign w:val="center"/>
          </w:tcPr>
          <w:p w14:paraId="5EDF570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1229" w:type="dxa"/>
            <w:tcBorders>
              <w:top w:val="nil"/>
              <w:left w:val="nil"/>
              <w:bottom w:val="single" w:color="auto" w:sz="4" w:space="0"/>
              <w:right w:val="single" w:color="auto" w:sz="4" w:space="0"/>
            </w:tcBorders>
            <w:vAlign w:val="center"/>
          </w:tcPr>
          <w:p w14:paraId="6C2F64D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12个月</w:t>
            </w:r>
          </w:p>
        </w:tc>
        <w:tc>
          <w:tcPr>
            <w:tcW w:w="755" w:type="dxa"/>
            <w:gridSpan w:val="2"/>
            <w:tcBorders>
              <w:top w:val="single" w:color="auto" w:sz="4" w:space="0"/>
              <w:left w:val="nil"/>
              <w:bottom w:val="single" w:color="auto" w:sz="4" w:space="0"/>
              <w:right w:val="single" w:color="000000" w:sz="4" w:space="0"/>
            </w:tcBorders>
            <w:vAlign w:val="center"/>
          </w:tcPr>
          <w:p w14:paraId="07DE5D6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18435121">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F89FA6">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281F88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B305DE">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restart"/>
            <w:tcBorders>
              <w:top w:val="nil"/>
              <w:left w:val="nil"/>
              <w:right w:val="single" w:color="auto" w:sz="4" w:space="0"/>
            </w:tcBorders>
            <w:vAlign w:val="center"/>
          </w:tcPr>
          <w:p w14:paraId="2BACBB1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效益指标</w:t>
            </w:r>
          </w:p>
        </w:tc>
        <w:tc>
          <w:tcPr>
            <w:tcW w:w="718" w:type="dxa"/>
            <w:vMerge w:val="restart"/>
            <w:tcBorders>
              <w:top w:val="nil"/>
              <w:left w:val="nil"/>
              <w:right w:val="single" w:color="auto" w:sz="4" w:space="0"/>
            </w:tcBorders>
            <w:vAlign w:val="center"/>
          </w:tcPr>
          <w:p w14:paraId="2A66B4C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00769D9">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为辖区内企业增效提供保障</w:t>
            </w:r>
          </w:p>
        </w:tc>
        <w:tc>
          <w:tcPr>
            <w:tcW w:w="1125" w:type="dxa"/>
            <w:tcBorders>
              <w:top w:val="nil"/>
              <w:left w:val="nil"/>
              <w:bottom w:val="single" w:color="auto" w:sz="4" w:space="0"/>
              <w:right w:val="single" w:color="auto" w:sz="4" w:space="0"/>
            </w:tcBorders>
            <w:vAlign w:val="center"/>
          </w:tcPr>
          <w:p w14:paraId="40B3E28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5B1CBA7B">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0F741619">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709" w:type="dxa"/>
            <w:gridSpan w:val="2"/>
            <w:tcBorders>
              <w:top w:val="single" w:color="auto" w:sz="4" w:space="0"/>
              <w:left w:val="nil"/>
              <w:bottom w:val="single" w:color="auto" w:sz="4" w:space="0"/>
              <w:right w:val="single" w:color="000000" w:sz="4" w:space="0"/>
            </w:tcBorders>
            <w:vAlign w:val="center"/>
          </w:tcPr>
          <w:p w14:paraId="36D0BC9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20</w:t>
            </w:r>
          </w:p>
        </w:tc>
        <w:tc>
          <w:tcPr>
            <w:tcW w:w="1984" w:type="dxa"/>
            <w:gridSpan w:val="2"/>
            <w:tcBorders>
              <w:top w:val="single" w:color="auto" w:sz="4" w:space="0"/>
              <w:left w:val="nil"/>
              <w:bottom w:val="single" w:color="auto" w:sz="4" w:space="0"/>
              <w:right w:val="single" w:color="auto" w:sz="4" w:space="0"/>
            </w:tcBorders>
            <w:vAlign w:val="center"/>
          </w:tcPr>
          <w:p w14:paraId="4567449F">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001EEE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E05A88">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vMerge w:val="continue"/>
            <w:tcBorders>
              <w:left w:val="nil"/>
              <w:bottom w:val="single" w:color="auto" w:sz="4" w:space="0"/>
              <w:right w:val="single" w:color="auto" w:sz="4" w:space="0"/>
            </w:tcBorders>
            <w:vAlign w:val="center"/>
          </w:tcPr>
          <w:p w14:paraId="2FE49AE7">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718" w:type="dxa"/>
            <w:vMerge w:val="continue"/>
            <w:tcBorders>
              <w:left w:val="nil"/>
              <w:bottom w:val="single" w:color="auto" w:sz="4" w:space="0"/>
              <w:right w:val="single" w:color="auto" w:sz="4" w:space="0"/>
            </w:tcBorders>
            <w:vAlign w:val="center"/>
          </w:tcPr>
          <w:p w14:paraId="0C300AB2">
            <w:pPr>
              <w:widowControl/>
              <w:spacing w:after="0" w:line="240" w:lineRule="auto"/>
              <w:jc w:val="center"/>
              <w:rPr>
                <w:rFonts w:hint="eastAsia" w:ascii="宋体" w:hAnsi="宋体" w:eastAsia="宋体" w:cs="宋体"/>
                <w:color w:val="000000"/>
                <w:kern w:val="0"/>
                <w:sz w:val="18"/>
                <w:szCs w:val="18"/>
                <w:lang w:eastAsia="zh-CN"/>
                <w14:ligatures w14:val="none"/>
              </w:rPr>
            </w:pPr>
          </w:p>
        </w:tc>
        <w:tc>
          <w:tcPr>
            <w:tcW w:w="1857" w:type="dxa"/>
            <w:gridSpan w:val="2"/>
            <w:tcBorders>
              <w:top w:val="single" w:color="auto" w:sz="4" w:space="0"/>
              <w:left w:val="nil"/>
              <w:bottom w:val="single" w:color="auto" w:sz="4" w:space="0"/>
              <w:right w:val="single" w:color="000000" w:sz="4" w:space="0"/>
            </w:tcBorders>
            <w:noWrap/>
            <w:vAlign w:val="center"/>
          </w:tcPr>
          <w:p w14:paraId="21266566">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保障辖区营商环境</w:t>
            </w:r>
          </w:p>
        </w:tc>
        <w:tc>
          <w:tcPr>
            <w:tcW w:w="1125" w:type="dxa"/>
            <w:tcBorders>
              <w:top w:val="nil"/>
              <w:left w:val="nil"/>
              <w:bottom w:val="single" w:color="auto" w:sz="4" w:space="0"/>
              <w:right w:val="single" w:color="auto" w:sz="4" w:space="0"/>
            </w:tcBorders>
            <w:vAlign w:val="center"/>
          </w:tcPr>
          <w:p w14:paraId="3DB4B9A0">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有效保障</w:t>
            </w:r>
          </w:p>
        </w:tc>
        <w:tc>
          <w:tcPr>
            <w:tcW w:w="1229" w:type="dxa"/>
            <w:tcBorders>
              <w:top w:val="nil"/>
              <w:left w:val="nil"/>
              <w:bottom w:val="single" w:color="auto" w:sz="4" w:space="0"/>
              <w:right w:val="single" w:color="auto" w:sz="4" w:space="0"/>
            </w:tcBorders>
            <w:vAlign w:val="center"/>
          </w:tcPr>
          <w:p w14:paraId="6D45663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完全达到预期效果</w:t>
            </w:r>
          </w:p>
        </w:tc>
        <w:tc>
          <w:tcPr>
            <w:tcW w:w="755" w:type="dxa"/>
            <w:gridSpan w:val="2"/>
            <w:tcBorders>
              <w:top w:val="single" w:color="auto" w:sz="4" w:space="0"/>
              <w:left w:val="nil"/>
              <w:bottom w:val="single" w:color="auto" w:sz="4" w:space="0"/>
              <w:right w:val="single" w:color="000000" w:sz="4" w:space="0"/>
            </w:tcBorders>
            <w:vAlign w:val="center"/>
          </w:tcPr>
          <w:p w14:paraId="22CD14C2">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7DB77D55">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5C98C4D1">
            <w:pPr>
              <w:widowControl/>
              <w:spacing w:after="0" w:line="240" w:lineRule="auto"/>
              <w:jc w:val="center"/>
              <w:rPr>
                <w:rFonts w:hint="eastAsia" w:ascii="宋体" w:hAnsi="宋体" w:eastAsia="宋体" w:cs="宋体"/>
                <w:color w:val="000000"/>
                <w:kern w:val="0"/>
                <w:sz w:val="18"/>
                <w:szCs w:val="18"/>
                <w:lang w:eastAsia="zh-CN"/>
                <w14:ligatures w14:val="none"/>
              </w:rPr>
            </w:pPr>
          </w:p>
        </w:tc>
      </w:tr>
      <w:tr w14:paraId="65E9C6B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7C9DCF">
            <w:pPr>
              <w:widowControl/>
              <w:spacing w:after="0" w:line="240" w:lineRule="auto"/>
              <w:jc w:val="left"/>
              <w:rPr>
                <w:rFonts w:hint="eastAsia" w:ascii="宋体" w:hAnsi="宋体" w:eastAsia="宋体" w:cs="宋体"/>
                <w:color w:val="000000"/>
                <w:kern w:val="0"/>
                <w:sz w:val="18"/>
                <w:szCs w:val="18"/>
                <w:lang w:eastAsia="zh-CN"/>
                <w14:ligatures w14:val="none"/>
              </w:rPr>
            </w:pPr>
          </w:p>
        </w:tc>
        <w:tc>
          <w:tcPr>
            <w:tcW w:w="707" w:type="dxa"/>
            <w:tcBorders>
              <w:top w:val="nil"/>
              <w:left w:val="nil"/>
              <w:bottom w:val="single" w:color="auto" w:sz="4" w:space="0"/>
              <w:right w:val="single" w:color="auto" w:sz="4" w:space="0"/>
            </w:tcBorders>
            <w:vAlign w:val="center"/>
          </w:tcPr>
          <w:p w14:paraId="3C7BAF5E">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718" w:type="dxa"/>
            <w:tcBorders>
              <w:top w:val="nil"/>
              <w:left w:val="nil"/>
              <w:bottom w:val="single" w:color="auto" w:sz="4" w:space="0"/>
              <w:right w:val="single" w:color="auto" w:sz="4" w:space="0"/>
            </w:tcBorders>
            <w:vAlign w:val="center"/>
          </w:tcPr>
          <w:p w14:paraId="05F4ACED">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BBB3BAA">
            <w:pPr>
              <w:widowControl/>
              <w:spacing w:after="0" w:line="240" w:lineRule="auto"/>
              <w:jc w:val="left"/>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群众满意度（%）</w:t>
            </w:r>
          </w:p>
        </w:tc>
        <w:tc>
          <w:tcPr>
            <w:tcW w:w="1125" w:type="dxa"/>
            <w:tcBorders>
              <w:top w:val="nil"/>
              <w:left w:val="nil"/>
              <w:bottom w:val="single" w:color="auto" w:sz="4" w:space="0"/>
              <w:right w:val="single" w:color="auto" w:sz="4" w:space="0"/>
            </w:tcBorders>
            <w:vAlign w:val="center"/>
          </w:tcPr>
          <w:p w14:paraId="5162CBB8">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&gt;=95%</w:t>
            </w:r>
          </w:p>
        </w:tc>
        <w:tc>
          <w:tcPr>
            <w:tcW w:w="1229" w:type="dxa"/>
            <w:tcBorders>
              <w:top w:val="nil"/>
              <w:left w:val="nil"/>
              <w:bottom w:val="single" w:color="auto" w:sz="4" w:space="0"/>
              <w:right w:val="single" w:color="auto" w:sz="4" w:space="0"/>
            </w:tcBorders>
            <w:vAlign w:val="center"/>
          </w:tcPr>
          <w:p w14:paraId="36070EA3">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100%</w:t>
            </w:r>
          </w:p>
        </w:tc>
        <w:tc>
          <w:tcPr>
            <w:tcW w:w="755" w:type="dxa"/>
            <w:gridSpan w:val="2"/>
            <w:tcBorders>
              <w:top w:val="single" w:color="auto" w:sz="4" w:space="0"/>
              <w:left w:val="nil"/>
              <w:bottom w:val="single" w:color="auto" w:sz="4" w:space="0"/>
              <w:right w:val="single" w:color="000000" w:sz="4" w:space="0"/>
            </w:tcBorders>
            <w:vAlign w:val="center"/>
          </w:tcPr>
          <w:p w14:paraId="7A48A05F">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709" w:type="dxa"/>
            <w:gridSpan w:val="2"/>
            <w:tcBorders>
              <w:top w:val="single" w:color="auto" w:sz="4" w:space="0"/>
              <w:left w:val="nil"/>
              <w:bottom w:val="single" w:color="auto" w:sz="4" w:space="0"/>
              <w:right w:val="single" w:color="000000" w:sz="4" w:space="0"/>
            </w:tcBorders>
            <w:vAlign w:val="center"/>
          </w:tcPr>
          <w:p w14:paraId="5DA3512A">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10</w:t>
            </w:r>
          </w:p>
        </w:tc>
        <w:tc>
          <w:tcPr>
            <w:tcW w:w="1984" w:type="dxa"/>
            <w:gridSpan w:val="2"/>
            <w:tcBorders>
              <w:top w:val="single" w:color="auto" w:sz="4" w:space="0"/>
              <w:left w:val="nil"/>
              <w:bottom w:val="single" w:color="auto" w:sz="4" w:space="0"/>
              <w:right w:val="single" w:color="auto" w:sz="4" w:space="0"/>
            </w:tcBorders>
            <w:vAlign w:val="center"/>
          </w:tcPr>
          <w:p w14:paraId="12346874">
            <w:pPr>
              <w:widowControl/>
              <w:spacing w:after="0" w:line="240" w:lineRule="auto"/>
              <w:jc w:val="center"/>
              <w:rPr>
                <w:rFonts w:hint="eastAsia" w:ascii="宋体" w:hAnsi="宋体" w:eastAsia="宋体" w:cs="宋体"/>
                <w:color w:val="000000"/>
                <w:kern w:val="0"/>
                <w:sz w:val="18"/>
                <w:szCs w:val="18"/>
                <w:lang w:eastAsia="zh-CN"/>
                <w14:ligatures w14:val="none"/>
              </w:rPr>
            </w:pPr>
            <w:r>
              <w:rPr>
                <w:rFonts w:hint="eastAsia" w:ascii="宋体" w:hAnsi="宋体" w:eastAsia="宋体" w:cs="宋体"/>
                <w:color w:val="000000"/>
                <w:kern w:val="0"/>
                <w:sz w:val="18"/>
                <w:szCs w:val="18"/>
                <w:lang w:eastAsia="zh-CN"/>
                <w14:ligatures w14:val="none"/>
              </w:rPr>
              <w:t>因无往年数据作为参考，所以保守设定群众满意度为95%。2024年据调查结果显示群众对我单位行政执法的水平表示都很满意。所以群众满意度实际完成率为100%，所以产生偏差。</w:t>
            </w:r>
          </w:p>
        </w:tc>
      </w:tr>
      <w:tr w14:paraId="7428EFF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B5EA1D7">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总分</w:t>
            </w:r>
          </w:p>
        </w:tc>
        <w:tc>
          <w:tcPr>
            <w:tcW w:w="755" w:type="dxa"/>
            <w:gridSpan w:val="2"/>
            <w:tcBorders>
              <w:top w:val="single" w:color="auto" w:sz="4" w:space="0"/>
              <w:left w:val="nil"/>
              <w:bottom w:val="single" w:color="auto" w:sz="4" w:space="0"/>
              <w:right w:val="single" w:color="auto" w:sz="4" w:space="0"/>
            </w:tcBorders>
            <w:vAlign w:val="center"/>
          </w:tcPr>
          <w:p w14:paraId="1FEB8689">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w:t>
            </w:r>
          </w:p>
        </w:tc>
        <w:tc>
          <w:tcPr>
            <w:tcW w:w="709" w:type="dxa"/>
            <w:gridSpan w:val="2"/>
            <w:tcBorders>
              <w:top w:val="single" w:color="auto" w:sz="4" w:space="0"/>
              <w:left w:val="nil"/>
              <w:bottom w:val="single" w:color="auto" w:sz="4" w:space="0"/>
              <w:right w:val="single" w:color="auto" w:sz="4" w:space="0"/>
            </w:tcBorders>
            <w:vAlign w:val="center"/>
          </w:tcPr>
          <w:p w14:paraId="4365FAA0">
            <w:pPr>
              <w:widowControl/>
              <w:spacing w:after="0" w:line="240" w:lineRule="auto"/>
              <w:jc w:val="center"/>
              <w:rPr>
                <w:rFonts w:hint="eastAsia" w:ascii="宋体" w:hAnsi="宋体" w:eastAsia="宋体" w:cs="宋体"/>
                <w:b/>
                <w:bCs/>
                <w:color w:val="000000"/>
                <w:kern w:val="0"/>
                <w:sz w:val="18"/>
                <w:szCs w:val="18"/>
                <w:lang w:eastAsia="zh-CN"/>
                <w14:ligatures w14:val="none"/>
              </w:rPr>
            </w:pPr>
            <w:r>
              <w:rPr>
                <w:rFonts w:hint="eastAsia" w:ascii="宋体" w:hAnsi="宋体" w:eastAsia="宋体" w:cs="宋体"/>
                <w:b/>
                <w:bCs/>
                <w:color w:val="000000"/>
                <w:kern w:val="0"/>
                <w:sz w:val="18"/>
                <w:szCs w:val="18"/>
                <w:lang w:eastAsia="zh-CN"/>
                <w14:ligatures w14:val="none"/>
              </w:rPr>
              <w:t>100.00分</w:t>
            </w:r>
          </w:p>
        </w:tc>
        <w:tc>
          <w:tcPr>
            <w:tcW w:w="1984" w:type="dxa"/>
            <w:gridSpan w:val="2"/>
            <w:tcBorders>
              <w:top w:val="single" w:color="auto" w:sz="4" w:space="0"/>
              <w:left w:val="nil"/>
              <w:bottom w:val="single" w:color="auto" w:sz="4" w:space="0"/>
              <w:right w:val="single" w:color="auto" w:sz="4" w:space="0"/>
            </w:tcBorders>
            <w:vAlign w:val="center"/>
          </w:tcPr>
          <w:p w14:paraId="12360A85">
            <w:pPr>
              <w:widowControl/>
              <w:spacing w:after="0" w:line="240" w:lineRule="auto"/>
              <w:jc w:val="center"/>
              <w:rPr>
                <w:rFonts w:hint="eastAsia" w:ascii="宋体" w:hAnsi="宋体" w:eastAsia="宋体" w:cs="宋体"/>
                <w:b/>
                <w:bCs/>
                <w:color w:val="000000"/>
                <w:kern w:val="0"/>
                <w:sz w:val="18"/>
                <w:szCs w:val="18"/>
                <w:lang w:eastAsia="zh-CN"/>
                <w14:ligatures w14:val="none"/>
              </w:rPr>
            </w:pPr>
          </w:p>
        </w:tc>
      </w:tr>
      <w:bookmarkEnd w:id="1"/>
    </w:tbl>
    <w:p w14:paraId="5161A6BC">
      <w:pPr>
        <w:widowControl/>
        <w:spacing w:before="0" w:beforeLines="0" w:beforeAutospacing="0" w:after="0" w:afterLines="0" w:afterAutospacing="0" w:line="240" w:lineRule="auto"/>
        <w:ind w:firstLine="640" w:firstLineChars="200"/>
        <w:jc w:val="left"/>
        <w:outlineLvl w:val="1"/>
        <w:rPr>
          <w:rFonts w:ascii="黑体" w:eastAsia="黑体"/>
          <w:b w:val="0"/>
          <w:sz w:val="32"/>
          <w:szCs w:val="32"/>
        </w:rPr>
      </w:pPr>
    </w:p>
    <w:p w14:paraId="5C2551EE">
      <w:pPr>
        <w:widowControl/>
        <w:spacing w:before="0" w:beforeLines="0" w:beforeAutospacing="0" w:after="0" w:afterLines="0" w:afterAutospacing="0" w:line="240" w:lineRule="auto"/>
        <w:ind w:firstLine="640" w:firstLineChars="200"/>
        <w:jc w:val="left"/>
        <w:outlineLvl w:val="1"/>
        <w:rPr>
          <w:rFonts w:ascii="黑体" w:eastAsia="黑体"/>
          <w:sz w:val="32"/>
          <w:szCs w:val="32"/>
        </w:rPr>
      </w:pPr>
      <w:bookmarkStart w:id="2" w:name="_GoBack"/>
      <w:bookmarkEnd w:id="2"/>
      <w:r>
        <w:rPr>
          <w:rFonts w:ascii="黑体" w:eastAsia="黑体"/>
          <w:b w:val="0"/>
          <w:sz w:val="32"/>
          <w:szCs w:val="32"/>
        </w:rPr>
        <w:t>十二、其他需说明的事项</w:t>
      </w:r>
    </w:p>
    <w:p w14:paraId="3B187283">
      <w:pPr>
        <w:widowControl/>
        <w:spacing w:before="0" w:beforeLines="0" w:beforeAutospacing="0" w:after="0" w:afterLines="0" w:afterAutospacing="0" w:line="240" w:lineRule="auto"/>
        <w:ind w:firstLine="640" w:firstLineChars="200"/>
        <w:jc w:val="both"/>
        <w:rPr>
          <w:rFonts w:ascii="仿宋_GB2312" w:eastAsia="仿宋_GB2312"/>
          <w:sz w:val="32"/>
          <w:szCs w:val="32"/>
        </w:rPr>
      </w:pPr>
      <w:r>
        <w:rPr>
          <w:rFonts w:ascii="仿宋_GB2312" w:eastAsia="仿宋_GB2312"/>
          <w:b w:val="0"/>
          <w:sz w:val="32"/>
          <w:szCs w:val="32"/>
        </w:rPr>
        <w:t>本单位无其他需说明事项。</w:t>
      </w:r>
    </w:p>
    <w:p w14:paraId="431C3251">
      <w:pPr>
        <w:widowControl/>
        <w:spacing w:before="0" w:beforeLines="0" w:beforeAutospacing="0" w:after="0" w:afterLines="0" w:afterAutospacing="0" w:line="240" w:lineRule="auto"/>
        <w:ind w:firstLine="640" w:firstLineChars="200"/>
        <w:jc w:val="left"/>
        <w:rPr>
          <w:rFonts w:ascii="仿宋_GB2312" w:eastAsia="仿宋_GB2312"/>
          <w:sz w:val="32"/>
          <w:szCs w:val="32"/>
        </w:rPr>
      </w:pPr>
    </w:p>
    <w:p w14:paraId="09243D21">
      <w:pPr>
        <w:widowControl/>
      </w:pPr>
      <w:r>
        <w:rPr>
          <w:b w:val="0"/>
          <w:sz w:val="0"/>
          <w:szCs w:val="0"/>
        </w:rPr>
        <w:br w:type="page"/>
      </w:r>
    </w:p>
    <w:p w14:paraId="5FED27DF">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第三部分 专业名词解释</w:t>
      </w:r>
    </w:p>
    <w:p w14:paraId="3F5ED8AE">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b w:val="0"/>
          <w:sz w:val="32"/>
          <w:szCs w:val="32"/>
        </w:rPr>
        <w:t>指同级财政当年拨付的资金。</w:t>
      </w:r>
    </w:p>
    <w:p w14:paraId="5F9A1CA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b w:val="0"/>
          <w:sz w:val="32"/>
          <w:szCs w:val="32"/>
        </w:rPr>
        <w:t>指事业单位从主管部门和上级单位取得的非财政补助收入。</w:t>
      </w:r>
    </w:p>
    <w:p w14:paraId="1CAB287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三、事业收入：</w:t>
      </w:r>
      <w:r>
        <w:rPr>
          <w:rFonts w:ascii="仿宋_GB2312" w:eastAsia="仿宋_GB2312"/>
          <w:b w:val="0"/>
          <w:sz w:val="32"/>
          <w:szCs w:val="32"/>
        </w:rPr>
        <w:t>指事业单位开展专业业务活动及其辅助活动所取得的收入。</w:t>
      </w:r>
    </w:p>
    <w:p w14:paraId="6EEB308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四、经营收入：</w:t>
      </w:r>
      <w:r>
        <w:rPr>
          <w:rFonts w:ascii="仿宋_GB2312" w:eastAsia="仿宋_GB2312"/>
          <w:b w:val="0"/>
          <w:sz w:val="32"/>
          <w:szCs w:val="32"/>
        </w:rPr>
        <w:t>指事业单位在专业业务活动及其辅助活动之外开展非独立核算经营活动取得的收入。</w:t>
      </w:r>
    </w:p>
    <w:p w14:paraId="15E99441">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b w:val="0"/>
          <w:sz w:val="32"/>
          <w:szCs w:val="32"/>
        </w:rPr>
        <w:t>指事业单位附属的独立核算单位按有关规定上缴的收入。</w:t>
      </w:r>
    </w:p>
    <w:p w14:paraId="399B992C">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六、其他收入：</w:t>
      </w:r>
      <w:r>
        <w:rPr>
          <w:rFonts w:ascii="仿宋_GB2312" w:eastAsia="仿宋_GB2312"/>
          <w:b w:val="0"/>
          <w:sz w:val="32"/>
          <w:szCs w:val="32"/>
        </w:rPr>
        <w:t>指除上述“财政拨款收入”、“事业收入”、“经营收入”、“附属单位上缴收入”等之外取得的收入。</w:t>
      </w:r>
    </w:p>
    <w:p w14:paraId="70C8CA56">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b w:val="0"/>
          <w:sz w:val="32"/>
          <w:szCs w:val="32"/>
        </w:rPr>
        <w:t>指以前年度支出预算因客观条件变化未执行完毕、结转到本年度按有关规定继续使用的资金，既包括财政拨款结转和结余，也包括事业收入、经营收入、其他收入的结转和结余。</w:t>
      </w:r>
    </w:p>
    <w:p w14:paraId="7445EE0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b w:val="0"/>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CCDC9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九、基本支出：</w:t>
      </w:r>
      <w:r>
        <w:rPr>
          <w:rFonts w:ascii="仿宋_GB2312" w:eastAsia="仿宋_GB2312"/>
          <w:b w:val="0"/>
          <w:sz w:val="32"/>
          <w:szCs w:val="32"/>
        </w:rPr>
        <w:t>指为保障机构正常运转、完成日常工作任务而发生的人员支出和公用支出。</w:t>
      </w:r>
    </w:p>
    <w:p w14:paraId="6522E5A8">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十、项目支出：</w:t>
      </w:r>
      <w:r>
        <w:rPr>
          <w:rFonts w:ascii="仿宋_GB2312" w:eastAsia="仿宋_GB2312"/>
          <w:b w:val="0"/>
          <w:sz w:val="32"/>
          <w:szCs w:val="32"/>
        </w:rPr>
        <w:t>指在基本支出之外为完成特定行政任务和事业发展目标所发生的支出。</w:t>
      </w:r>
    </w:p>
    <w:p w14:paraId="75BD022B">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b w:val="0"/>
          <w:sz w:val="32"/>
          <w:szCs w:val="32"/>
        </w:rPr>
        <w:t>指事业单位在专业业务活动及其辅助活动之外开展非独立核算经营活动发生的支出。</w:t>
      </w:r>
    </w:p>
    <w:p w14:paraId="79F26C27">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b w:val="0"/>
          <w:sz w:val="32"/>
          <w:szCs w:val="32"/>
        </w:rPr>
        <w:t>指事业单位发生的用非财政预算资金对附属单位的补助支出。</w:t>
      </w:r>
    </w:p>
    <w:p w14:paraId="19F7A90D">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十三、“三公”经费：</w:t>
      </w:r>
      <w:r>
        <w:rPr>
          <w:rFonts w:ascii="仿宋_GB2312" w:eastAsia="仿宋_GB2312"/>
          <w:b w:val="0"/>
          <w:sz w:val="32"/>
          <w:szCs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59DDB9">
      <w:pPr>
        <w:widowControl/>
        <w:spacing w:before="0" w:beforeLines="0" w:beforeAutospacing="0" w:after="0" w:afterLines="0" w:afterAutospacing="0" w:line="240" w:lineRule="auto"/>
        <w:ind w:firstLine="643" w:firstLineChars="200"/>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b w:val="0"/>
          <w:sz w:val="32"/>
          <w:szCs w:val="32"/>
        </w:rPr>
        <w:t>行政单位和参照公务员法管理的事业单位财政拨款基本支出中的公用经费支出。</w:t>
      </w:r>
    </w:p>
    <w:p w14:paraId="6CC69728">
      <w:pPr>
        <w:widowControl/>
      </w:pPr>
      <w:r>
        <w:rPr>
          <w:b w:val="0"/>
          <w:sz w:val="0"/>
          <w:szCs w:val="0"/>
        </w:rPr>
        <w:br w:type="page"/>
      </w:r>
    </w:p>
    <w:p w14:paraId="7A485196">
      <w:pPr>
        <w:widowControl/>
        <w:spacing w:before="0" w:beforeLines="0" w:beforeAutospacing="0" w:after="0" w:afterLines="0" w:afterAutospacing="0" w:line="240" w:lineRule="auto"/>
        <w:jc w:val="center"/>
        <w:outlineLvl w:val="0"/>
        <w:rPr>
          <w:rFonts w:ascii="黑体" w:eastAsia="黑体"/>
          <w:sz w:val="32"/>
          <w:szCs w:val="32"/>
        </w:rPr>
      </w:pPr>
      <w:r>
        <w:rPr>
          <w:rFonts w:ascii="黑体" w:eastAsia="黑体"/>
          <w:b w:val="0"/>
          <w:sz w:val="32"/>
          <w:szCs w:val="32"/>
        </w:rPr>
        <w:t>第四部分 部门决算报表（见附表）</w:t>
      </w:r>
    </w:p>
    <w:p w14:paraId="32B65359">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一、《收入支出决算总表》</w:t>
      </w:r>
    </w:p>
    <w:p w14:paraId="48B59545">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二、《收入决算表》</w:t>
      </w:r>
    </w:p>
    <w:p w14:paraId="48D883C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三、《支出决算表》</w:t>
      </w:r>
    </w:p>
    <w:p w14:paraId="58C8CB3B">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四、《财政拨款收入支出决算总表》</w:t>
      </w:r>
    </w:p>
    <w:p w14:paraId="0BCC4F26">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五、《一般公共预算财政拨款支出决算表》</w:t>
      </w:r>
    </w:p>
    <w:p w14:paraId="5219A30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六、《一般公共预算财政拨款基本支出决算表》</w:t>
      </w:r>
    </w:p>
    <w:p w14:paraId="2FC9850E">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七、《政府性基金预算财政拨款收入支出决算表》</w:t>
      </w:r>
    </w:p>
    <w:p w14:paraId="60DAF124">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八、《国有资本经营预算财政拨款收入支出决算表》</w:t>
      </w:r>
    </w:p>
    <w:p w14:paraId="28B94E37">
      <w:pPr>
        <w:widowControl/>
        <w:spacing w:before="0" w:beforeLines="0" w:beforeAutospacing="0" w:after="0" w:afterLines="0" w:afterAutospacing="0" w:line="240" w:lineRule="auto"/>
        <w:ind w:firstLine="640" w:firstLineChars="200"/>
        <w:jc w:val="left"/>
        <w:outlineLvl w:val="1"/>
        <w:rPr>
          <w:rFonts w:ascii="仿宋_GB2312" w:eastAsia="仿宋_GB2312"/>
          <w:sz w:val="32"/>
          <w:szCs w:val="32"/>
        </w:rPr>
      </w:pPr>
      <w:r>
        <w:rPr>
          <w:rFonts w:ascii="仿宋_GB2312" w:eastAsia="仿宋_GB2312"/>
          <w:b w:val="0"/>
          <w:sz w:val="32"/>
          <w:szCs w:val="32"/>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isplayHorizontalDrawingGridEvery w:val="0"/>
  <w:displayVerticalDrawingGridEvery w:val="2"/>
  <w:footnotePr>
    <w:footnote w:id="0"/>
    <w:footnote w:id="1"/>
  </w:footnotePr>
  <w:endnotePr>
    <w:endnote w:id="0"/>
    <w:endnote w:id="1"/>
  </w:endnotePr>
  <w:compat>
    <w:balanceSingleByteDoubleByteWidth/>
    <w:doNotExpandShiftReturn/>
    <w:adjustLineHeightInTable/>
    <w:doNotWrapTextWithPunct/>
    <w:doNotUseEastAsianBreakRules/>
    <w:useFELayout/>
    <w:compatSetting w:name="compatibilityMode" w:uri="http://schemas.microsoft.com/office/word" w:val="12"/>
    <w:compatSetting w:name="overrideTableStyleFontSizeAndJustification" w:uri="http://schemas.microsoft.com/office/word" w:val="1"/>
  </w:compat>
  <w:rsids>
    <w:rsidRoot w:val="00000000"/>
    <w:rsid w:val="100D40C1"/>
    <w:rsid w:val="14BE346A"/>
    <w:rsid w:val="32DD1D1A"/>
    <w:rsid w:val="37217B5C"/>
    <w:rsid w:val="3AE45DE9"/>
    <w:rsid w:val="3E491747"/>
    <w:rsid w:val="403A57EB"/>
    <w:rsid w:val="418A37A6"/>
    <w:rsid w:val="526D72C1"/>
    <w:rsid w:val="5FA40A7B"/>
    <w:rsid w:val="615B170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366091"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F81BD"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F81BD"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F81BD"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F81BD" w:themeColor="accent1"/>
      <w:spacing w:val="15"/>
      <w:sz w:val="24"/>
      <w:szCs w:val="24"/>
    </w:rPr>
  </w:style>
  <w:style w:type="paragraph" w:styleId="10">
    <w:name w:val="Title"/>
    <w:basedOn w:val="1"/>
    <w:next w:val="1"/>
    <w:link w:val="22"/>
    <w:qFormat/>
    <w:uiPriority w:val="10"/>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4">
    <w:name w:val="Emphasis"/>
    <w:basedOn w:val="13"/>
    <w:qFormat/>
    <w:uiPriority w:val="20"/>
    <w:rPr>
      <w:i/>
      <w:iCs/>
    </w:rPr>
  </w:style>
  <w:style w:type="character" w:styleId="15">
    <w:name w:val="Hyperlink"/>
    <w:basedOn w:val="13"/>
    <w:unhideWhenUsed/>
    <w:qFormat/>
    <w:uiPriority w:val="99"/>
    <w:rPr>
      <w:color w:val="0000FF" w:themeColor="hyperlink"/>
      <w:u w:val="single"/>
    </w:rPr>
  </w:style>
  <w:style w:type="character" w:customStyle="1" w:styleId="16">
    <w:name w:val="Header Char"/>
    <w:basedOn w:val="13"/>
    <w:link w:val="8"/>
    <w:qFormat/>
    <w:uiPriority w:val="99"/>
  </w:style>
  <w:style w:type="character" w:customStyle="1" w:styleId="17">
    <w:name w:val="Heading 1 Char"/>
    <w:basedOn w:val="13"/>
    <w:link w:val="2"/>
    <w:qFormat/>
    <w:uiPriority w:val="9"/>
    <w:rPr>
      <w:rFonts w:asciiTheme="majorHAnsi" w:hAnsiTheme="majorHAnsi" w:eastAsiaTheme="majorEastAsia" w:cstheme="majorBidi"/>
      <w:b/>
      <w:bCs/>
      <w:color w:val="366091" w:themeColor="accent1" w:themeShade="BF"/>
      <w:sz w:val="28"/>
      <w:szCs w:val="28"/>
    </w:rPr>
  </w:style>
  <w:style w:type="character" w:customStyle="1" w:styleId="18">
    <w:name w:val="Heading 2 Char"/>
    <w:basedOn w:val="13"/>
    <w:link w:val="3"/>
    <w:qFormat/>
    <w:uiPriority w:val="9"/>
    <w:rPr>
      <w:rFonts w:asciiTheme="majorHAnsi" w:hAnsiTheme="majorHAnsi" w:eastAsiaTheme="majorEastAsia" w:cstheme="majorBidi"/>
      <w:b/>
      <w:bCs/>
      <w:color w:val="4F81BD" w:themeColor="accent1"/>
      <w:sz w:val="26"/>
      <w:szCs w:val="26"/>
    </w:rPr>
  </w:style>
  <w:style w:type="character" w:customStyle="1" w:styleId="19">
    <w:name w:val="Heading 3 Char"/>
    <w:basedOn w:val="13"/>
    <w:link w:val="4"/>
    <w:qFormat/>
    <w:uiPriority w:val="9"/>
    <w:rPr>
      <w:rFonts w:asciiTheme="majorHAnsi" w:hAnsiTheme="majorHAnsi" w:eastAsiaTheme="majorEastAsia" w:cstheme="majorBidi"/>
      <w:b/>
      <w:bCs/>
      <w:color w:val="4F81BD" w:themeColor="accent1"/>
    </w:rPr>
  </w:style>
  <w:style w:type="character" w:customStyle="1" w:styleId="20">
    <w:name w:val="Heading 4 Char"/>
    <w:basedOn w:val="13"/>
    <w:link w:val="5"/>
    <w:qFormat/>
    <w:uiPriority w:val="9"/>
    <w:rPr>
      <w:rFonts w:asciiTheme="majorHAnsi" w:hAnsiTheme="majorHAnsi" w:eastAsiaTheme="majorEastAsia" w:cstheme="majorBidi"/>
      <w:b/>
      <w:bCs/>
      <w:i/>
      <w:iCs/>
      <w:color w:val="4F81BD" w:themeColor="accent1"/>
    </w:rPr>
  </w:style>
  <w:style w:type="character" w:customStyle="1" w:styleId="21">
    <w:name w:val="Subtitle Char"/>
    <w:basedOn w:val="13"/>
    <w:link w:val="9"/>
    <w:qFormat/>
    <w:uiPriority w:val="11"/>
    <w:rPr>
      <w:rFonts w:asciiTheme="majorHAnsi" w:hAnsiTheme="majorHAnsi" w:eastAsiaTheme="majorEastAsia" w:cstheme="majorBidi"/>
      <w:i/>
      <w:iCs/>
      <w:color w:val="4F81BD" w:themeColor="accent1"/>
      <w:spacing w:val="15"/>
      <w:sz w:val="24"/>
      <w:szCs w:val="24"/>
    </w:rPr>
  </w:style>
  <w:style w:type="character" w:customStyle="1" w:styleId="22">
    <w:name w:val="Title Char"/>
    <w:basedOn w:val="13"/>
    <w:link w:val="10"/>
    <w:qFormat/>
    <w:uiPriority w:val="10"/>
    <w:rPr>
      <w:rFonts w:asciiTheme="majorHAnsi" w:hAnsiTheme="majorHAnsi" w:eastAsiaTheme="majorEastAsia" w:cstheme="majorBidi"/>
      <w:color w:val="17365D"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21</Pages>
  <Words>11130</Words>
  <Characters>12160</Characters>
  <Lines>1</Lines>
  <Paragraphs>1</Paragraphs>
  <TotalTime>6</TotalTime>
  <ScaleCrop>false</ScaleCrop>
  <LinksUpToDate>false</LinksUpToDate>
  <CharactersWithSpaces>12170</CharactersWithSpaces>
  <Application>WPS Office_12.1.0.22529_F1E327BC-269C-435d-A152-05C5408002CA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2025-10-09T07:43:00Z</dcterms:created>
  <dc:creator>LYQX</dc:creator>
  <cp:lastModifiedBy>辣庅小</cp:lastModifiedBy>
  <dcterms:modified xsi:type="dcterms:W3CDTF">2025-10-15T04:12:19Z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918ACC3BCFD04C21B4FAFF18FBE01710_12</vt:lpwstr>
  </property>
</Properties>
</file>