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6F467" w14:textId="77777777" w:rsidR="00A24705" w:rsidRDefault="00A24705">
      <w:pPr>
        <w:spacing w:after="0" w:line="240" w:lineRule="auto"/>
        <w:rPr>
          <w:rFonts w:ascii="宋体" w:eastAsia="宋体"/>
          <w:sz w:val="32"/>
          <w:szCs w:val="32"/>
        </w:rPr>
      </w:pPr>
    </w:p>
    <w:p w14:paraId="368AF713" w14:textId="77777777" w:rsidR="00A24705" w:rsidRDefault="00A24705">
      <w:pPr>
        <w:spacing w:after="0" w:line="240" w:lineRule="auto"/>
        <w:rPr>
          <w:rFonts w:ascii="宋体" w:eastAsia="宋体"/>
          <w:sz w:val="44"/>
          <w:szCs w:val="44"/>
        </w:rPr>
      </w:pPr>
    </w:p>
    <w:p w14:paraId="0C355DB6" w14:textId="77777777" w:rsidR="00A24705" w:rsidRDefault="00A24705">
      <w:pPr>
        <w:spacing w:after="0" w:line="240" w:lineRule="auto"/>
        <w:rPr>
          <w:rFonts w:ascii="宋体" w:eastAsia="宋体"/>
          <w:sz w:val="44"/>
          <w:szCs w:val="44"/>
        </w:rPr>
      </w:pPr>
    </w:p>
    <w:p w14:paraId="7658BF5E" w14:textId="77777777" w:rsidR="00A24705" w:rsidRDefault="00A24705">
      <w:pPr>
        <w:spacing w:after="0" w:line="240" w:lineRule="auto"/>
        <w:rPr>
          <w:rFonts w:ascii="宋体" w:eastAsia="宋体"/>
          <w:sz w:val="44"/>
          <w:szCs w:val="44"/>
        </w:rPr>
      </w:pPr>
    </w:p>
    <w:p w14:paraId="6E27195B" w14:textId="77777777" w:rsidR="00CB1A4D"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乌鲁木齐市米东区房屋征收与补偿管理</w:t>
      </w:r>
    </w:p>
    <w:p w14:paraId="673DA99B" w14:textId="77777777" w:rsidR="00CB1A4D"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办公室（乌鲁木齐市米东区土地征收管理</w:t>
      </w:r>
    </w:p>
    <w:p w14:paraId="45B27874" w14:textId="6D04ABBF" w:rsidR="00A24705"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办公室）</w:t>
      </w:r>
    </w:p>
    <w:p w14:paraId="6AC3C4FE" w14:textId="77777777" w:rsidR="00A24705"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3692FB8" w14:textId="77777777" w:rsidR="00A24705" w:rsidRDefault="00000000">
      <w:pPr>
        <w:rPr>
          <w:lang w:eastAsia="zh-CN"/>
        </w:rPr>
      </w:pPr>
      <w:r>
        <w:rPr>
          <w:sz w:val="0"/>
          <w:szCs w:val="0"/>
          <w:lang w:eastAsia="zh-CN"/>
        </w:rPr>
        <w:br w:type="page"/>
      </w:r>
    </w:p>
    <w:p w14:paraId="255891D1" w14:textId="77777777" w:rsidR="00A24705"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1DECF06" w14:textId="77777777" w:rsidR="00A2470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BB8F9AF"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324FACFB"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5ABDD25" w14:textId="77777777" w:rsidR="00A2470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1D4FA49E"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36B0284"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B4C2F83"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4C778DA"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37408E0"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58576BB"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C28B96E"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15E6E1B"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EB2BDAE"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A2374B4"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D411BF2"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5D9E4D1"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132BC77F"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1911500"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5DF6DE1"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7871226"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3D02B99"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42566B9"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9E28E63" w14:textId="77777777" w:rsidR="00A2470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37D5B3D" w14:textId="77777777" w:rsidR="00A2470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B21DC85"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D15BE58"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634229D"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920C98F"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9E15BC7"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58A9931"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123B39B"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61AE3419"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3118769" w14:textId="77777777" w:rsidR="00A2470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284A94E" w14:textId="77777777" w:rsidR="00A24705" w:rsidRDefault="00000000">
      <w:pPr>
        <w:rPr>
          <w:lang w:eastAsia="zh-CN"/>
        </w:rPr>
      </w:pPr>
      <w:r>
        <w:rPr>
          <w:sz w:val="0"/>
          <w:szCs w:val="0"/>
          <w:lang w:eastAsia="zh-CN"/>
        </w:rPr>
        <w:br w:type="page"/>
      </w:r>
    </w:p>
    <w:p w14:paraId="365FC704" w14:textId="77777777" w:rsidR="00A2470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362A858"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AE0F1D0"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2011年7月，米东区房屋征收与补偿管理办公室正式成立依法实施米东区范围内房屋征收与补偿及土地征收管理工作。宣传和贯彻执行国家关于土地征收、房屋征收与补偿方面的政策和法律、法规，依据《国有土地上房屋征收与补偿条列》组织实施行政区域内的房屋征收与补偿工作，负责行政区域内储备土地的征收管理工作。及领导交办的其他工作。</w:t>
      </w:r>
    </w:p>
    <w:p w14:paraId="32A99B18"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FAFBC17" w14:textId="03ACBAEC" w:rsidR="00A2470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乌鲁木齐市米东区房屋征收与补偿管理办公室（乌鲁木齐市米东区土地征收管理办公室）2024年度，实有人数49人，其中：在职人员45人，增加2人；离休人员0人，较上年无变化；退休人员4人，较上年无变化</w:t>
      </w:r>
      <w:r w:rsidR="00CB1A4D">
        <w:rPr>
          <w:rFonts w:ascii="仿宋_GB2312" w:eastAsia="仿宋_GB2312" w:hint="eastAsia"/>
          <w:sz w:val="32"/>
          <w:szCs w:val="32"/>
          <w:lang w:eastAsia="zh-CN"/>
        </w:rPr>
        <w:t>。</w:t>
      </w:r>
    </w:p>
    <w:p w14:paraId="03CF8611"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乌鲁木齐市米东区房屋征收与补偿管理办公室（乌鲁木齐市米东区土地征收管理办公室）无下属预算单位，下设7个</w:t>
      </w:r>
      <w:r>
        <w:rPr>
          <w:rFonts w:ascii="仿宋_GB2312" w:eastAsia="仿宋_GB2312" w:hint="eastAsia"/>
          <w:sz w:val="32"/>
          <w:szCs w:val="32"/>
          <w:lang w:eastAsia="zh-CN"/>
        </w:rPr>
        <w:t>科室</w:t>
      </w:r>
      <w:r>
        <w:rPr>
          <w:rFonts w:ascii="仿宋_GB2312" w:eastAsia="仿宋_GB2312"/>
          <w:sz w:val="32"/>
          <w:szCs w:val="32"/>
          <w:lang w:eastAsia="zh-CN"/>
        </w:rPr>
        <w:t>，分别是：综合股、房屋征收股、土地股、政策与法规股、财务股、拆除股、档案室。</w:t>
      </w:r>
    </w:p>
    <w:p w14:paraId="4B56E722" w14:textId="77777777" w:rsidR="00A24705" w:rsidRDefault="00000000">
      <w:pPr>
        <w:rPr>
          <w:lang w:eastAsia="zh-CN"/>
        </w:rPr>
      </w:pPr>
      <w:r>
        <w:rPr>
          <w:sz w:val="0"/>
          <w:szCs w:val="0"/>
          <w:lang w:eastAsia="zh-CN"/>
        </w:rPr>
        <w:br w:type="page"/>
      </w:r>
    </w:p>
    <w:p w14:paraId="5FEDDC97" w14:textId="77777777" w:rsidR="00A2470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43347382"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E401638"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2024年度收入总计494,137.72万元，其中：本年收入合计494,074.77万元，使用非财政拨款结余（含专用结余）0.00万元，年初结转和结余62.95万元。</w:t>
      </w:r>
    </w:p>
    <w:p w14:paraId="0BA153F0"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2024年度支出总计494,137.72万元，其中：本年支出合计494,074.81万元，结余分配0.00万元，年末结转和结余62.91万元。</w:t>
      </w:r>
    </w:p>
    <w:p w14:paraId="471DDFC0" w14:textId="26604125"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收入支出总体与上年相比，增加387,092.75万元，增长361.62%，主要原因是：</w:t>
      </w:r>
      <w:r w:rsidR="00CB1A4D">
        <w:rPr>
          <w:rFonts w:ascii="仿宋_GB2312" w:eastAsia="仿宋_GB2312" w:hint="eastAsia"/>
          <w:sz w:val="32"/>
          <w:szCs w:val="32"/>
          <w:lang w:eastAsia="zh-CN"/>
        </w:rPr>
        <w:t>单位</w:t>
      </w:r>
      <w:r>
        <w:rPr>
          <w:rFonts w:ascii="仿宋_GB2312" w:eastAsia="仿宋_GB2312" w:hint="eastAsia"/>
          <w:sz w:val="32"/>
          <w:szCs w:val="32"/>
          <w:lang w:eastAsia="zh-CN"/>
        </w:rPr>
        <w:t>本年棚</w:t>
      </w:r>
      <w:proofErr w:type="gramStart"/>
      <w:r>
        <w:rPr>
          <w:rFonts w:ascii="仿宋_GB2312" w:eastAsia="仿宋_GB2312" w:hint="eastAsia"/>
          <w:sz w:val="32"/>
          <w:szCs w:val="32"/>
          <w:lang w:eastAsia="zh-CN"/>
        </w:rPr>
        <w:t>改</w:t>
      </w:r>
      <w:r w:rsidR="00CB1A4D">
        <w:rPr>
          <w:rFonts w:ascii="仿宋_GB2312" w:eastAsia="仿宋_GB2312" w:hint="eastAsia"/>
          <w:sz w:val="32"/>
          <w:szCs w:val="32"/>
          <w:lang w:eastAsia="zh-CN"/>
        </w:rPr>
        <w:t>政府</w:t>
      </w:r>
      <w:proofErr w:type="gramEnd"/>
      <w:r w:rsidR="00CB1A4D">
        <w:rPr>
          <w:rFonts w:ascii="仿宋_GB2312" w:eastAsia="仿宋_GB2312" w:hint="eastAsia"/>
          <w:sz w:val="32"/>
          <w:szCs w:val="32"/>
          <w:lang w:eastAsia="zh-CN"/>
        </w:rPr>
        <w:t>购买服务</w:t>
      </w:r>
      <w:r>
        <w:rPr>
          <w:rFonts w:ascii="仿宋_GB2312" w:eastAsia="仿宋_GB2312" w:hint="eastAsia"/>
          <w:sz w:val="32"/>
          <w:szCs w:val="32"/>
          <w:lang w:eastAsia="zh-CN"/>
        </w:rPr>
        <w:t>项目</w:t>
      </w:r>
      <w:r w:rsidR="00CB1A4D">
        <w:rPr>
          <w:rFonts w:ascii="仿宋_GB2312" w:eastAsia="仿宋_GB2312" w:hint="eastAsia"/>
          <w:sz w:val="32"/>
          <w:szCs w:val="32"/>
          <w:lang w:eastAsia="zh-CN"/>
        </w:rPr>
        <w:t>经费</w:t>
      </w:r>
      <w:r>
        <w:rPr>
          <w:rFonts w:ascii="仿宋_GB2312" w:eastAsia="仿宋_GB2312" w:hint="eastAsia"/>
          <w:sz w:val="32"/>
          <w:szCs w:val="32"/>
          <w:lang w:eastAsia="zh-CN"/>
        </w:rPr>
        <w:t>增加</w:t>
      </w:r>
      <w:r>
        <w:rPr>
          <w:rFonts w:ascii="仿宋_GB2312" w:eastAsia="仿宋_GB2312"/>
          <w:sz w:val="32"/>
          <w:szCs w:val="32"/>
          <w:lang w:eastAsia="zh-CN"/>
        </w:rPr>
        <w:t>。</w:t>
      </w:r>
    </w:p>
    <w:p w14:paraId="601DA01D"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B9470CB"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494,074.77万元，其中：财政拨款收入494,074.77万元,占100.00%；上级补助收入0.00万元,占0.00%；事业收入0.00万元，占0.00%；经营收入0.00万元,占0.00%；附属单位上缴收入0.00万元，占0.00%；其他收入0.00万元，占0.00%。</w:t>
      </w:r>
    </w:p>
    <w:p w14:paraId="38B80A0B"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76609DD"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本年支出494,074.81万元，其中：基本支出768.70万元，占0.16%；项目支出493,306.11万元，占99.84%；上缴上级支出0.00万元，占0.00%；经营支出0.00万元，占0.00%；对附属单位补助支出0.00万元，占0.00%。</w:t>
      </w:r>
    </w:p>
    <w:p w14:paraId="709509CC"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0A5BEE3"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494,100.66万元，其中：年初财政拨款结转和结余25.89万元，本年财政拨款收入494,074.77万元。财政拨款支出总计494,100.66万元，其中：年末财政拨款结转和结余25.89万元，本年财政拨款支出494,074.77万元。</w:t>
      </w:r>
    </w:p>
    <w:p w14:paraId="1198D3F9" w14:textId="57812985"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财政拨款收入支出总体与上年相比，增加477,890.11万元，增长2,948.02%，主要原因是：</w:t>
      </w:r>
      <w:r w:rsidR="00CB1A4D">
        <w:rPr>
          <w:rFonts w:ascii="仿宋_GB2312" w:eastAsia="仿宋_GB2312" w:hint="eastAsia"/>
          <w:sz w:val="32"/>
          <w:szCs w:val="32"/>
          <w:lang w:eastAsia="zh-CN"/>
        </w:rPr>
        <w:t>单位本年棚</w:t>
      </w:r>
      <w:proofErr w:type="gramStart"/>
      <w:r w:rsidR="00CB1A4D">
        <w:rPr>
          <w:rFonts w:ascii="仿宋_GB2312" w:eastAsia="仿宋_GB2312" w:hint="eastAsia"/>
          <w:sz w:val="32"/>
          <w:szCs w:val="32"/>
          <w:lang w:eastAsia="zh-CN"/>
        </w:rPr>
        <w:t>改政府</w:t>
      </w:r>
      <w:proofErr w:type="gramEnd"/>
      <w:r w:rsidR="00CB1A4D">
        <w:rPr>
          <w:rFonts w:ascii="仿宋_GB2312" w:eastAsia="仿宋_GB2312" w:hint="eastAsia"/>
          <w:sz w:val="32"/>
          <w:szCs w:val="32"/>
          <w:lang w:eastAsia="zh-CN"/>
        </w:rPr>
        <w:t>购买服务项目经费增加</w:t>
      </w:r>
      <w:r>
        <w:rPr>
          <w:rFonts w:ascii="仿宋_GB2312" w:eastAsia="仿宋_GB2312"/>
          <w:sz w:val="32"/>
          <w:szCs w:val="32"/>
          <w:lang w:eastAsia="zh-CN"/>
        </w:rPr>
        <w:t>。与年初预算相比，年初预算数146,727.62</w:t>
      </w:r>
      <w:r>
        <w:rPr>
          <w:rFonts w:ascii="仿宋_GB2312" w:eastAsia="仿宋_GB2312"/>
          <w:sz w:val="32"/>
          <w:szCs w:val="32"/>
          <w:lang w:eastAsia="zh-CN"/>
        </w:rPr>
        <w:lastRenderedPageBreak/>
        <w:t>万元，决算数494,100.66万元，预决算差异率236.75%，主要原因是：</w:t>
      </w:r>
      <w:r w:rsidR="00CB1A4D">
        <w:rPr>
          <w:rFonts w:ascii="仿宋_GB2312" w:eastAsia="仿宋_GB2312" w:hint="eastAsia"/>
          <w:sz w:val="32"/>
          <w:szCs w:val="32"/>
          <w:lang w:eastAsia="zh-CN"/>
        </w:rPr>
        <w:t>年中追加</w:t>
      </w:r>
      <w:r w:rsidR="00CB1A4D">
        <w:rPr>
          <w:rFonts w:ascii="仿宋_GB2312" w:eastAsia="仿宋_GB2312" w:hint="eastAsia"/>
          <w:sz w:val="32"/>
          <w:szCs w:val="32"/>
          <w:lang w:eastAsia="zh-CN"/>
        </w:rPr>
        <w:t>棚</w:t>
      </w:r>
      <w:proofErr w:type="gramStart"/>
      <w:r w:rsidR="00CB1A4D">
        <w:rPr>
          <w:rFonts w:ascii="仿宋_GB2312" w:eastAsia="仿宋_GB2312" w:hint="eastAsia"/>
          <w:sz w:val="32"/>
          <w:szCs w:val="32"/>
          <w:lang w:eastAsia="zh-CN"/>
        </w:rPr>
        <w:t>改政府</w:t>
      </w:r>
      <w:proofErr w:type="gramEnd"/>
      <w:r w:rsidR="00CB1A4D">
        <w:rPr>
          <w:rFonts w:ascii="仿宋_GB2312" w:eastAsia="仿宋_GB2312" w:hint="eastAsia"/>
          <w:sz w:val="32"/>
          <w:szCs w:val="32"/>
          <w:lang w:eastAsia="zh-CN"/>
        </w:rPr>
        <w:t>购买服务项目经费</w:t>
      </w:r>
      <w:r>
        <w:rPr>
          <w:rFonts w:ascii="仿宋_GB2312" w:eastAsia="仿宋_GB2312"/>
          <w:sz w:val="32"/>
          <w:szCs w:val="32"/>
          <w:lang w:eastAsia="zh-CN"/>
        </w:rPr>
        <w:t>。</w:t>
      </w:r>
    </w:p>
    <w:p w14:paraId="2F08B234"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BA937F3" w14:textId="77777777" w:rsidR="00A2470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5D454EC" w14:textId="19E0487B"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2024年度一般公共预算财政拨款支出903.06万元，占本年支出合计的0.18%。与上年相比，减少8,223.57万元，下降90.11%，主要原因是：</w:t>
      </w:r>
      <w:r>
        <w:rPr>
          <w:rFonts w:ascii="仿宋_GB2312" w:eastAsia="仿宋_GB2312" w:hint="eastAsia"/>
          <w:sz w:val="32"/>
          <w:szCs w:val="32"/>
          <w:lang w:eastAsia="zh-CN"/>
        </w:rPr>
        <w:t>东凯综合</w:t>
      </w:r>
      <w:proofErr w:type="gramStart"/>
      <w:r>
        <w:rPr>
          <w:rFonts w:ascii="仿宋_GB2312" w:eastAsia="仿宋_GB2312" w:hint="eastAsia"/>
          <w:sz w:val="32"/>
          <w:szCs w:val="32"/>
          <w:lang w:eastAsia="zh-CN"/>
        </w:rPr>
        <w:t>物流园</w:t>
      </w:r>
      <w:proofErr w:type="gramEnd"/>
      <w:r>
        <w:rPr>
          <w:rFonts w:ascii="仿宋_GB2312" w:eastAsia="仿宋_GB2312" w:hint="eastAsia"/>
          <w:sz w:val="32"/>
          <w:szCs w:val="32"/>
          <w:lang w:eastAsia="zh-CN"/>
        </w:rPr>
        <w:t>项目</w:t>
      </w:r>
      <w:r w:rsidR="00CB1A4D">
        <w:rPr>
          <w:rFonts w:ascii="仿宋_GB2312" w:eastAsia="仿宋_GB2312" w:hint="eastAsia"/>
          <w:sz w:val="32"/>
          <w:szCs w:val="32"/>
          <w:lang w:eastAsia="zh-CN"/>
        </w:rPr>
        <w:t>经费</w:t>
      </w:r>
      <w:r>
        <w:rPr>
          <w:rFonts w:ascii="仿宋_GB2312" w:eastAsia="仿宋_GB2312" w:hint="eastAsia"/>
          <w:sz w:val="32"/>
          <w:szCs w:val="32"/>
          <w:lang w:eastAsia="zh-CN"/>
        </w:rPr>
        <w:t>、菜园子村征收补偿</w:t>
      </w:r>
      <w:r w:rsidR="00CB1A4D">
        <w:rPr>
          <w:rFonts w:ascii="仿宋_GB2312" w:eastAsia="仿宋_GB2312" w:hint="eastAsia"/>
          <w:sz w:val="32"/>
          <w:szCs w:val="32"/>
          <w:lang w:eastAsia="zh-CN"/>
        </w:rPr>
        <w:t>项目经费</w:t>
      </w:r>
      <w:r>
        <w:rPr>
          <w:rFonts w:ascii="仿宋_GB2312" w:eastAsia="仿宋_GB2312" w:hint="eastAsia"/>
          <w:sz w:val="32"/>
          <w:szCs w:val="32"/>
          <w:lang w:eastAsia="zh-CN"/>
        </w:rPr>
        <w:t>、恒大征收</w:t>
      </w:r>
      <w:r w:rsidR="00CB1A4D">
        <w:rPr>
          <w:rFonts w:ascii="仿宋_GB2312" w:eastAsia="仿宋_GB2312" w:hint="eastAsia"/>
          <w:sz w:val="32"/>
          <w:szCs w:val="32"/>
          <w:lang w:eastAsia="zh-CN"/>
        </w:rPr>
        <w:t>项目</w:t>
      </w:r>
      <w:r>
        <w:rPr>
          <w:rFonts w:ascii="仿宋_GB2312" w:eastAsia="仿宋_GB2312" w:hint="eastAsia"/>
          <w:sz w:val="32"/>
          <w:szCs w:val="32"/>
          <w:lang w:eastAsia="zh-CN"/>
        </w:rPr>
        <w:t>资金减少</w:t>
      </w:r>
      <w:r>
        <w:rPr>
          <w:rFonts w:ascii="仿宋_GB2312" w:eastAsia="仿宋_GB2312"/>
          <w:sz w:val="32"/>
          <w:szCs w:val="32"/>
          <w:lang w:eastAsia="zh-CN"/>
        </w:rPr>
        <w:t>。与年初预算相比，年初预算数28,952.69万元，决算数903.06万元，预决算差异率-96.88%，主要原因是：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sidR="00CB1A4D">
        <w:rPr>
          <w:rFonts w:ascii="仿宋_GB2312" w:eastAsia="仿宋_GB2312" w:hint="eastAsia"/>
          <w:sz w:val="32"/>
          <w:szCs w:val="32"/>
          <w:lang w:eastAsia="zh-CN"/>
        </w:rPr>
        <w:t>东凯综合</w:t>
      </w:r>
      <w:proofErr w:type="gramStart"/>
      <w:r w:rsidR="00CB1A4D">
        <w:rPr>
          <w:rFonts w:ascii="仿宋_GB2312" w:eastAsia="仿宋_GB2312" w:hint="eastAsia"/>
          <w:sz w:val="32"/>
          <w:szCs w:val="32"/>
          <w:lang w:eastAsia="zh-CN"/>
        </w:rPr>
        <w:t>物流园</w:t>
      </w:r>
      <w:proofErr w:type="gramEnd"/>
      <w:r w:rsidR="00CB1A4D">
        <w:rPr>
          <w:rFonts w:ascii="仿宋_GB2312" w:eastAsia="仿宋_GB2312" w:hint="eastAsia"/>
          <w:sz w:val="32"/>
          <w:szCs w:val="32"/>
          <w:lang w:eastAsia="zh-CN"/>
        </w:rPr>
        <w:t>项目经费、菜园子村征收补偿项目经费、恒大征收项目资金</w:t>
      </w:r>
      <w:r>
        <w:rPr>
          <w:rFonts w:ascii="仿宋_GB2312" w:eastAsia="仿宋_GB2312"/>
          <w:sz w:val="32"/>
          <w:szCs w:val="32"/>
          <w:lang w:eastAsia="zh-CN"/>
        </w:rPr>
        <w:t>。</w:t>
      </w:r>
    </w:p>
    <w:p w14:paraId="5DCAAE16" w14:textId="77777777" w:rsidR="00A2470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3855F5A"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社会保障和就业支出（类）77.76万元，占8.61%。</w:t>
      </w:r>
    </w:p>
    <w:p w14:paraId="6EA7E5F8"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卫生健康支出（类）50.12万元，占5.55%。</w:t>
      </w:r>
    </w:p>
    <w:p w14:paraId="3A2E58F9"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城乡社区支出（类）679.20万元，占75.21%。</w:t>
      </w:r>
    </w:p>
    <w:p w14:paraId="1F18284B"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住房保障支出（类）95.99万元，占10.63%。</w:t>
      </w:r>
    </w:p>
    <w:p w14:paraId="7CCE84EF" w14:textId="77777777" w:rsidR="00A2470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9CEADCD" w14:textId="54893134"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1、社会保障和就业支出（类）行政事业单位养老支出（款）机关事业单位基本养老保险缴费支出（项）：支出决算数为77.76万元，比上年决算增加42.20万元，增长118.67%，主要原因是：</w:t>
      </w:r>
      <w:r>
        <w:rPr>
          <w:rFonts w:ascii="仿宋_GB2312" w:eastAsia="仿宋_GB2312" w:hint="eastAsia"/>
          <w:sz w:val="32"/>
          <w:szCs w:val="32"/>
          <w:lang w:eastAsia="zh-CN"/>
        </w:rPr>
        <w:t>单位</w:t>
      </w:r>
      <w:r w:rsidR="00CB1A4D">
        <w:rPr>
          <w:rFonts w:ascii="仿宋_GB2312" w:eastAsia="仿宋_GB2312" w:hint="eastAsia"/>
          <w:sz w:val="32"/>
          <w:szCs w:val="32"/>
          <w:lang w:eastAsia="zh-CN"/>
        </w:rPr>
        <w:t>本年</w:t>
      </w:r>
      <w:r>
        <w:rPr>
          <w:rFonts w:ascii="仿宋_GB2312" w:eastAsia="仿宋_GB2312" w:hint="eastAsia"/>
          <w:sz w:val="32"/>
          <w:szCs w:val="32"/>
          <w:lang w:eastAsia="zh-CN"/>
        </w:rPr>
        <w:t>社保缴费基数调增，人员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p>
    <w:p w14:paraId="28EE5762" w14:textId="4C38C0D4"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2、卫生健康支出（类）行政事业单位医疗（款）事业单位医疗（项）：支出决算数为40.39万元，比上年决算增加40.39万元，增长100.00%，主要原因是：</w:t>
      </w:r>
      <w:r w:rsidR="00CB1A4D">
        <w:rPr>
          <w:rFonts w:ascii="仿宋_GB2312" w:eastAsia="仿宋_GB2312" w:hint="eastAsia"/>
          <w:sz w:val="32"/>
          <w:szCs w:val="32"/>
          <w:lang w:eastAsia="zh-CN"/>
        </w:rPr>
        <w:t>单位本年社保缴费基数调增，人员</w:t>
      </w:r>
      <w:r w:rsidR="00CB1A4D">
        <w:rPr>
          <w:rFonts w:ascii="仿宋_GB2312" w:eastAsia="仿宋_GB2312" w:hint="eastAsia"/>
          <w:sz w:val="32"/>
          <w:szCs w:val="32"/>
          <w:lang w:eastAsia="zh-CN"/>
        </w:rPr>
        <w:t>医疗</w:t>
      </w:r>
      <w:r w:rsidR="00CB1A4D">
        <w:rPr>
          <w:rFonts w:ascii="仿宋_GB2312" w:eastAsia="仿宋_GB2312"/>
          <w:sz w:val="32"/>
          <w:szCs w:val="32"/>
          <w:lang w:eastAsia="zh-CN"/>
        </w:rPr>
        <w:t>保险缴费</w:t>
      </w:r>
      <w:r w:rsidR="00CB1A4D">
        <w:rPr>
          <w:rFonts w:ascii="仿宋_GB2312" w:eastAsia="仿宋_GB2312" w:hint="eastAsia"/>
          <w:sz w:val="32"/>
          <w:szCs w:val="32"/>
          <w:lang w:eastAsia="zh-CN"/>
        </w:rPr>
        <w:t>增加</w:t>
      </w:r>
      <w:r>
        <w:rPr>
          <w:rFonts w:ascii="仿宋_GB2312" w:eastAsia="仿宋_GB2312" w:hint="eastAsia"/>
          <w:sz w:val="32"/>
          <w:szCs w:val="32"/>
          <w:lang w:eastAsia="zh-CN"/>
        </w:rPr>
        <w:t>。</w:t>
      </w:r>
    </w:p>
    <w:p w14:paraId="5A9B1022" w14:textId="606F03C6"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3、卫生健康支出（类）行政事业单位医疗（款）公务员医疗补助（项）：支出决算数为9.73万元，比上年决算增加9.73万元，增长100.00%，主要原因是：</w:t>
      </w:r>
      <w:r w:rsidR="00CB1A4D">
        <w:rPr>
          <w:rFonts w:ascii="仿宋_GB2312" w:eastAsia="仿宋_GB2312" w:hint="eastAsia"/>
          <w:sz w:val="32"/>
          <w:szCs w:val="32"/>
          <w:lang w:eastAsia="zh-CN"/>
        </w:rPr>
        <w:t>单位本年社保缴费基数调增，人员医疗</w:t>
      </w:r>
      <w:r w:rsidR="00CB1A4D">
        <w:rPr>
          <w:rFonts w:ascii="仿宋_GB2312" w:eastAsia="仿宋_GB2312"/>
          <w:sz w:val="32"/>
          <w:szCs w:val="32"/>
          <w:lang w:eastAsia="zh-CN"/>
        </w:rPr>
        <w:t>保险缴费</w:t>
      </w:r>
      <w:r w:rsidR="00CB1A4D">
        <w:rPr>
          <w:rFonts w:ascii="仿宋_GB2312" w:eastAsia="仿宋_GB2312" w:hint="eastAsia"/>
          <w:sz w:val="32"/>
          <w:szCs w:val="32"/>
          <w:lang w:eastAsia="zh-CN"/>
        </w:rPr>
        <w:t>增加</w:t>
      </w:r>
      <w:r>
        <w:rPr>
          <w:rFonts w:ascii="仿宋_GB2312" w:eastAsia="仿宋_GB2312" w:hint="eastAsia"/>
          <w:sz w:val="32"/>
          <w:szCs w:val="32"/>
          <w:lang w:eastAsia="zh-CN"/>
        </w:rPr>
        <w:t>。</w:t>
      </w:r>
    </w:p>
    <w:p w14:paraId="09C6D7C6" w14:textId="1C2C728E"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4、城乡社区支出（类）城乡社区管理事务（款）机关服务（项）：支出决算数为580.07万元，比上年决算减少185.41万元，下降24.22%，主要原因是：</w:t>
      </w:r>
      <w:r w:rsidR="00CB1A4D">
        <w:rPr>
          <w:rFonts w:ascii="仿宋_GB2312" w:eastAsia="仿宋_GB2312" w:hint="eastAsia"/>
          <w:sz w:val="32"/>
          <w:szCs w:val="32"/>
          <w:lang w:eastAsia="zh-CN"/>
        </w:rPr>
        <w:t>本年功能科目调整，</w:t>
      </w:r>
      <w:r>
        <w:rPr>
          <w:rFonts w:ascii="仿宋_GB2312" w:eastAsia="仿宋_GB2312"/>
          <w:sz w:val="32"/>
          <w:szCs w:val="32"/>
          <w:lang w:eastAsia="zh-CN"/>
        </w:rPr>
        <w:t>将医疗保险、公务员医疗补助、住房公积金</w:t>
      </w:r>
      <w:r w:rsidR="00CB1A4D">
        <w:rPr>
          <w:rFonts w:ascii="仿宋_GB2312" w:eastAsia="仿宋_GB2312" w:hint="eastAsia"/>
          <w:sz w:val="32"/>
          <w:szCs w:val="32"/>
          <w:lang w:eastAsia="zh-CN"/>
        </w:rPr>
        <w:t>调整独立科目</w:t>
      </w:r>
      <w:r>
        <w:rPr>
          <w:rFonts w:ascii="仿宋_GB2312" w:eastAsia="仿宋_GB2312"/>
          <w:sz w:val="32"/>
          <w:szCs w:val="32"/>
          <w:lang w:eastAsia="zh-CN"/>
        </w:rPr>
        <w:t>核算</w:t>
      </w:r>
      <w:r w:rsidR="00CB1A4D">
        <w:rPr>
          <w:rFonts w:ascii="仿宋_GB2312" w:eastAsia="仿宋_GB2312" w:hint="eastAsia"/>
          <w:sz w:val="32"/>
          <w:szCs w:val="32"/>
          <w:lang w:eastAsia="zh-CN"/>
        </w:rPr>
        <w:t>，导致此项经费减少</w:t>
      </w:r>
      <w:r>
        <w:rPr>
          <w:rFonts w:ascii="仿宋_GB2312" w:eastAsia="仿宋_GB2312" w:hint="eastAsia"/>
          <w:sz w:val="32"/>
          <w:szCs w:val="32"/>
          <w:lang w:eastAsia="zh-CN"/>
        </w:rPr>
        <w:t>。</w:t>
      </w:r>
    </w:p>
    <w:p w14:paraId="2C507E3A" w14:textId="6F1D77F8"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5、城乡社区支出（类）其他城乡社区支出（款）其他城乡社区支出（项）：支出决算数为99.13万元，比上年决算减少8,226.45万元，下降98.81%，主要原因是：</w:t>
      </w:r>
      <w:r w:rsidR="00CB1A4D">
        <w:rPr>
          <w:rFonts w:ascii="仿宋_GB2312" w:eastAsia="仿宋_GB2312" w:hint="eastAsia"/>
          <w:sz w:val="32"/>
          <w:szCs w:val="32"/>
          <w:lang w:eastAsia="zh-CN"/>
        </w:rPr>
        <w:t>东凯综合</w:t>
      </w:r>
      <w:proofErr w:type="gramStart"/>
      <w:r w:rsidR="00CB1A4D">
        <w:rPr>
          <w:rFonts w:ascii="仿宋_GB2312" w:eastAsia="仿宋_GB2312" w:hint="eastAsia"/>
          <w:sz w:val="32"/>
          <w:szCs w:val="32"/>
          <w:lang w:eastAsia="zh-CN"/>
        </w:rPr>
        <w:t>物流园</w:t>
      </w:r>
      <w:proofErr w:type="gramEnd"/>
      <w:r w:rsidR="00CB1A4D">
        <w:rPr>
          <w:rFonts w:ascii="仿宋_GB2312" w:eastAsia="仿宋_GB2312" w:hint="eastAsia"/>
          <w:sz w:val="32"/>
          <w:szCs w:val="32"/>
          <w:lang w:eastAsia="zh-CN"/>
        </w:rPr>
        <w:t>项目经费、菜园子村征收补偿项目经费、恒大征收项目资金减少</w:t>
      </w:r>
      <w:r>
        <w:rPr>
          <w:rFonts w:ascii="仿宋_GB2312" w:eastAsia="仿宋_GB2312" w:hint="eastAsia"/>
          <w:sz w:val="32"/>
          <w:szCs w:val="32"/>
          <w:lang w:eastAsia="zh-CN"/>
        </w:rPr>
        <w:t>。</w:t>
      </w:r>
    </w:p>
    <w:p w14:paraId="270752DC" w14:textId="46961619"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6、住房保障支出（类）保障性安居工程支出（款）其他保障性安居工程支出（项）：支出决算数为35.28万元，比上年决算增加35.28万元，增长100.00%，主要原因是：</w:t>
      </w:r>
      <w:r w:rsidR="00CB1A4D">
        <w:rPr>
          <w:rFonts w:ascii="仿宋_GB2312" w:eastAsia="仿宋_GB2312" w:hint="eastAsia"/>
          <w:sz w:val="32"/>
          <w:szCs w:val="32"/>
          <w:lang w:eastAsia="zh-CN"/>
        </w:rPr>
        <w:t>单位</w:t>
      </w:r>
      <w:r>
        <w:rPr>
          <w:rFonts w:ascii="仿宋_GB2312" w:eastAsia="仿宋_GB2312" w:hint="eastAsia"/>
          <w:sz w:val="32"/>
          <w:szCs w:val="32"/>
          <w:lang w:eastAsia="zh-CN"/>
        </w:rPr>
        <w:t>本年增加</w:t>
      </w:r>
      <w:r>
        <w:rPr>
          <w:rFonts w:ascii="仿宋_GB2312" w:eastAsia="仿宋_GB2312"/>
          <w:sz w:val="32"/>
          <w:szCs w:val="32"/>
          <w:lang w:eastAsia="zh-CN"/>
        </w:rPr>
        <w:t>人民医院</w:t>
      </w:r>
      <w:proofErr w:type="gramStart"/>
      <w:r>
        <w:rPr>
          <w:rFonts w:ascii="仿宋_GB2312" w:eastAsia="仿宋_GB2312"/>
          <w:sz w:val="32"/>
          <w:szCs w:val="32"/>
          <w:lang w:eastAsia="zh-CN"/>
        </w:rPr>
        <w:t>户补</w:t>
      </w:r>
      <w:r w:rsidR="00CB1A4D">
        <w:rPr>
          <w:rFonts w:ascii="仿宋_GB2312" w:eastAsia="仿宋_GB2312"/>
          <w:sz w:val="32"/>
          <w:szCs w:val="32"/>
          <w:lang w:eastAsia="zh-CN"/>
        </w:rPr>
        <w:t>项目</w:t>
      </w:r>
      <w:proofErr w:type="gramEnd"/>
      <w:r>
        <w:rPr>
          <w:rFonts w:ascii="仿宋_GB2312" w:eastAsia="仿宋_GB2312"/>
          <w:sz w:val="32"/>
          <w:szCs w:val="32"/>
          <w:lang w:eastAsia="zh-CN"/>
        </w:rPr>
        <w:t>资金。</w:t>
      </w:r>
    </w:p>
    <w:p w14:paraId="5F0288F4" w14:textId="257B5066"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7、住房保障支出（类）住房改革支出（款）住房公积金（项）：支出决算数为60.70万元，比上年决算增加60.70万元，增长100.00%，主要原因是：</w:t>
      </w:r>
      <w:r w:rsidR="00CB1A4D">
        <w:rPr>
          <w:rFonts w:ascii="仿宋_GB2312" w:eastAsia="仿宋_GB2312" w:hint="eastAsia"/>
          <w:sz w:val="32"/>
          <w:szCs w:val="32"/>
          <w:lang w:eastAsia="zh-CN"/>
        </w:rPr>
        <w:t>单位本年</w:t>
      </w:r>
      <w:r w:rsidR="00CB1A4D">
        <w:rPr>
          <w:rFonts w:ascii="仿宋_GB2312" w:eastAsia="仿宋_GB2312" w:hint="eastAsia"/>
          <w:sz w:val="32"/>
          <w:szCs w:val="32"/>
          <w:lang w:eastAsia="zh-CN"/>
        </w:rPr>
        <w:t>公积金</w:t>
      </w:r>
      <w:r w:rsidR="00CB1A4D">
        <w:rPr>
          <w:rFonts w:ascii="仿宋_GB2312" w:eastAsia="仿宋_GB2312" w:hint="eastAsia"/>
          <w:sz w:val="32"/>
          <w:szCs w:val="32"/>
          <w:lang w:eastAsia="zh-CN"/>
        </w:rPr>
        <w:t>缴费基数调增，人员</w:t>
      </w:r>
      <w:r w:rsidR="00CB1A4D">
        <w:rPr>
          <w:rFonts w:ascii="仿宋_GB2312" w:eastAsia="仿宋_GB2312" w:hint="eastAsia"/>
          <w:sz w:val="32"/>
          <w:szCs w:val="32"/>
          <w:lang w:eastAsia="zh-CN"/>
        </w:rPr>
        <w:t>公积金</w:t>
      </w:r>
      <w:r w:rsidR="00CB1A4D">
        <w:rPr>
          <w:rFonts w:ascii="仿宋_GB2312" w:eastAsia="仿宋_GB2312"/>
          <w:sz w:val="32"/>
          <w:szCs w:val="32"/>
          <w:lang w:eastAsia="zh-CN"/>
        </w:rPr>
        <w:t>缴费</w:t>
      </w:r>
      <w:r w:rsidR="00CB1A4D">
        <w:rPr>
          <w:rFonts w:ascii="仿宋_GB2312" w:eastAsia="仿宋_GB2312" w:hint="eastAsia"/>
          <w:sz w:val="32"/>
          <w:szCs w:val="32"/>
          <w:lang w:eastAsia="zh-CN"/>
        </w:rPr>
        <w:t>增加</w:t>
      </w:r>
      <w:r>
        <w:rPr>
          <w:rFonts w:ascii="仿宋_GB2312" w:eastAsia="仿宋_GB2312" w:hint="eastAsia"/>
          <w:sz w:val="32"/>
          <w:szCs w:val="32"/>
          <w:lang w:eastAsia="zh-CN"/>
        </w:rPr>
        <w:t>。</w:t>
      </w:r>
    </w:p>
    <w:p w14:paraId="7F4CD9F8"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4252FD6C"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768.65万元，其中：人员经费747.83万元，包括：基本工资、津贴补贴、奖金、绩效工资、机关事业单位基本养老保险缴费、职业年金缴费、职工基本医疗保险缴费、公务员医疗补助缴费、其他社会保障缴费和住房公积金。</w:t>
      </w:r>
    </w:p>
    <w:p w14:paraId="04D0FBAB"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公用经费20.82万元，包括：办公费、印刷费、水费、电费、邮电费、取暖费、维修（护）费、劳务费、工会经费、福利费和公务用车运行维护费。</w:t>
      </w:r>
    </w:p>
    <w:p w14:paraId="60538405"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EFC96CB"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2024年度政府性基金预算财政拨款收入总计493,171.70万元，其中：年初结转和结余0.00万元，本年收入493,171.70万元。政府性基金预算财政拨款支出总计</w:t>
      </w:r>
      <w:r>
        <w:rPr>
          <w:rFonts w:ascii="仿宋_GB2312" w:eastAsia="仿宋_GB2312"/>
          <w:sz w:val="32"/>
          <w:szCs w:val="32"/>
          <w:lang w:eastAsia="zh-CN"/>
        </w:rPr>
        <w:lastRenderedPageBreak/>
        <w:t>493,171.70万元，其中：年末结转和结余0.00万元，本年支出493,171.70万元。</w:t>
      </w:r>
    </w:p>
    <w:p w14:paraId="3B31E7ED" w14:textId="37C821E9"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政府性基金预算财政拨款收入支出总体与上年相比，增加486,113.68万元，增长6,887.39%，主要原因是：</w:t>
      </w:r>
      <w:r w:rsidR="00CB1A4D">
        <w:rPr>
          <w:rFonts w:ascii="仿宋_GB2312" w:eastAsia="仿宋_GB2312" w:hint="eastAsia"/>
          <w:sz w:val="32"/>
          <w:szCs w:val="32"/>
          <w:lang w:eastAsia="zh-CN"/>
        </w:rPr>
        <w:t>单位本年棚</w:t>
      </w:r>
      <w:proofErr w:type="gramStart"/>
      <w:r w:rsidR="00CB1A4D">
        <w:rPr>
          <w:rFonts w:ascii="仿宋_GB2312" w:eastAsia="仿宋_GB2312" w:hint="eastAsia"/>
          <w:sz w:val="32"/>
          <w:szCs w:val="32"/>
          <w:lang w:eastAsia="zh-CN"/>
        </w:rPr>
        <w:t>改政府</w:t>
      </w:r>
      <w:proofErr w:type="gramEnd"/>
      <w:r w:rsidR="00CB1A4D">
        <w:rPr>
          <w:rFonts w:ascii="仿宋_GB2312" w:eastAsia="仿宋_GB2312" w:hint="eastAsia"/>
          <w:sz w:val="32"/>
          <w:szCs w:val="32"/>
          <w:lang w:eastAsia="zh-CN"/>
        </w:rPr>
        <w:t>购买服务项目经费增加</w:t>
      </w:r>
      <w:r>
        <w:rPr>
          <w:rFonts w:ascii="仿宋_GB2312" w:eastAsia="仿宋_GB2312"/>
          <w:sz w:val="32"/>
          <w:szCs w:val="32"/>
          <w:lang w:eastAsia="zh-CN"/>
        </w:rPr>
        <w:t>。与年初预算相比，年初预算数117,774.93万元，决算数493,171.70万元，预决算差异率318.74%，主要原因是：年中</w:t>
      </w:r>
      <w:r w:rsidR="00CB1A4D">
        <w:rPr>
          <w:rFonts w:ascii="仿宋_GB2312" w:eastAsia="仿宋_GB2312" w:hint="eastAsia"/>
          <w:sz w:val="32"/>
          <w:szCs w:val="32"/>
          <w:lang w:eastAsia="zh-CN"/>
        </w:rPr>
        <w:t>追加</w:t>
      </w:r>
      <w:r w:rsidR="00CB1A4D">
        <w:rPr>
          <w:rFonts w:ascii="仿宋_GB2312" w:eastAsia="仿宋_GB2312" w:hint="eastAsia"/>
          <w:sz w:val="32"/>
          <w:szCs w:val="32"/>
          <w:lang w:eastAsia="zh-CN"/>
        </w:rPr>
        <w:t>棚</w:t>
      </w:r>
      <w:proofErr w:type="gramStart"/>
      <w:r w:rsidR="00CB1A4D">
        <w:rPr>
          <w:rFonts w:ascii="仿宋_GB2312" w:eastAsia="仿宋_GB2312" w:hint="eastAsia"/>
          <w:sz w:val="32"/>
          <w:szCs w:val="32"/>
          <w:lang w:eastAsia="zh-CN"/>
        </w:rPr>
        <w:t>改政府</w:t>
      </w:r>
      <w:proofErr w:type="gramEnd"/>
      <w:r w:rsidR="00CB1A4D">
        <w:rPr>
          <w:rFonts w:ascii="仿宋_GB2312" w:eastAsia="仿宋_GB2312" w:hint="eastAsia"/>
          <w:sz w:val="32"/>
          <w:szCs w:val="32"/>
          <w:lang w:eastAsia="zh-CN"/>
        </w:rPr>
        <w:t>购买服务项目经费</w:t>
      </w:r>
      <w:r>
        <w:rPr>
          <w:rFonts w:ascii="仿宋_GB2312" w:eastAsia="仿宋_GB2312"/>
          <w:sz w:val="32"/>
          <w:szCs w:val="32"/>
          <w:lang w:eastAsia="zh-CN"/>
        </w:rPr>
        <w:t>。</w:t>
      </w:r>
    </w:p>
    <w:p w14:paraId="049B4472"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政府性基金预算财政拨款支出493,171.70万元。</w:t>
      </w:r>
    </w:p>
    <w:p w14:paraId="539D789E" w14:textId="1A3CAC9C"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1、城乡社区支出（类）国有土地使用权出让收入安排的支出（款）其他国有土地使用权出让收入安排的支出（项）：支出决算数为15,071.70万元，比上年决算增加8,513.68万元，增长129.82%，主要原因是：</w:t>
      </w:r>
      <w:r w:rsidR="00CB1A4D">
        <w:rPr>
          <w:rFonts w:ascii="仿宋_GB2312" w:eastAsia="仿宋_GB2312" w:hint="eastAsia"/>
          <w:sz w:val="32"/>
          <w:szCs w:val="32"/>
          <w:lang w:eastAsia="zh-CN"/>
        </w:rPr>
        <w:t>单位本年棚</w:t>
      </w:r>
      <w:proofErr w:type="gramStart"/>
      <w:r w:rsidR="00CB1A4D">
        <w:rPr>
          <w:rFonts w:ascii="仿宋_GB2312" w:eastAsia="仿宋_GB2312" w:hint="eastAsia"/>
          <w:sz w:val="32"/>
          <w:szCs w:val="32"/>
          <w:lang w:eastAsia="zh-CN"/>
        </w:rPr>
        <w:t>改政府</w:t>
      </w:r>
      <w:proofErr w:type="gramEnd"/>
      <w:r w:rsidR="00CB1A4D">
        <w:rPr>
          <w:rFonts w:ascii="仿宋_GB2312" w:eastAsia="仿宋_GB2312" w:hint="eastAsia"/>
          <w:sz w:val="32"/>
          <w:szCs w:val="32"/>
          <w:lang w:eastAsia="zh-CN"/>
        </w:rPr>
        <w:t>购买服务项目经费增加</w:t>
      </w:r>
      <w:r>
        <w:rPr>
          <w:rFonts w:ascii="仿宋_GB2312" w:eastAsia="仿宋_GB2312" w:hint="eastAsia"/>
          <w:sz w:val="32"/>
          <w:szCs w:val="32"/>
          <w:lang w:eastAsia="zh-CN"/>
        </w:rPr>
        <w:t>。</w:t>
      </w:r>
    </w:p>
    <w:p w14:paraId="5B292FDF" w14:textId="0A68D79E"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城乡社区支出（类）国有土地使用权出让收入对应专项债务收入安排的支出（款）其他国有土地使用权出让收入对应专项债务收入安排的支出（项）：支出决算数为453,600.00万元，比上年决算增加453,600.00万元，增长100.00%，主要原因是：</w:t>
      </w:r>
      <w:r w:rsidR="00CB1A4D">
        <w:rPr>
          <w:rFonts w:ascii="仿宋_GB2312" w:eastAsia="仿宋_GB2312" w:hint="eastAsia"/>
          <w:sz w:val="32"/>
          <w:szCs w:val="32"/>
          <w:lang w:eastAsia="zh-CN"/>
        </w:rPr>
        <w:t>单位本年棚</w:t>
      </w:r>
      <w:proofErr w:type="gramStart"/>
      <w:r w:rsidR="00CB1A4D">
        <w:rPr>
          <w:rFonts w:ascii="仿宋_GB2312" w:eastAsia="仿宋_GB2312" w:hint="eastAsia"/>
          <w:sz w:val="32"/>
          <w:szCs w:val="32"/>
          <w:lang w:eastAsia="zh-CN"/>
        </w:rPr>
        <w:t>改政府</w:t>
      </w:r>
      <w:proofErr w:type="gramEnd"/>
      <w:r w:rsidR="00CB1A4D">
        <w:rPr>
          <w:rFonts w:ascii="仿宋_GB2312" w:eastAsia="仿宋_GB2312" w:hint="eastAsia"/>
          <w:sz w:val="32"/>
          <w:szCs w:val="32"/>
          <w:lang w:eastAsia="zh-CN"/>
        </w:rPr>
        <w:t>购买服务项目经费增加</w:t>
      </w:r>
      <w:r>
        <w:rPr>
          <w:rFonts w:ascii="仿宋_GB2312" w:eastAsia="仿宋_GB2312" w:hint="eastAsia"/>
          <w:sz w:val="32"/>
          <w:szCs w:val="32"/>
          <w:lang w:eastAsia="zh-CN"/>
        </w:rPr>
        <w:t>。</w:t>
      </w:r>
    </w:p>
    <w:p w14:paraId="561E5C1F" w14:textId="5C23B5DA"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其他支出（类）其他政府性基金及对应专项债务收入安排的支出（款）其他地方自行试点项目收益专项债券收入安排的支出（项）：支出决算数为24,500.00万元，比上年决算增加24,000.00万元，增长4,800.00%，主要原因是：</w:t>
      </w:r>
      <w:r w:rsidR="00CB1A4D">
        <w:rPr>
          <w:rFonts w:ascii="仿宋_GB2312" w:eastAsia="仿宋_GB2312" w:hint="eastAsia"/>
          <w:sz w:val="32"/>
          <w:szCs w:val="32"/>
          <w:lang w:eastAsia="zh-CN"/>
        </w:rPr>
        <w:t>单位本年棚</w:t>
      </w:r>
      <w:proofErr w:type="gramStart"/>
      <w:r w:rsidR="00CB1A4D">
        <w:rPr>
          <w:rFonts w:ascii="仿宋_GB2312" w:eastAsia="仿宋_GB2312" w:hint="eastAsia"/>
          <w:sz w:val="32"/>
          <w:szCs w:val="32"/>
          <w:lang w:eastAsia="zh-CN"/>
        </w:rPr>
        <w:t>改政府</w:t>
      </w:r>
      <w:proofErr w:type="gramEnd"/>
      <w:r w:rsidR="00CB1A4D">
        <w:rPr>
          <w:rFonts w:ascii="仿宋_GB2312" w:eastAsia="仿宋_GB2312" w:hint="eastAsia"/>
          <w:sz w:val="32"/>
          <w:szCs w:val="32"/>
          <w:lang w:eastAsia="zh-CN"/>
        </w:rPr>
        <w:t>购买服务项目经费增加</w:t>
      </w:r>
      <w:r>
        <w:rPr>
          <w:rFonts w:ascii="仿宋_GB2312" w:eastAsia="仿宋_GB2312" w:hint="eastAsia"/>
          <w:sz w:val="32"/>
          <w:szCs w:val="32"/>
          <w:lang w:eastAsia="zh-CN"/>
        </w:rPr>
        <w:t>。</w:t>
      </w:r>
    </w:p>
    <w:p w14:paraId="65C0F07E"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35D70CCE"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6131E6B"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682B1B4" w14:textId="08E01412"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经费支出2.90万元，比上年增加2.90万元，增长100%，主要原因是：</w:t>
      </w:r>
      <w:r>
        <w:rPr>
          <w:rFonts w:ascii="仿宋_GB2312" w:eastAsia="仿宋_GB2312" w:hint="eastAsia"/>
          <w:sz w:val="32"/>
          <w:szCs w:val="32"/>
          <w:lang w:val="zh-CN" w:eastAsia="zh-CN"/>
        </w:rPr>
        <w:t>车辆</w:t>
      </w:r>
      <w:r w:rsidR="00CB1A4D">
        <w:rPr>
          <w:rFonts w:ascii="仿宋_GB2312" w:eastAsia="仿宋_GB2312" w:hint="eastAsia"/>
          <w:sz w:val="32"/>
          <w:szCs w:val="32"/>
          <w:lang w:val="zh-CN" w:eastAsia="zh-CN"/>
        </w:rPr>
        <w:t>出行次数增加</w:t>
      </w:r>
      <w:r>
        <w:rPr>
          <w:rFonts w:ascii="仿宋_GB2312" w:eastAsia="仿宋_GB2312" w:hint="eastAsia"/>
          <w:sz w:val="32"/>
          <w:szCs w:val="32"/>
          <w:lang w:val="zh-CN" w:eastAsia="zh-CN"/>
        </w:rPr>
        <w:t>，</w:t>
      </w:r>
      <w:r>
        <w:rPr>
          <w:rFonts w:ascii="仿宋_GB2312" w:eastAsia="仿宋_GB2312" w:hint="eastAsia"/>
          <w:sz w:val="32"/>
          <w:szCs w:val="32"/>
          <w:lang w:val="zh-CN" w:eastAsia="zh-CN"/>
        </w:rPr>
        <w:lastRenderedPageBreak/>
        <w:t>车辆维护维修费、燃油费</w:t>
      </w:r>
      <w:r w:rsidR="00CB1A4D">
        <w:rPr>
          <w:rFonts w:ascii="仿宋_GB2312" w:eastAsia="仿宋_GB2312" w:hint="eastAsia"/>
          <w:sz w:val="32"/>
          <w:szCs w:val="32"/>
          <w:lang w:val="zh-CN" w:eastAsia="zh-CN"/>
        </w:rPr>
        <w:t>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w:t>
      </w:r>
      <w:r w:rsidR="00CB1A4D">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；公务用车购置及运行维护费支出2.90万元，占100.00%，比上年增加2.90万元，增长100%，主要原因是：</w:t>
      </w:r>
      <w:r w:rsidR="00CB1A4D">
        <w:rPr>
          <w:rFonts w:ascii="仿宋_GB2312" w:eastAsia="仿宋_GB2312" w:hint="eastAsia"/>
          <w:sz w:val="32"/>
          <w:szCs w:val="32"/>
          <w:lang w:val="zh-CN" w:eastAsia="zh-CN"/>
        </w:rPr>
        <w:t>车辆出行次数增加，车辆维护维修费、燃油费增加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w:t>
      </w:r>
      <w:r w:rsidR="00CB1A4D">
        <w:rPr>
          <w:rFonts w:ascii="仿宋_GB2312" w:eastAsia="仿宋_GB2312" w:hint="eastAsia"/>
          <w:sz w:val="32"/>
          <w:szCs w:val="32"/>
          <w:lang w:eastAsia="zh-CN"/>
        </w:rPr>
        <w:t>经费</w:t>
      </w:r>
      <w:r>
        <w:rPr>
          <w:rFonts w:ascii="仿宋_GB2312" w:eastAsia="仿宋_GB2312"/>
          <w:sz w:val="32"/>
          <w:szCs w:val="32"/>
          <w:lang w:eastAsia="zh-CN"/>
        </w:rPr>
        <w:t>。</w:t>
      </w:r>
    </w:p>
    <w:p w14:paraId="0EE8477F" w14:textId="77777777" w:rsidR="00A2470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00B856B"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因公出国（境）费支出0.00万元，开支内容包括单位本年无因公出国（境）费。单位全年安排的因公出国（境）团组0个，因公出国（境）0人次。</w:t>
      </w:r>
    </w:p>
    <w:p w14:paraId="550A08C6"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公务用车购置及运行维护费2.90万元，其中：公务用车购置费0.00万元，公务用车运行维护费2.90万元。公务用车运行维护费开支内容包括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7CFF88E4"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公务接待费0.00万元，开支内容包括单位本年无公务接待费。单位全年安排的国内公务接待0批次，0人次。</w:t>
      </w:r>
    </w:p>
    <w:p w14:paraId="72338F0E"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经费支出全年预算数2.90万元，决算数2.90万元，预决算差异率0.00%，主要原因是：</w:t>
      </w:r>
      <w:r>
        <w:rPr>
          <w:rFonts w:ascii="仿宋_GB2312" w:eastAsia="仿宋_GB2312" w:hint="eastAsia"/>
          <w:sz w:val="32"/>
          <w:szCs w:val="32"/>
          <w:lang w:eastAsia="zh-CN"/>
        </w:rPr>
        <w:t>严格按照预算执行，预决算对比无差</w:t>
      </w:r>
      <w:r>
        <w:rPr>
          <w:rFonts w:ascii="仿宋_GB2312" w:eastAsia="仿宋_GB2312"/>
          <w:sz w:val="32"/>
          <w:szCs w:val="32"/>
          <w:lang w:eastAsia="zh-CN"/>
        </w:rPr>
        <w:t>异。其中：因公出国（境）费全年预算数0.00万元，决算数0.00万元，预决算差异率0.00%，主要原因是：</w:t>
      </w:r>
      <w:r>
        <w:rPr>
          <w:rFonts w:ascii="仿宋_GB2312" w:eastAsia="仿宋_GB2312" w:hint="eastAsia"/>
          <w:sz w:val="32"/>
          <w:szCs w:val="32"/>
          <w:lang w:eastAsia="zh-CN"/>
        </w:rPr>
        <w:t>严格按照预算执行，预决算对比无差</w:t>
      </w:r>
      <w:r>
        <w:rPr>
          <w:rFonts w:ascii="仿宋_GB2312" w:eastAsia="仿宋_GB2312"/>
          <w:sz w:val="32"/>
          <w:szCs w:val="32"/>
          <w:lang w:eastAsia="zh-CN"/>
        </w:rPr>
        <w:t>异；公务用车购置费全年预算数0.00万元，决算数0.00万元，预决算差异率0.00%，主要原因是：</w:t>
      </w:r>
      <w:r>
        <w:rPr>
          <w:rFonts w:ascii="仿宋_GB2312" w:eastAsia="仿宋_GB2312" w:hint="eastAsia"/>
          <w:sz w:val="32"/>
          <w:szCs w:val="32"/>
          <w:lang w:eastAsia="zh-CN"/>
        </w:rPr>
        <w:t>严格按照预算执行，预决算对比无差</w:t>
      </w:r>
      <w:r>
        <w:rPr>
          <w:rFonts w:ascii="仿宋_GB2312" w:eastAsia="仿宋_GB2312"/>
          <w:sz w:val="32"/>
          <w:szCs w:val="32"/>
          <w:lang w:eastAsia="zh-CN"/>
        </w:rPr>
        <w:t>异；公务用车运行维护费全年预算数2.90万元，决算数2.90万元，预决算差异率0.00%，主要原因是：</w:t>
      </w:r>
      <w:r>
        <w:rPr>
          <w:rFonts w:ascii="仿宋_GB2312" w:eastAsia="仿宋_GB2312" w:hint="eastAsia"/>
          <w:sz w:val="32"/>
          <w:szCs w:val="32"/>
          <w:lang w:eastAsia="zh-CN"/>
        </w:rPr>
        <w:t>严格按照预算执行，预决算对比无差</w:t>
      </w:r>
      <w:r>
        <w:rPr>
          <w:rFonts w:ascii="仿宋_GB2312" w:eastAsia="仿宋_GB2312"/>
          <w:sz w:val="32"/>
          <w:szCs w:val="32"/>
          <w:lang w:eastAsia="zh-CN"/>
        </w:rPr>
        <w:t>异；公务接待费全年预算数0.00万元，决算数0.00万元，预决算差异率0.00%，主要原因是：</w:t>
      </w:r>
      <w:r>
        <w:rPr>
          <w:rFonts w:ascii="仿宋_GB2312" w:eastAsia="仿宋_GB2312" w:hint="eastAsia"/>
          <w:sz w:val="32"/>
          <w:szCs w:val="32"/>
          <w:lang w:eastAsia="zh-CN"/>
        </w:rPr>
        <w:t>严格按照预算执行，预决算对比无差</w:t>
      </w:r>
      <w:r>
        <w:rPr>
          <w:rFonts w:ascii="仿宋_GB2312" w:eastAsia="仿宋_GB2312"/>
          <w:sz w:val="32"/>
          <w:szCs w:val="32"/>
          <w:lang w:eastAsia="zh-CN"/>
        </w:rPr>
        <w:t>异。</w:t>
      </w:r>
    </w:p>
    <w:p w14:paraId="3F041295"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十、其他重要事项的情况说明</w:t>
      </w:r>
    </w:p>
    <w:p w14:paraId="1A49B9C5" w14:textId="77777777" w:rsidR="00A2470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96873AA" w14:textId="160900C2"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2024年度乌鲁木齐市米东区房屋征收与补偿管理办公室（乌鲁木齐市米东区土地征收管理办公室）单位（事业单位）公用经费支出20.82万元，比上年减少45.93万元，下降68.81%，主要原因是：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办公费、水费、电费</w:t>
      </w:r>
      <w:r>
        <w:rPr>
          <w:rFonts w:ascii="仿宋_GB2312" w:eastAsia="仿宋_GB2312" w:hint="eastAsia"/>
          <w:sz w:val="32"/>
          <w:szCs w:val="32"/>
          <w:lang w:eastAsia="zh-CN"/>
        </w:rPr>
        <w:t>等经费</w:t>
      </w:r>
      <w:r w:rsidR="00CB1A4D">
        <w:rPr>
          <w:rFonts w:ascii="仿宋_GB2312" w:eastAsia="仿宋_GB2312" w:hint="eastAsia"/>
          <w:sz w:val="32"/>
          <w:szCs w:val="32"/>
          <w:lang w:eastAsia="zh-CN"/>
        </w:rPr>
        <w:t>减少</w:t>
      </w:r>
      <w:r>
        <w:rPr>
          <w:rFonts w:ascii="仿宋_GB2312" w:eastAsia="仿宋_GB2312"/>
          <w:sz w:val="32"/>
          <w:szCs w:val="32"/>
          <w:lang w:eastAsia="zh-CN"/>
        </w:rPr>
        <w:t>。</w:t>
      </w:r>
    </w:p>
    <w:p w14:paraId="572A03F8" w14:textId="77777777" w:rsidR="00A2470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01E71850"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99C7906"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22DBAB5B" w14:textId="77777777" w:rsidR="00A2470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02AC7B35" w14:textId="72EAE1E3" w:rsidR="00A24705" w:rsidRPr="003872A8" w:rsidRDefault="00000000" w:rsidP="003872A8">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2辆，价值21.01万元，其中：副部（省）级及以上领导用车0辆、主要负责人用车0辆、机要通信用车0辆、应急保障用车0辆、执法执勤用车0辆、特种专业技术用车0辆、离退休干部服务用车0辆、其他用车2辆，其他用车主要是：</w:t>
      </w:r>
      <w:proofErr w:type="gramStart"/>
      <w:r>
        <w:rPr>
          <w:rFonts w:ascii="仿宋_GB2312" w:eastAsia="仿宋_GB2312"/>
          <w:sz w:val="32"/>
          <w:szCs w:val="32"/>
          <w:lang w:eastAsia="zh-CN"/>
        </w:rPr>
        <w:t>业务用车;单价</w:t>
      </w:r>
      <w:proofErr w:type="gramEnd"/>
      <w:r>
        <w:rPr>
          <w:rFonts w:ascii="仿宋_GB2312" w:eastAsia="仿宋_GB2312"/>
          <w:sz w:val="32"/>
          <w:szCs w:val="32"/>
          <w:lang w:eastAsia="zh-CN"/>
        </w:rPr>
        <w:t>100万元（含）以上设备（不含车辆）0台（套）。</w:t>
      </w:r>
    </w:p>
    <w:p w14:paraId="2DFF3EFA"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41FC26F" w14:textId="56F91250"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494,137.71万元，实际执行总额494,074.81万元；预算绩效评价项目1个，全年预算数35.28万元，全年执行数35.28万元。预算绩效管理取得的成效：一是提高资金使用效益，避免了资金浪费和闲置；</w:t>
      </w:r>
      <w:r w:rsidR="003872A8">
        <w:rPr>
          <w:rFonts w:ascii="仿宋_GB2312" w:eastAsia="仿宋_GB2312"/>
          <w:sz w:val="32"/>
          <w:szCs w:val="32"/>
          <w:lang w:eastAsia="zh-CN"/>
        </w:rPr>
        <w:t>二是</w:t>
      </w:r>
      <w:r>
        <w:rPr>
          <w:rFonts w:ascii="仿宋_GB2312" w:eastAsia="仿宋_GB2312"/>
          <w:sz w:val="32"/>
          <w:szCs w:val="32"/>
          <w:lang w:eastAsia="zh-CN"/>
        </w:rPr>
        <w:t>完善预算管理制度体系</w:t>
      </w:r>
      <w:r w:rsidR="003872A8">
        <w:rPr>
          <w:rFonts w:ascii="仿宋_GB2312" w:eastAsia="仿宋_GB2312" w:hint="eastAsia"/>
          <w:sz w:val="32"/>
          <w:szCs w:val="32"/>
          <w:lang w:eastAsia="zh-CN"/>
        </w:rPr>
        <w:t>，</w:t>
      </w:r>
      <w:r>
        <w:rPr>
          <w:rFonts w:ascii="仿宋_GB2312" w:eastAsia="仿宋_GB2312"/>
          <w:sz w:val="32"/>
          <w:szCs w:val="32"/>
          <w:lang w:eastAsia="zh-CN"/>
        </w:rPr>
        <w:t>提升管理工作效率。发现的问题及原因：一是预算安排的科学性、精准性有待提高。由于有的预算支出具有预测性和不确定性等特点，造成年初预算数</w:t>
      </w:r>
      <w:r>
        <w:rPr>
          <w:rFonts w:ascii="仿宋_GB2312" w:eastAsia="仿宋_GB2312"/>
          <w:sz w:val="32"/>
          <w:szCs w:val="32"/>
          <w:lang w:eastAsia="zh-CN"/>
        </w:rPr>
        <w:lastRenderedPageBreak/>
        <w:t>与全年执行</w:t>
      </w:r>
      <w:proofErr w:type="gramStart"/>
      <w:r>
        <w:rPr>
          <w:rFonts w:ascii="仿宋_GB2312" w:eastAsia="仿宋_GB2312"/>
          <w:sz w:val="32"/>
          <w:szCs w:val="32"/>
          <w:lang w:eastAsia="zh-CN"/>
        </w:rPr>
        <w:t>数产生</w:t>
      </w:r>
      <w:proofErr w:type="gramEnd"/>
      <w:r>
        <w:rPr>
          <w:rFonts w:ascii="仿宋_GB2312" w:eastAsia="仿宋_GB2312"/>
          <w:sz w:val="32"/>
          <w:szCs w:val="32"/>
          <w:lang w:eastAsia="zh-CN"/>
        </w:rPr>
        <w:t>较大的差异</w:t>
      </w:r>
      <w:r w:rsidR="003872A8">
        <w:rPr>
          <w:rFonts w:ascii="仿宋_GB2312" w:eastAsia="仿宋_GB2312" w:hint="eastAsia"/>
          <w:sz w:val="32"/>
          <w:szCs w:val="32"/>
          <w:lang w:eastAsia="zh-CN"/>
        </w:rPr>
        <w:t>；</w:t>
      </w:r>
      <w:r>
        <w:rPr>
          <w:rFonts w:ascii="仿宋_GB2312" w:eastAsia="仿宋_GB2312"/>
          <w:sz w:val="32"/>
          <w:szCs w:val="32"/>
          <w:lang w:eastAsia="zh-CN"/>
        </w:rPr>
        <w:t>二是绩效和预算管理整体性上还有差距，管理制度需进一步完善。当前，在绩效与预算管理在协同推进时存在明显的割裂现象。下一步改进措施：一是提升预算安排的科学性与精准性。在编制预算前，单位各部门应当全面梳理下一年度工作计划和任务</w:t>
      </w:r>
      <w:r w:rsidR="003872A8">
        <w:rPr>
          <w:rFonts w:ascii="仿宋_GB2312" w:eastAsia="仿宋_GB2312" w:hint="eastAsia"/>
          <w:sz w:val="32"/>
          <w:szCs w:val="32"/>
          <w:lang w:eastAsia="zh-CN"/>
        </w:rPr>
        <w:t>；</w:t>
      </w:r>
      <w:r>
        <w:rPr>
          <w:rFonts w:ascii="仿宋_GB2312" w:eastAsia="仿宋_GB2312"/>
          <w:sz w:val="32"/>
          <w:szCs w:val="32"/>
          <w:lang w:eastAsia="zh-CN"/>
        </w:rPr>
        <w:t>二是强化绩效和预算管理整体性，完善管理制度。制定涵盖预算编制、执行、监督和绩效评价全过程的管理制度，明确各部门在预算与绩效管理中的职责、财务部门负责预算汇总、资金统筹。具体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3E9E3AE6" w14:textId="77777777" w:rsidR="003872A8" w:rsidRDefault="003872A8">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4172DCFD" w14:textId="2C406CE4" w:rsidR="00A24705"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6E94A661" w14:textId="77777777" w:rsidR="00A2470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A24705" w14:paraId="442B4B3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7BFDA96"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7631965D" w14:textId="77777777" w:rsidR="00A24705"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乌鲁木齐市米东区房屋征收与补偿管理办公室（乌鲁木齐市米东区土地征收管理办公室）</w:t>
            </w:r>
          </w:p>
        </w:tc>
        <w:tc>
          <w:tcPr>
            <w:tcW w:w="284" w:type="dxa"/>
            <w:tcBorders>
              <w:top w:val="nil"/>
              <w:left w:val="nil"/>
              <w:bottom w:val="nil"/>
              <w:right w:val="nil"/>
            </w:tcBorders>
            <w:noWrap/>
            <w:vAlign w:val="center"/>
          </w:tcPr>
          <w:p w14:paraId="676260DF" w14:textId="77777777" w:rsidR="00A24705" w:rsidRDefault="00A24705">
            <w:pPr>
              <w:rPr>
                <w:rFonts w:ascii="宋体" w:eastAsia="宋体" w:hAnsi="宋体" w:cs="宋体" w:hint="eastAsia"/>
                <w:b/>
                <w:bCs/>
                <w:sz w:val="18"/>
                <w:szCs w:val="18"/>
                <w:lang w:eastAsia="zh-CN"/>
              </w:rPr>
            </w:pPr>
          </w:p>
        </w:tc>
      </w:tr>
      <w:tr w:rsidR="00A24705" w14:paraId="64725965"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BF14EA7"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03633610"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101DABAD"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tcPr>
          <w:p w14:paraId="5D4FD799"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tcPr>
          <w:p w14:paraId="5B0EFAEC"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68BD109D"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14:paraId="383351EB"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23DA7A04"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0F87B689" w14:textId="77777777" w:rsidR="00A24705" w:rsidRDefault="00A24705">
            <w:pPr>
              <w:jc w:val="center"/>
              <w:rPr>
                <w:rFonts w:ascii="宋体" w:eastAsia="宋体" w:hAnsi="宋体" w:cs="宋体" w:hint="eastAsia"/>
                <w:b/>
                <w:bCs/>
                <w:sz w:val="18"/>
                <w:szCs w:val="18"/>
              </w:rPr>
            </w:pPr>
          </w:p>
        </w:tc>
      </w:tr>
      <w:tr w:rsidR="00A24705" w14:paraId="4B9C389F"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1DC574E" w14:textId="77777777" w:rsidR="00A24705" w:rsidRDefault="00A2470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D0DF61F"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2BA7D23D"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146,727.62</w:t>
            </w:r>
          </w:p>
        </w:tc>
        <w:tc>
          <w:tcPr>
            <w:tcW w:w="1276" w:type="dxa"/>
            <w:tcBorders>
              <w:top w:val="nil"/>
              <w:left w:val="nil"/>
              <w:bottom w:val="single" w:sz="4" w:space="0" w:color="auto"/>
              <w:right w:val="single" w:sz="4" w:space="0" w:color="auto"/>
            </w:tcBorders>
            <w:vAlign w:val="center"/>
          </w:tcPr>
          <w:p w14:paraId="603932DE"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494,137.71</w:t>
            </w:r>
          </w:p>
        </w:tc>
        <w:tc>
          <w:tcPr>
            <w:tcW w:w="1701" w:type="dxa"/>
            <w:tcBorders>
              <w:top w:val="nil"/>
              <w:left w:val="nil"/>
              <w:bottom w:val="single" w:sz="4" w:space="0" w:color="auto"/>
              <w:right w:val="single" w:sz="4" w:space="0" w:color="auto"/>
            </w:tcBorders>
            <w:vAlign w:val="center"/>
          </w:tcPr>
          <w:p w14:paraId="0D615E25"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494,074.81</w:t>
            </w:r>
          </w:p>
        </w:tc>
        <w:tc>
          <w:tcPr>
            <w:tcW w:w="1134" w:type="dxa"/>
            <w:tcBorders>
              <w:top w:val="nil"/>
              <w:left w:val="nil"/>
              <w:bottom w:val="single" w:sz="4" w:space="0" w:color="auto"/>
              <w:right w:val="single" w:sz="4" w:space="0" w:color="auto"/>
            </w:tcBorders>
            <w:vAlign w:val="center"/>
          </w:tcPr>
          <w:p w14:paraId="6B656FB4"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2D7B4A6C"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99.99%</w:t>
            </w:r>
          </w:p>
        </w:tc>
        <w:tc>
          <w:tcPr>
            <w:tcW w:w="720" w:type="dxa"/>
            <w:tcBorders>
              <w:top w:val="nil"/>
              <w:left w:val="nil"/>
              <w:bottom w:val="single" w:sz="4" w:space="0" w:color="auto"/>
              <w:right w:val="single" w:sz="4" w:space="0" w:color="auto"/>
            </w:tcBorders>
            <w:vAlign w:val="center"/>
          </w:tcPr>
          <w:p w14:paraId="6DE2D8CA"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9.99</w:t>
            </w:r>
          </w:p>
        </w:tc>
        <w:tc>
          <w:tcPr>
            <w:tcW w:w="284" w:type="dxa"/>
            <w:tcBorders>
              <w:top w:val="nil"/>
              <w:left w:val="nil"/>
              <w:bottom w:val="nil"/>
              <w:right w:val="nil"/>
            </w:tcBorders>
            <w:noWrap/>
            <w:vAlign w:val="center"/>
          </w:tcPr>
          <w:p w14:paraId="32A3A921" w14:textId="77777777" w:rsidR="00A24705" w:rsidRDefault="00A24705">
            <w:pPr>
              <w:jc w:val="center"/>
              <w:rPr>
                <w:rFonts w:ascii="宋体" w:eastAsia="宋体" w:hAnsi="宋体" w:cs="宋体" w:hint="eastAsia"/>
                <w:b/>
                <w:bCs/>
                <w:sz w:val="18"/>
                <w:szCs w:val="18"/>
              </w:rPr>
            </w:pPr>
          </w:p>
        </w:tc>
      </w:tr>
      <w:tr w:rsidR="00A24705" w14:paraId="1C1506A2"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4334F93D" w14:textId="77777777" w:rsidR="00A24705" w:rsidRDefault="00A2470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24A6BF4" w14:textId="77777777" w:rsidR="00A24705"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5C1C64D4"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4854F627"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7E740789"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44521D03" w14:textId="77777777" w:rsidR="00A2470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1D2FDAE0" w14:textId="77777777" w:rsidR="00A2470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FEC9499" w14:textId="77777777" w:rsidR="00A2470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420D8786" w14:textId="77777777" w:rsidR="00A24705" w:rsidRDefault="00A24705">
            <w:pPr>
              <w:jc w:val="center"/>
              <w:rPr>
                <w:rFonts w:ascii="宋体" w:eastAsia="宋体" w:hAnsi="宋体" w:cs="宋体" w:hint="eastAsia"/>
                <w:sz w:val="18"/>
                <w:szCs w:val="18"/>
              </w:rPr>
            </w:pPr>
          </w:p>
        </w:tc>
      </w:tr>
      <w:tr w:rsidR="00A24705" w14:paraId="679616A4"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DAC3E5B" w14:textId="77777777" w:rsidR="00A24705" w:rsidRDefault="00A2470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3E10A2B"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6B4FD6AE"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122,227.62</w:t>
            </w:r>
          </w:p>
        </w:tc>
        <w:tc>
          <w:tcPr>
            <w:tcW w:w="1276" w:type="dxa"/>
            <w:tcBorders>
              <w:top w:val="nil"/>
              <w:left w:val="nil"/>
              <w:bottom w:val="single" w:sz="4" w:space="0" w:color="auto"/>
              <w:right w:val="single" w:sz="4" w:space="0" w:color="auto"/>
            </w:tcBorders>
            <w:vAlign w:val="center"/>
          </w:tcPr>
          <w:p w14:paraId="70EBC0DA"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469,637.71</w:t>
            </w:r>
          </w:p>
        </w:tc>
        <w:tc>
          <w:tcPr>
            <w:tcW w:w="1701" w:type="dxa"/>
            <w:tcBorders>
              <w:top w:val="nil"/>
              <w:left w:val="nil"/>
              <w:bottom w:val="single" w:sz="4" w:space="0" w:color="auto"/>
              <w:right w:val="single" w:sz="4" w:space="0" w:color="auto"/>
            </w:tcBorders>
            <w:vAlign w:val="center"/>
          </w:tcPr>
          <w:p w14:paraId="1F525DEA"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469,574.81</w:t>
            </w:r>
          </w:p>
        </w:tc>
        <w:tc>
          <w:tcPr>
            <w:tcW w:w="1134" w:type="dxa"/>
            <w:tcBorders>
              <w:top w:val="nil"/>
              <w:left w:val="nil"/>
              <w:bottom w:val="single" w:sz="4" w:space="0" w:color="auto"/>
              <w:right w:val="single" w:sz="4" w:space="0" w:color="auto"/>
            </w:tcBorders>
            <w:vAlign w:val="center"/>
          </w:tcPr>
          <w:p w14:paraId="35E99115" w14:textId="77777777" w:rsidR="00A2470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5C6F9982" w14:textId="77777777" w:rsidR="00A2470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406109FC" w14:textId="77777777" w:rsidR="00A24705"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65C8E8C1" w14:textId="77777777" w:rsidR="00A24705" w:rsidRDefault="00A24705">
            <w:pPr>
              <w:jc w:val="center"/>
              <w:rPr>
                <w:rFonts w:ascii="宋体" w:eastAsia="宋体" w:hAnsi="宋体" w:cs="宋体" w:hint="eastAsia"/>
                <w:sz w:val="18"/>
                <w:szCs w:val="18"/>
              </w:rPr>
            </w:pPr>
          </w:p>
        </w:tc>
      </w:tr>
      <w:tr w:rsidR="00A24705" w14:paraId="4091F4A1"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3EF8C51" w14:textId="77777777" w:rsidR="00A24705" w:rsidRDefault="00A2470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7E6A0C6"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05B278E4"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24,500.00</w:t>
            </w:r>
          </w:p>
        </w:tc>
        <w:tc>
          <w:tcPr>
            <w:tcW w:w="1276" w:type="dxa"/>
            <w:tcBorders>
              <w:top w:val="nil"/>
              <w:left w:val="nil"/>
              <w:bottom w:val="single" w:sz="4" w:space="0" w:color="auto"/>
              <w:right w:val="single" w:sz="4" w:space="0" w:color="auto"/>
            </w:tcBorders>
            <w:vAlign w:val="center"/>
          </w:tcPr>
          <w:p w14:paraId="2AD475B5"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24,500.00</w:t>
            </w:r>
          </w:p>
        </w:tc>
        <w:tc>
          <w:tcPr>
            <w:tcW w:w="1701" w:type="dxa"/>
            <w:tcBorders>
              <w:top w:val="nil"/>
              <w:left w:val="nil"/>
              <w:bottom w:val="single" w:sz="4" w:space="0" w:color="auto"/>
              <w:right w:val="single" w:sz="4" w:space="0" w:color="auto"/>
            </w:tcBorders>
            <w:vAlign w:val="center"/>
          </w:tcPr>
          <w:p w14:paraId="33B4610B"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24,500.00</w:t>
            </w:r>
          </w:p>
        </w:tc>
        <w:tc>
          <w:tcPr>
            <w:tcW w:w="1134" w:type="dxa"/>
            <w:tcBorders>
              <w:top w:val="nil"/>
              <w:left w:val="nil"/>
              <w:bottom w:val="single" w:sz="4" w:space="0" w:color="auto"/>
              <w:right w:val="single" w:sz="4" w:space="0" w:color="auto"/>
            </w:tcBorders>
            <w:vAlign w:val="center"/>
          </w:tcPr>
          <w:p w14:paraId="29FBB6FE"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38A7F981"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1F1B8B6E"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7EC0ABF6" w14:textId="77777777" w:rsidR="00A24705" w:rsidRDefault="00A24705">
            <w:pPr>
              <w:jc w:val="center"/>
              <w:rPr>
                <w:rFonts w:ascii="宋体" w:eastAsia="宋体" w:hAnsi="宋体" w:cs="宋体" w:hint="eastAsia"/>
                <w:sz w:val="18"/>
                <w:szCs w:val="18"/>
              </w:rPr>
            </w:pPr>
          </w:p>
        </w:tc>
      </w:tr>
      <w:tr w:rsidR="00A24705" w14:paraId="23860354"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A628C7F"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tcPr>
          <w:p w14:paraId="71B4ACF7"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tcPr>
          <w:p w14:paraId="3B5C6EDA"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6415630E" w14:textId="77777777" w:rsidR="00A24705" w:rsidRDefault="00A24705">
            <w:pPr>
              <w:rPr>
                <w:rFonts w:ascii="宋体" w:eastAsia="宋体" w:hAnsi="宋体" w:cs="宋体" w:hint="eastAsia"/>
                <w:b/>
                <w:bCs/>
                <w:sz w:val="18"/>
                <w:szCs w:val="18"/>
              </w:rPr>
            </w:pPr>
          </w:p>
        </w:tc>
      </w:tr>
      <w:tr w:rsidR="00A24705" w14:paraId="23A02ADA"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73A6EED" w14:textId="77777777" w:rsidR="00A24705" w:rsidRDefault="00A24705">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47BE69E4" w14:textId="77777777" w:rsidR="00A2470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一、单位职能依法实施米东区范围内房屋征收与补偿及土地征收管理工作。宣传和贯彻执行国家关于土地征收、房屋征收与补偿方面的政策和法律、法规，依据《国有土地上房屋征收与补偿条列》组织实施行政区域内的房屋征收与补偿工作，负责行政区域内储备土地的征收管理工作。二、2024年工作计划今年将继续积极协调相关部门，快速完成拟建设项目的征收补偿工作，做好光</w:t>
            </w:r>
            <w:proofErr w:type="gramStart"/>
            <w:r>
              <w:rPr>
                <w:rFonts w:ascii="宋体" w:eastAsia="宋体" w:hAnsi="宋体" w:cs="宋体" w:hint="eastAsia"/>
                <w:sz w:val="18"/>
                <w:szCs w:val="18"/>
                <w:lang w:eastAsia="zh-CN"/>
              </w:rPr>
              <w:t>伏产业</w:t>
            </w:r>
            <w:proofErr w:type="gramEnd"/>
            <w:r>
              <w:rPr>
                <w:rFonts w:ascii="宋体" w:eastAsia="宋体" w:hAnsi="宋体" w:cs="宋体" w:hint="eastAsia"/>
                <w:sz w:val="18"/>
                <w:szCs w:val="18"/>
                <w:lang w:eastAsia="zh-CN"/>
              </w:rPr>
              <w:t>园等重点项目对接工作，积极与区财政和项目建设主体单位紧密联系，做好前期准备工作，待项目建设实施单位落实资金后，依法实施项目征收补偿工作及做好耕地占用税缴纳工作。</w:t>
            </w:r>
          </w:p>
        </w:tc>
        <w:tc>
          <w:tcPr>
            <w:tcW w:w="4547" w:type="dxa"/>
            <w:gridSpan w:val="4"/>
            <w:tcBorders>
              <w:top w:val="single" w:sz="4" w:space="0" w:color="auto"/>
              <w:left w:val="nil"/>
              <w:bottom w:val="single" w:sz="4" w:space="0" w:color="auto"/>
              <w:right w:val="single" w:sz="4" w:space="0" w:color="auto"/>
            </w:tcBorders>
          </w:tcPr>
          <w:p w14:paraId="6EF129F7" w14:textId="77777777" w:rsidR="00A2470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我单位根据单位职能依法实施米东区范围内房屋征收与补偿及土地征收管理工作并依据《国有土地上房屋征收与补偿条列》组织实施行政区域内的房屋征收与补偿工作，做好行政区域内储备土地的征收管理工作。在2024年实施征收自治区级、米东区级项目15个，征收土地（含草场）3143.5亩，征收房屋15户，建筑面积11588.31平方米，签订征收补偿协议3938.6万元，已支付2344.36万元，未支付1594.24万元。做好自治区地面沉降监测网建设项目征收工作。已征收</w:t>
            </w:r>
            <w:proofErr w:type="gramStart"/>
            <w:r>
              <w:rPr>
                <w:rFonts w:ascii="宋体" w:eastAsia="宋体" w:hAnsi="宋体" w:cs="宋体" w:hint="eastAsia"/>
                <w:sz w:val="18"/>
                <w:szCs w:val="18"/>
                <w:lang w:eastAsia="zh-CN"/>
              </w:rPr>
              <w:t>羊毛工镇</w:t>
            </w:r>
            <w:proofErr w:type="gramEnd"/>
            <w:r>
              <w:rPr>
                <w:rFonts w:ascii="宋体" w:eastAsia="宋体" w:hAnsi="宋体" w:cs="宋体" w:hint="eastAsia"/>
                <w:sz w:val="18"/>
                <w:szCs w:val="18"/>
                <w:lang w:eastAsia="zh-CN"/>
              </w:rPr>
              <w:t>蒋家湾村土地0.99亩，支付征收补偿款8.49万元。持续推进东凯物流园、化工工业园二期基础设施建设、民泰街（民主路）西片区棚户区改造项目等15个米东区重点建设项目实施。征收房屋15户，建筑面积11588.31平方米，征收土地（含草场）3142.5亩，协议金额3930.11万元，已支付2335.87万元。</w:t>
            </w:r>
          </w:p>
        </w:tc>
        <w:tc>
          <w:tcPr>
            <w:tcW w:w="284" w:type="dxa"/>
            <w:tcBorders>
              <w:top w:val="nil"/>
              <w:left w:val="nil"/>
              <w:bottom w:val="nil"/>
              <w:right w:val="nil"/>
            </w:tcBorders>
            <w:noWrap/>
            <w:vAlign w:val="center"/>
          </w:tcPr>
          <w:p w14:paraId="34E3D647" w14:textId="77777777" w:rsidR="00A24705" w:rsidRDefault="00A24705">
            <w:pPr>
              <w:rPr>
                <w:rFonts w:ascii="宋体" w:eastAsia="宋体" w:hAnsi="宋体" w:cs="宋体" w:hint="eastAsia"/>
                <w:sz w:val="18"/>
                <w:szCs w:val="18"/>
                <w:lang w:eastAsia="zh-CN"/>
              </w:rPr>
            </w:pPr>
          </w:p>
        </w:tc>
      </w:tr>
      <w:tr w:rsidR="00A24705" w14:paraId="7B38A4E7"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298A47E"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44EB5190"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12A4C859"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tcPr>
          <w:p w14:paraId="56A6B94D"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tcPr>
          <w:p w14:paraId="551F96F0"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37EE5878"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tcPr>
          <w:p w14:paraId="4DC4C0EB"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tcPr>
          <w:p w14:paraId="1029E299" w14:textId="77777777" w:rsidR="00A24705"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31E6B849" w14:textId="77777777" w:rsidR="00A24705" w:rsidRDefault="00A24705">
            <w:pPr>
              <w:rPr>
                <w:rFonts w:ascii="宋体" w:eastAsia="宋体" w:hAnsi="宋体" w:cs="宋体" w:hint="eastAsia"/>
                <w:b/>
                <w:bCs/>
                <w:sz w:val="18"/>
                <w:szCs w:val="18"/>
              </w:rPr>
            </w:pPr>
          </w:p>
        </w:tc>
      </w:tr>
      <w:tr w:rsidR="00A24705" w14:paraId="0BD837D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471B30B2" w14:textId="77777777" w:rsidR="00A2470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79280363" w14:textId="77777777" w:rsidR="00A2470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时效指标</w:t>
            </w:r>
            <w:proofErr w:type="spellEnd"/>
          </w:p>
        </w:tc>
        <w:tc>
          <w:tcPr>
            <w:tcW w:w="1418" w:type="dxa"/>
            <w:tcBorders>
              <w:top w:val="nil"/>
              <w:left w:val="nil"/>
              <w:bottom w:val="single" w:sz="4" w:space="0" w:color="auto"/>
              <w:right w:val="single" w:sz="4" w:space="0" w:color="auto"/>
            </w:tcBorders>
            <w:noWrap/>
            <w:vAlign w:val="center"/>
          </w:tcPr>
          <w:p w14:paraId="0F16EE4B" w14:textId="77777777" w:rsidR="00A24705"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申报缴纳耕地占用</w:t>
            </w:r>
            <w:proofErr w:type="gramStart"/>
            <w:r>
              <w:rPr>
                <w:rFonts w:ascii="宋体" w:eastAsia="宋体" w:hAnsi="宋体" w:cs="宋体" w:hint="eastAsia"/>
                <w:sz w:val="18"/>
                <w:szCs w:val="18"/>
                <w:lang w:eastAsia="zh-CN"/>
              </w:rPr>
              <w:t>税时间</w:t>
            </w:r>
            <w:proofErr w:type="gramEnd"/>
          </w:p>
        </w:tc>
        <w:tc>
          <w:tcPr>
            <w:tcW w:w="1276" w:type="dxa"/>
            <w:tcBorders>
              <w:top w:val="nil"/>
              <w:left w:val="nil"/>
              <w:bottom w:val="single" w:sz="4" w:space="0" w:color="auto"/>
              <w:right w:val="single" w:sz="4" w:space="0" w:color="auto"/>
            </w:tcBorders>
            <w:noWrap/>
            <w:vAlign w:val="center"/>
          </w:tcPr>
          <w:p w14:paraId="7DC07A80"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&lt;=30日</w:t>
            </w:r>
          </w:p>
        </w:tc>
        <w:tc>
          <w:tcPr>
            <w:tcW w:w="1701" w:type="dxa"/>
            <w:tcBorders>
              <w:top w:val="nil"/>
              <w:left w:val="nil"/>
              <w:bottom w:val="single" w:sz="4" w:space="0" w:color="auto"/>
              <w:right w:val="single" w:sz="4" w:space="0" w:color="auto"/>
            </w:tcBorders>
            <w:noWrap/>
            <w:vAlign w:val="center"/>
          </w:tcPr>
          <w:p w14:paraId="5C2876BC" w14:textId="77777777" w:rsidR="00A2470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《中华人民共和国耕地占用税法》</w:t>
            </w:r>
          </w:p>
        </w:tc>
        <w:tc>
          <w:tcPr>
            <w:tcW w:w="1134" w:type="dxa"/>
            <w:tcBorders>
              <w:top w:val="nil"/>
              <w:left w:val="nil"/>
              <w:bottom w:val="single" w:sz="4" w:space="0" w:color="auto"/>
              <w:right w:val="single" w:sz="4" w:space="0" w:color="auto"/>
            </w:tcBorders>
            <w:noWrap/>
            <w:vAlign w:val="center"/>
          </w:tcPr>
          <w:p w14:paraId="175FFC6A"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21日</w:t>
            </w:r>
          </w:p>
        </w:tc>
        <w:tc>
          <w:tcPr>
            <w:tcW w:w="992" w:type="dxa"/>
            <w:tcBorders>
              <w:top w:val="nil"/>
              <w:left w:val="nil"/>
              <w:bottom w:val="single" w:sz="4" w:space="0" w:color="auto"/>
              <w:right w:val="single" w:sz="4" w:space="0" w:color="auto"/>
            </w:tcBorders>
            <w:noWrap/>
            <w:vAlign w:val="center"/>
          </w:tcPr>
          <w:p w14:paraId="58633A7C"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71C787ED"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0EB689FC" w14:textId="77777777" w:rsidR="00A24705" w:rsidRDefault="00A24705">
            <w:pPr>
              <w:jc w:val="center"/>
              <w:rPr>
                <w:rFonts w:ascii="宋体" w:eastAsia="宋体" w:hAnsi="宋体" w:cs="宋体" w:hint="eastAsia"/>
                <w:sz w:val="18"/>
                <w:szCs w:val="18"/>
              </w:rPr>
            </w:pPr>
          </w:p>
        </w:tc>
      </w:tr>
      <w:tr w:rsidR="00A24705" w14:paraId="23E3C659" w14:textId="77777777">
        <w:trPr>
          <w:cantSplit/>
          <w:trHeight w:val="740"/>
        </w:trPr>
        <w:tc>
          <w:tcPr>
            <w:tcW w:w="993" w:type="dxa"/>
            <w:vMerge/>
            <w:tcBorders>
              <w:left w:val="single" w:sz="4" w:space="0" w:color="auto"/>
              <w:right w:val="single" w:sz="4" w:space="0" w:color="auto"/>
            </w:tcBorders>
            <w:noWrap/>
            <w:vAlign w:val="center"/>
          </w:tcPr>
          <w:p w14:paraId="00E28B19" w14:textId="77777777" w:rsidR="00A24705" w:rsidRDefault="00A2470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0DFEF1B6" w14:textId="77777777" w:rsidR="00A24705" w:rsidRDefault="00A2470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88B8C5E" w14:textId="77777777" w:rsidR="00A24705"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征收方案公告征求意见期限</w:t>
            </w:r>
          </w:p>
        </w:tc>
        <w:tc>
          <w:tcPr>
            <w:tcW w:w="1276" w:type="dxa"/>
            <w:tcBorders>
              <w:top w:val="nil"/>
              <w:left w:val="nil"/>
              <w:bottom w:val="single" w:sz="4" w:space="0" w:color="auto"/>
              <w:right w:val="single" w:sz="4" w:space="0" w:color="auto"/>
            </w:tcBorders>
            <w:noWrap/>
            <w:vAlign w:val="center"/>
          </w:tcPr>
          <w:p w14:paraId="6C94A86E"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&gt;=30日</w:t>
            </w:r>
          </w:p>
        </w:tc>
        <w:tc>
          <w:tcPr>
            <w:tcW w:w="1701" w:type="dxa"/>
            <w:tcBorders>
              <w:top w:val="nil"/>
              <w:left w:val="nil"/>
              <w:bottom w:val="single" w:sz="4" w:space="0" w:color="auto"/>
              <w:right w:val="single" w:sz="4" w:space="0" w:color="auto"/>
            </w:tcBorders>
            <w:noWrap/>
            <w:vAlign w:val="center"/>
          </w:tcPr>
          <w:p w14:paraId="1E0E87F3" w14:textId="77777777" w:rsidR="00A2470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中华人民共和国国务院令第590号《国有土地上房屋征收与补偿条例》</w:t>
            </w:r>
          </w:p>
        </w:tc>
        <w:tc>
          <w:tcPr>
            <w:tcW w:w="1134" w:type="dxa"/>
            <w:tcBorders>
              <w:top w:val="nil"/>
              <w:left w:val="nil"/>
              <w:bottom w:val="single" w:sz="4" w:space="0" w:color="auto"/>
              <w:right w:val="single" w:sz="4" w:space="0" w:color="auto"/>
            </w:tcBorders>
            <w:noWrap/>
            <w:vAlign w:val="center"/>
          </w:tcPr>
          <w:p w14:paraId="2E823A70"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30日</w:t>
            </w:r>
          </w:p>
        </w:tc>
        <w:tc>
          <w:tcPr>
            <w:tcW w:w="992" w:type="dxa"/>
            <w:tcBorders>
              <w:top w:val="nil"/>
              <w:left w:val="nil"/>
              <w:bottom w:val="single" w:sz="4" w:space="0" w:color="auto"/>
              <w:right w:val="single" w:sz="4" w:space="0" w:color="auto"/>
            </w:tcBorders>
            <w:noWrap/>
            <w:vAlign w:val="center"/>
          </w:tcPr>
          <w:p w14:paraId="5508A743"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4805A79B"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BFBBF3A" w14:textId="77777777" w:rsidR="00A24705" w:rsidRDefault="00A24705">
            <w:pPr>
              <w:jc w:val="center"/>
              <w:rPr>
                <w:rFonts w:ascii="宋体" w:eastAsia="宋体" w:hAnsi="宋体" w:cs="宋体" w:hint="eastAsia"/>
                <w:sz w:val="18"/>
                <w:szCs w:val="18"/>
              </w:rPr>
            </w:pPr>
          </w:p>
        </w:tc>
      </w:tr>
      <w:tr w:rsidR="00A24705" w14:paraId="114DC965"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743D1999" w14:textId="77777777" w:rsidR="00A24705" w:rsidRDefault="00A24705">
            <w:pPr>
              <w:jc w:val="center"/>
              <w:rPr>
                <w:rFonts w:ascii="宋体" w:eastAsia="宋体" w:hAnsi="宋体" w:cs="宋体" w:hint="eastAsia"/>
                <w:sz w:val="18"/>
                <w:szCs w:val="18"/>
              </w:rPr>
            </w:pPr>
          </w:p>
        </w:tc>
        <w:tc>
          <w:tcPr>
            <w:tcW w:w="1417" w:type="dxa"/>
            <w:tcBorders>
              <w:top w:val="single" w:sz="4" w:space="0" w:color="auto"/>
              <w:left w:val="nil"/>
              <w:bottom w:val="single" w:sz="4" w:space="0" w:color="auto"/>
              <w:right w:val="single" w:sz="4" w:space="0" w:color="auto"/>
            </w:tcBorders>
            <w:noWrap/>
            <w:vAlign w:val="center"/>
          </w:tcPr>
          <w:p w14:paraId="670BF78B" w14:textId="77777777" w:rsidR="00A2470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single" w:sz="4" w:space="0" w:color="auto"/>
              <w:left w:val="nil"/>
              <w:bottom w:val="single" w:sz="4" w:space="0" w:color="auto"/>
              <w:right w:val="single" w:sz="4" w:space="0" w:color="auto"/>
            </w:tcBorders>
            <w:noWrap/>
            <w:vAlign w:val="center"/>
          </w:tcPr>
          <w:p w14:paraId="51247E2A"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预计2024年开展项目数量</w:t>
            </w:r>
          </w:p>
        </w:tc>
        <w:tc>
          <w:tcPr>
            <w:tcW w:w="1276" w:type="dxa"/>
            <w:tcBorders>
              <w:top w:val="single" w:sz="4" w:space="0" w:color="auto"/>
              <w:left w:val="nil"/>
              <w:bottom w:val="single" w:sz="4" w:space="0" w:color="auto"/>
              <w:right w:val="single" w:sz="4" w:space="0" w:color="auto"/>
            </w:tcBorders>
            <w:noWrap/>
            <w:vAlign w:val="center"/>
          </w:tcPr>
          <w:p w14:paraId="0008F5F7"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&gt;=15个</w:t>
            </w:r>
          </w:p>
        </w:tc>
        <w:tc>
          <w:tcPr>
            <w:tcW w:w="1701" w:type="dxa"/>
            <w:tcBorders>
              <w:top w:val="single" w:sz="4" w:space="0" w:color="auto"/>
              <w:left w:val="nil"/>
              <w:bottom w:val="single" w:sz="4" w:space="0" w:color="auto"/>
              <w:right w:val="single" w:sz="4" w:space="0" w:color="auto"/>
            </w:tcBorders>
            <w:noWrap/>
            <w:vAlign w:val="center"/>
          </w:tcPr>
          <w:p w14:paraId="72D0BD00" w14:textId="77777777" w:rsidR="00A24705"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关于2023年工作完成情况及2024年征收工作计划的报告</w:t>
            </w:r>
          </w:p>
        </w:tc>
        <w:tc>
          <w:tcPr>
            <w:tcW w:w="1134" w:type="dxa"/>
            <w:tcBorders>
              <w:top w:val="single" w:sz="4" w:space="0" w:color="auto"/>
              <w:left w:val="nil"/>
              <w:bottom w:val="single" w:sz="4" w:space="0" w:color="auto"/>
              <w:right w:val="single" w:sz="4" w:space="0" w:color="auto"/>
            </w:tcBorders>
            <w:noWrap/>
            <w:vAlign w:val="center"/>
          </w:tcPr>
          <w:p w14:paraId="4CEF92A6"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15个</w:t>
            </w:r>
          </w:p>
        </w:tc>
        <w:tc>
          <w:tcPr>
            <w:tcW w:w="992" w:type="dxa"/>
            <w:tcBorders>
              <w:top w:val="single" w:sz="4" w:space="0" w:color="auto"/>
              <w:left w:val="nil"/>
              <w:bottom w:val="single" w:sz="4" w:space="0" w:color="auto"/>
              <w:right w:val="single" w:sz="4" w:space="0" w:color="auto"/>
            </w:tcBorders>
            <w:noWrap/>
            <w:vAlign w:val="center"/>
          </w:tcPr>
          <w:p w14:paraId="1DD9D647"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48FE31D1"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5AC9F877" w14:textId="77777777" w:rsidR="00A24705" w:rsidRDefault="00A24705">
            <w:pPr>
              <w:jc w:val="center"/>
              <w:rPr>
                <w:rFonts w:ascii="宋体" w:eastAsia="宋体" w:hAnsi="宋体" w:cs="宋体" w:hint="eastAsia"/>
                <w:sz w:val="18"/>
                <w:szCs w:val="18"/>
              </w:rPr>
            </w:pPr>
          </w:p>
        </w:tc>
      </w:tr>
      <w:tr w:rsidR="00A24705" w14:paraId="252C92C5"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7033EB33" w14:textId="77777777" w:rsidR="00A24705"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12D2F69F"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424BE53D" w14:textId="77777777" w:rsidR="00A24705" w:rsidRDefault="00000000">
            <w:pPr>
              <w:jc w:val="center"/>
              <w:rPr>
                <w:rFonts w:ascii="宋体" w:eastAsia="宋体" w:hAnsi="宋体" w:cs="宋体" w:hint="eastAsia"/>
                <w:sz w:val="18"/>
                <w:szCs w:val="18"/>
              </w:rPr>
            </w:pPr>
            <w:r>
              <w:rPr>
                <w:rFonts w:ascii="宋体" w:eastAsia="宋体" w:hAnsi="宋体" w:cs="宋体" w:hint="eastAsia"/>
                <w:sz w:val="18"/>
                <w:szCs w:val="18"/>
              </w:rPr>
              <w:t>99.99</w:t>
            </w:r>
          </w:p>
        </w:tc>
        <w:tc>
          <w:tcPr>
            <w:tcW w:w="284" w:type="dxa"/>
            <w:tcBorders>
              <w:top w:val="nil"/>
              <w:left w:val="nil"/>
              <w:bottom w:val="nil"/>
              <w:right w:val="nil"/>
            </w:tcBorders>
            <w:noWrap/>
            <w:vAlign w:val="center"/>
          </w:tcPr>
          <w:p w14:paraId="74A626D4" w14:textId="77777777" w:rsidR="00A24705" w:rsidRDefault="00A24705">
            <w:pPr>
              <w:jc w:val="center"/>
              <w:rPr>
                <w:rFonts w:ascii="宋体" w:eastAsia="宋体" w:hAnsi="宋体" w:cs="宋体" w:hint="eastAsia"/>
                <w:sz w:val="18"/>
                <w:szCs w:val="18"/>
              </w:rPr>
            </w:pPr>
          </w:p>
        </w:tc>
      </w:tr>
    </w:tbl>
    <w:p w14:paraId="3A075DDE" w14:textId="77777777" w:rsidR="00A24705" w:rsidRDefault="00000000">
      <w:pPr>
        <w:jc w:val="center"/>
        <w:rPr>
          <w:rFonts w:ascii="宋体" w:eastAsia="宋体" w:hAnsi="宋体" w:cs="宋体" w:hint="eastAsia"/>
          <w:b/>
          <w:bCs/>
          <w:sz w:val="28"/>
          <w:szCs w:val="28"/>
        </w:rPr>
      </w:pPr>
      <w:r>
        <w:rPr>
          <w:rFonts w:ascii="宋体" w:eastAsia="宋体" w:hAnsi="宋体" w:cs="宋体" w:hint="eastAsia"/>
          <w:b/>
          <w:bCs/>
          <w:sz w:val="18"/>
          <w:szCs w:val="18"/>
        </w:rPr>
        <w:br w:type="page"/>
      </w:r>
      <w:proofErr w:type="spellStart"/>
      <w:r>
        <w:rPr>
          <w:rFonts w:ascii="宋体" w:eastAsia="宋体" w:hAnsi="宋体" w:cs="宋体" w:hint="eastAsia"/>
          <w:b/>
          <w:bCs/>
          <w:sz w:val="28"/>
          <w:szCs w:val="28"/>
        </w:rPr>
        <w:lastRenderedPageBreak/>
        <w:t>项目支出绩效自评表</w:t>
      </w:r>
      <w:proofErr w:type="spellEnd"/>
    </w:p>
    <w:p w14:paraId="47A8E05E" w14:textId="77777777" w:rsidR="00A24705"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A24705" w14:paraId="2008A5C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4B4645E"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tcPr>
          <w:p w14:paraId="077B4B69" w14:textId="77777777" w:rsidR="00A2470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2024年中央财政城镇保障性安居工程补助-</w:t>
            </w:r>
            <w:proofErr w:type="gramStart"/>
            <w:r>
              <w:rPr>
                <w:rFonts w:ascii="宋体" w:eastAsia="宋体" w:hAnsi="宋体" w:cs="宋体" w:hint="eastAsia"/>
                <w:color w:val="000000"/>
                <w:sz w:val="18"/>
                <w:szCs w:val="18"/>
                <w:lang w:eastAsia="zh-CN"/>
              </w:rPr>
              <w:t>乌财建</w:t>
            </w:r>
            <w:proofErr w:type="gramEnd"/>
            <w:r>
              <w:rPr>
                <w:rFonts w:ascii="宋体" w:eastAsia="宋体" w:hAnsi="宋体" w:cs="宋体" w:hint="eastAsia"/>
                <w:color w:val="000000"/>
                <w:sz w:val="18"/>
                <w:szCs w:val="18"/>
                <w:lang w:eastAsia="zh-CN"/>
              </w:rPr>
              <w:t>【2024】123号</w:t>
            </w:r>
          </w:p>
        </w:tc>
      </w:tr>
      <w:tr w:rsidR="00A24705" w14:paraId="15974AF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6CCAAB3"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tcPr>
          <w:p w14:paraId="74BD3B9D" w14:textId="77777777" w:rsidR="00A2470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乌鲁木齐市米东区房屋征收与补偿管理办公室（乌鲁木齐市米东区土地征收管理办公室）</w:t>
            </w:r>
          </w:p>
        </w:tc>
        <w:tc>
          <w:tcPr>
            <w:tcW w:w="1275" w:type="dxa"/>
            <w:gridSpan w:val="2"/>
            <w:tcBorders>
              <w:top w:val="nil"/>
              <w:left w:val="nil"/>
              <w:bottom w:val="single" w:sz="4" w:space="0" w:color="auto"/>
              <w:right w:val="single" w:sz="4" w:space="0" w:color="000000"/>
            </w:tcBorders>
            <w:vAlign w:val="center"/>
          </w:tcPr>
          <w:p w14:paraId="1AA4E4C8"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42E9921D" w14:textId="77777777" w:rsidR="00A2470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乌鲁木齐市米东区房屋征收与补偿管理办公室（乌鲁木齐市米东区土地征收管理办公室）</w:t>
            </w:r>
          </w:p>
        </w:tc>
      </w:tr>
      <w:tr w:rsidR="00A24705" w14:paraId="155C904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8248753"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项目资金（万元</w:t>
            </w:r>
            <w:proofErr w:type="spellEnd"/>
            <w:r>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tcPr>
          <w:p w14:paraId="5C687CED" w14:textId="77777777" w:rsidR="00A24705" w:rsidRDefault="00A2470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tcPr>
          <w:p w14:paraId="2F8D8104"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tcPr>
          <w:p w14:paraId="629B4606"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tcPr>
          <w:p w14:paraId="79DA50A2"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tcPr>
          <w:p w14:paraId="47544BBD"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tcPr>
          <w:p w14:paraId="07EA794A"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tcPr>
          <w:p w14:paraId="493BC760"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r>
      <w:tr w:rsidR="00A24705" w14:paraId="6880269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16FA69" w14:textId="77777777" w:rsidR="00A24705" w:rsidRDefault="00A2470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B915E17"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72D39149"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w:t>
            </w:r>
          </w:p>
        </w:tc>
        <w:tc>
          <w:tcPr>
            <w:tcW w:w="1125" w:type="dxa"/>
            <w:tcBorders>
              <w:top w:val="nil"/>
              <w:left w:val="nil"/>
              <w:bottom w:val="single" w:sz="4" w:space="0" w:color="auto"/>
              <w:right w:val="single" w:sz="4" w:space="0" w:color="auto"/>
            </w:tcBorders>
            <w:noWrap/>
            <w:vAlign w:val="center"/>
          </w:tcPr>
          <w:p w14:paraId="3979A42B"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35.28</w:t>
            </w:r>
          </w:p>
        </w:tc>
        <w:tc>
          <w:tcPr>
            <w:tcW w:w="1275" w:type="dxa"/>
            <w:gridSpan w:val="2"/>
            <w:tcBorders>
              <w:top w:val="single" w:sz="4" w:space="0" w:color="auto"/>
              <w:left w:val="nil"/>
              <w:bottom w:val="single" w:sz="4" w:space="0" w:color="auto"/>
              <w:right w:val="single" w:sz="4" w:space="0" w:color="000000"/>
            </w:tcBorders>
            <w:noWrap/>
            <w:vAlign w:val="center"/>
          </w:tcPr>
          <w:p w14:paraId="0A9BC8D6"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35.28</w:t>
            </w:r>
          </w:p>
        </w:tc>
        <w:tc>
          <w:tcPr>
            <w:tcW w:w="1134" w:type="dxa"/>
            <w:gridSpan w:val="2"/>
            <w:tcBorders>
              <w:top w:val="single" w:sz="4" w:space="0" w:color="auto"/>
              <w:left w:val="nil"/>
              <w:bottom w:val="single" w:sz="4" w:space="0" w:color="auto"/>
              <w:right w:val="single" w:sz="4" w:space="0" w:color="auto"/>
            </w:tcBorders>
            <w:vAlign w:val="center"/>
          </w:tcPr>
          <w:p w14:paraId="15746A99"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2E2A338B"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24082BAC"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A24705" w14:paraId="52D7B30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558F81" w14:textId="77777777" w:rsidR="00A24705" w:rsidRDefault="00A2470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86F0C1F"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6730ED4E"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66.00</w:t>
            </w:r>
          </w:p>
        </w:tc>
        <w:tc>
          <w:tcPr>
            <w:tcW w:w="1125" w:type="dxa"/>
            <w:tcBorders>
              <w:top w:val="nil"/>
              <w:left w:val="nil"/>
              <w:bottom w:val="single" w:sz="4" w:space="0" w:color="auto"/>
              <w:right w:val="single" w:sz="4" w:space="0" w:color="auto"/>
            </w:tcBorders>
            <w:noWrap/>
            <w:vAlign w:val="center"/>
          </w:tcPr>
          <w:p w14:paraId="5B0CC6B1"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35.28</w:t>
            </w:r>
          </w:p>
        </w:tc>
        <w:tc>
          <w:tcPr>
            <w:tcW w:w="1275" w:type="dxa"/>
            <w:gridSpan w:val="2"/>
            <w:tcBorders>
              <w:top w:val="single" w:sz="4" w:space="0" w:color="auto"/>
              <w:left w:val="nil"/>
              <w:bottom w:val="single" w:sz="4" w:space="0" w:color="auto"/>
              <w:right w:val="single" w:sz="4" w:space="0" w:color="000000"/>
            </w:tcBorders>
            <w:noWrap/>
            <w:vAlign w:val="center"/>
          </w:tcPr>
          <w:p w14:paraId="142F49B9"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35.28</w:t>
            </w:r>
          </w:p>
        </w:tc>
        <w:tc>
          <w:tcPr>
            <w:tcW w:w="1134" w:type="dxa"/>
            <w:gridSpan w:val="2"/>
            <w:tcBorders>
              <w:top w:val="single" w:sz="4" w:space="0" w:color="auto"/>
              <w:left w:val="nil"/>
              <w:bottom w:val="single" w:sz="4" w:space="0" w:color="auto"/>
              <w:right w:val="single" w:sz="4" w:space="0" w:color="auto"/>
            </w:tcBorders>
            <w:vAlign w:val="center"/>
          </w:tcPr>
          <w:p w14:paraId="752BF461"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324B1397"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53B667E"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24705" w14:paraId="6C40936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FD24A3" w14:textId="77777777" w:rsidR="00A24705" w:rsidRDefault="00A2470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573410F"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319386A3"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03A0D8CF"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CAA3C83"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tcPr>
          <w:p w14:paraId="39E05A16"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tcPr>
          <w:p w14:paraId="6EECD86E"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tcPr>
          <w:p w14:paraId="0F37D705"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w:t>
            </w:r>
          </w:p>
        </w:tc>
      </w:tr>
      <w:tr w:rsidR="00A24705" w14:paraId="106EAFC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4631C21"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tcPr>
          <w:p w14:paraId="693AC579"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tcPr>
          <w:p w14:paraId="0EB6A899"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实际完成情况</w:t>
            </w:r>
            <w:proofErr w:type="spellEnd"/>
          </w:p>
        </w:tc>
      </w:tr>
      <w:tr w:rsidR="00A24705" w14:paraId="769D1FA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15B2A7C" w14:textId="77777777" w:rsidR="00A24705" w:rsidRDefault="00A2470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tcPr>
          <w:p w14:paraId="217996D0" w14:textId="77777777" w:rsidR="00A2470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本次申请支付人民医院项目的评估、测绘、审计、拆除、公证费用等第三方费用，有利于促进第三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公司的持续运营。</w:t>
            </w:r>
          </w:p>
        </w:tc>
        <w:tc>
          <w:tcPr>
            <w:tcW w:w="4677" w:type="dxa"/>
            <w:gridSpan w:val="7"/>
            <w:tcBorders>
              <w:top w:val="single" w:sz="4" w:space="0" w:color="auto"/>
              <w:left w:val="nil"/>
              <w:bottom w:val="single" w:sz="4" w:space="0" w:color="auto"/>
              <w:right w:val="single" w:sz="4" w:space="0" w:color="000000"/>
            </w:tcBorders>
          </w:tcPr>
          <w:p w14:paraId="509B7324" w14:textId="77777777" w:rsidR="00A2470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2024年我单位通过对第三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公司支付费用35.28万元，实际完成人民医院项目涉及被征收人的</w:t>
            </w:r>
            <w:proofErr w:type="gramStart"/>
            <w:r>
              <w:rPr>
                <w:rFonts w:ascii="宋体" w:eastAsia="宋体" w:hAnsi="宋体" w:cs="宋体" w:hint="eastAsia"/>
                <w:color w:val="000000"/>
                <w:sz w:val="18"/>
                <w:szCs w:val="18"/>
                <w:lang w:eastAsia="zh-CN"/>
              </w:rPr>
              <w:t>的</w:t>
            </w:r>
            <w:proofErr w:type="gramEnd"/>
            <w:r>
              <w:rPr>
                <w:rFonts w:ascii="宋体" w:eastAsia="宋体" w:hAnsi="宋体" w:cs="宋体" w:hint="eastAsia"/>
                <w:color w:val="000000"/>
                <w:sz w:val="18"/>
                <w:szCs w:val="18"/>
                <w:lang w:eastAsia="zh-CN"/>
              </w:rPr>
              <w:t>全过程跟踪审计工作，出具被征收户的评估报告，并安全拆除建筑面积19731.99平方米，完成场地平整，有效推动了人民医院项目的开展，并促进了第三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公司的发展。</w:t>
            </w:r>
          </w:p>
        </w:tc>
      </w:tr>
      <w:tr w:rsidR="00A24705" w14:paraId="581170DA" w14:textId="77777777">
        <w:trPr>
          <w:cantSplit/>
          <w:trHeight w:val="468"/>
        </w:trPr>
        <w:tc>
          <w:tcPr>
            <w:tcW w:w="598" w:type="dxa"/>
            <w:vMerge w:val="restart"/>
            <w:tcBorders>
              <w:top w:val="nil"/>
              <w:left w:val="single" w:sz="4" w:space="0" w:color="auto"/>
              <w:bottom w:val="single" w:sz="4" w:space="0" w:color="auto"/>
              <w:right w:val="single" w:sz="4" w:space="0" w:color="auto"/>
            </w:tcBorders>
            <w:vAlign w:val="center"/>
          </w:tcPr>
          <w:p w14:paraId="04D43DA9" w14:textId="77777777" w:rsidR="00A24705" w:rsidRDefault="00A2470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5D4E36C3"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tcPr>
          <w:p w14:paraId="1C97C3CA"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53ED3E9"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tcPr>
          <w:p w14:paraId="5654359C"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tcPr>
          <w:p w14:paraId="779982B3"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73815D8"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DAAF363"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247D05E" w14:textId="77777777" w:rsidR="00A2470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A24705" w14:paraId="39AE622A" w14:textId="77777777">
        <w:trPr>
          <w:cantSplit/>
          <w:trHeight w:val="468"/>
        </w:trPr>
        <w:tc>
          <w:tcPr>
            <w:tcW w:w="598" w:type="dxa"/>
            <w:vMerge/>
            <w:tcBorders>
              <w:top w:val="nil"/>
              <w:left w:val="single" w:sz="4" w:space="0" w:color="auto"/>
              <w:bottom w:val="single" w:sz="4" w:space="0" w:color="auto"/>
              <w:right w:val="single" w:sz="4" w:space="0" w:color="auto"/>
            </w:tcBorders>
            <w:vAlign w:val="center"/>
          </w:tcPr>
          <w:p w14:paraId="302338B5" w14:textId="77777777" w:rsidR="00A24705" w:rsidRDefault="00A2470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243459B" w14:textId="77777777" w:rsidR="00A24705" w:rsidRDefault="00A2470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9D21A94" w14:textId="77777777" w:rsidR="00A24705" w:rsidRDefault="00A2470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C52A6B7" w14:textId="77777777" w:rsidR="00A24705" w:rsidRDefault="00A2470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59D27333" w14:textId="77777777" w:rsidR="00A24705" w:rsidRDefault="00A2470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99A589F" w14:textId="77777777" w:rsidR="00A24705" w:rsidRDefault="00A2470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146B796" w14:textId="77777777" w:rsidR="00A24705" w:rsidRDefault="00A2470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0FDB7A8" w14:textId="77777777" w:rsidR="00A24705" w:rsidRDefault="00A2470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07B6A6C" w14:textId="77777777" w:rsidR="00A24705" w:rsidRDefault="00A24705">
            <w:pPr>
              <w:rPr>
                <w:rFonts w:ascii="宋体" w:eastAsia="宋体" w:hAnsi="宋体" w:cs="宋体" w:hint="eastAsia"/>
                <w:color w:val="000000"/>
                <w:sz w:val="18"/>
                <w:szCs w:val="18"/>
                <w:lang w:eastAsia="zh-CN"/>
              </w:rPr>
            </w:pPr>
          </w:p>
        </w:tc>
      </w:tr>
      <w:tr w:rsidR="00A24705" w14:paraId="54512EA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1F8BBAF" w14:textId="77777777" w:rsidR="00A24705" w:rsidRDefault="00000000">
            <w:pPr>
              <w:jc w:val="center"/>
              <w:rPr>
                <w:rFonts w:ascii="宋体" w:eastAsia="宋体" w:hAnsi="宋体" w:cs="宋体" w:hint="eastAsia"/>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6E452999"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6E59CAB1"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5C1C8BD" w14:textId="77777777" w:rsidR="00A2470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支付第三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公司个数</w:t>
            </w:r>
          </w:p>
        </w:tc>
        <w:tc>
          <w:tcPr>
            <w:tcW w:w="1125" w:type="dxa"/>
            <w:tcBorders>
              <w:top w:val="nil"/>
              <w:left w:val="nil"/>
              <w:bottom w:val="single" w:sz="4" w:space="0" w:color="auto"/>
              <w:right w:val="single" w:sz="4" w:space="0" w:color="auto"/>
            </w:tcBorders>
            <w:vAlign w:val="center"/>
          </w:tcPr>
          <w:p w14:paraId="763EA571"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&gt;=7家</w:t>
            </w:r>
          </w:p>
        </w:tc>
        <w:tc>
          <w:tcPr>
            <w:tcW w:w="1229" w:type="dxa"/>
            <w:tcBorders>
              <w:top w:val="nil"/>
              <w:left w:val="nil"/>
              <w:bottom w:val="single" w:sz="4" w:space="0" w:color="auto"/>
              <w:right w:val="single" w:sz="4" w:space="0" w:color="auto"/>
            </w:tcBorders>
            <w:vAlign w:val="center"/>
          </w:tcPr>
          <w:p w14:paraId="5C5DD563"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7家</w:t>
            </w:r>
          </w:p>
        </w:tc>
        <w:tc>
          <w:tcPr>
            <w:tcW w:w="755" w:type="dxa"/>
            <w:gridSpan w:val="2"/>
            <w:tcBorders>
              <w:top w:val="single" w:sz="4" w:space="0" w:color="auto"/>
              <w:left w:val="nil"/>
              <w:bottom w:val="single" w:sz="4" w:space="0" w:color="auto"/>
              <w:right w:val="single" w:sz="4" w:space="0" w:color="000000"/>
            </w:tcBorders>
            <w:vAlign w:val="center"/>
          </w:tcPr>
          <w:p w14:paraId="16D02231"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9BC6281"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5B1BCB40" w14:textId="77777777" w:rsidR="00A24705" w:rsidRDefault="00A24705">
            <w:pPr>
              <w:jc w:val="center"/>
              <w:rPr>
                <w:rFonts w:ascii="宋体" w:eastAsia="宋体" w:hAnsi="宋体" w:cs="宋体" w:hint="eastAsia"/>
                <w:color w:val="000000"/>
                <w:sz w:val="18"/>
                <w:szCs w:val="18"/>
              </w:rPr>
            </w:pPr>
          </w:p>
        </w:tc>
      </w:tr>
      <w:tr w:rsidR="00A24705" w14:paraId="186E3E2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78167C" w14:textId="77777777" w:rsidR="00A24705" w:rsidRDefault="00A2470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F036E03" w14:textId="77777777" w:rsidR="00A24705" w:rsidRDefault="00A2470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1A03032" w14:textId="77777777" w:rsidR="00A24705" w:rsidRDefault="00A2470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965D677" w14:textId="77777777" w:rsidR="00A2470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涉及城中村改造户数</w:t>
            </w:r>
            <w:proofErr w:type="spellEnd"/>
          </w:p>
        </w:tc>
        <w:tc>
          <w:tcPr>
            <w:tcW w:w="1125" w:type="dxa"/>
            <w:tcBorders>
              <w:top w:val="nil"/>
              <w:left w:val="nil"/>
              <w:bottom w:val="single" w:sz="4" w:space="0" w:color="auto"/>
              <w:right w:val="single" w:sz="4" w:space="0" w:color="auto"/>
            </w:tcBorders>
            <w:vAlign w:val="center"/>
          </w:tcPr>
          <w:p w14:paraId="32E16714"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=16户</w:t>
            </w:r>
          </w:p>
        </w:tc>
        <w:tc>
          <w:tcPr>
            <w:tcW w:w="1229" w:type="dxa"/>
            <w:tcBorders>
              <w:top w:val="nil"/>
              <w:left w:val="nil"/>
              <w:bottom w:val="single" w:sz="4" w:space="0" w:color="auto"/>
              <w:right w:val="single" w:sz="4" w:space="0" w:color="auto"/>
            </w:tcBorders>
            <w:vAlign w:val="center"/>
          </w:tcPr>
          <w:p w14:paraId="0C3C278F"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15户</w:t>
            </w:r>
          </w:p>
        </w:tc>
        <w:tc>
          <w:tcPr>
            <w:tcW w:w="755" w:type="dxa"/>
            <w:gridSpan w:val="2"/>
            <w:tcBorders>
              <w:top w:val="single" w:sz="4" w:space="0" w:color="auto"/>
              <w:left w:val="nil"/>
              <w:bottom w:val="single" w:sz="4" w:space="0" w:color="auto"/>
              <w:right w:val="single" w:sz="4" w:space="0" w:color="000000"/>
            </w:tcBorders>
            <w:vAlign w:val="center"/>
          </w:tcPr>
          <w:p w14:paraId="7AC662C0"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7C75CBB"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9.38</w:t>
            </w:r>
          </w:p>
        </w:tc>
        <w:tc>
          <w:tcPr>
            <w:tcW w:w="1984" w:type="dxa"/>
            <w:gridSpan w:val="2"/>
            <w:tcBorders>
              <w:top w:val="single" w:sz="4" w:space="0" w:color="auto"/>
              <w:left w:val="nil"/>
              <w:bottom w:val="single" w:sz="4" w:space="0" w:color="auto"/>
              <w:right w:val="single" w:sz="4" w:space="0" w:color="auto"/>
            </w:tcBorders>
            <w:vAlign w:val="center"/>
          </w:tcPr>
          <w:p w14:paraId="263D4AE0" w14:textId="77777777" w:rsidR="00A24705" w:rsidRDefault="00000000">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因1户被征收户对征收方案不满意，因此未能对补偿协议达成一致，未对其协议金额进行审计等工作。</w:t>
            </w:r>
          </w:p>
        </w:tc>
      </w:tr>
      <w:tr w:rsidR="00A24705" w14:paraId="65C9B30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5342A5" w14:textId="77777777" w:rsidR="00A24705" w:rsidRDefault="00A2470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0D30A40A" w14:textId="77777777" w:rsidR="00A24705" w:rsidRDefault="00A24705">
            <w:pPr>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1E11BCEC"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989606F" w14:textId="77777777" w:rsidR="00A2470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资金支付到位率</w:t>
            </w:r>
            <w:proofErr w:type="spellEnd"/>
          </w:p>
        </w:tc>
        <w:tc>
          <w:tcPr>
            <w:tcW w:w="1125" w:type="dxa"/>
            <w:tcBorders>
              <w:top w:val="nil"/>
              <w:left w:val="nil"/>
              <w:bottom w:val="single" w:sz="4" w:space="0" w:color="auto"/>
              <w:right w:val="single" w:sz="4" w:space="0" w:color="auto"/>
            </w:tcBorders>
            <w:vAlign w:val="center"/>
          </w:tcPr>
          <w:p w14:paraId="16454CBB"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B9D6391"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001B65F"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CBE4EBA"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BDF04D8" w14:textId="77777777" w:rsidR="00A24705" w:rsidRDefault="00A24705">
            <w:pPr>
              <w:jc w:val="center"/>
              <w:rPr>
                <w:rFonts w:ascii="宋体" w:eastAsia="宋体" w:hAnsi="宋体" w:cs="宋体" w:hint="eastAsia"/>
                <w:color w:val="000000"/>
                <w:sz w:val="18"/>
                <w:szCs w:val="18"/>
              </w:rPr>
            </w:pPr>
          </w:p>
        </w:tc>
      </w:tr>
      <w:tr w:rsidR="00A24705" w14:paraId="2D01754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E6D8CF" w14:textId="77777777" w:rsidR="00A24705" w:rsidRDefault="00A2470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41843EF" w14:textId="77777777" w:rsidR="00A24705" w:rsidRDefault="00A2470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31F2ED49" w14:textId="77777777" w:rsidR="00A24705" w:rsidRDefault="00A2470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F85CB9B" w14:textId="77777777" w:rsidR="00A2470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竣工验收合格率</w:t>
            </w:r>
            <w:proofErr w:type="spellEnd"/>
          </w:p>
        </w:tc>
        <w:tc>
          <w:tcPr>
            <w:tcW w:w="1125" w:type="dxa"/>
            <w:tcBorders>
              <w:top w:val="nil"/>
              <w:left w:val="nil"/>
              <w:bottom w:val="single" w:sz="4" w:space="0" w:color="auto"/>
              <w:right w:val="single" w:sz="4" w:space="0" w:color="auto"/>
            </w:tcBorders>
            <w:vAlign w:val="center"/>
          </w:tcPr>
          <w:p w14:paraId="5AE0DB17"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7F41DCC4"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1CBF3C1F"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F7240E8"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D3107B5" w14:textId="77777777" w:rsidR="00A24705" w:rsidRDefault="00A24705">
            <w:pPr>
              <w:jc w:val="center"/>
              <w:rPr>
                <w:rFonts w:ascii="宋体" w:eastAsia="宋体" w:hAnsi="宋体" w:cs="宋体" w:hint="eastAsia"/>
                <w:color w:val="000000"/>
                <w:sz w:val="18"/>
                <w:szCs w:val="18"/>
              </w:rPr>
            </w:pPr>
          </w:p>
        </w:tc>
      </w:tr>
      <w:tr w:rsidR="00A24705" w14:paraId="687407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BFE2746" w14:textId="77777777" w:rsidR="00A24705" w:rsidRDefault="00A2470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50357E86" w14:textId="77777777" w:rsidR="00A24705" w:rsidRDefault="00A2470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2F43A935"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1BF1784" w14:textId="77777777" w:rsidR="00A24705" w:rsidRDefault="00000000">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资金支付及时率</w:t>
            </w:r>
            <w:proofErr w:type="spellEnd"/>
          </w:p>
        </w:tc>
        <w:tc>
          <w:tcPr>
            <w:tcW w:w="1125" w:type="dxa"/>
            <w:tcBorders>
              <w:top w:val="nil"/>
              <w:left w:val="nil"/>
              <w:bottom w:val="single" w:sz="4" w:space="0" w:color="auto"/>
              <w:right w:val="single" w:sz="4" w:space="0" w:color="auto"/>
            </w:tcBorders>
            <w:vAlign w:val="center"/>
          </w:tcPr>
          <w:p w14:paraId="2AF604D0"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B235B95"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67D298F"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AB04943"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7F761E8" w14:textId="77777777" w:rsidR="00A24705" w:rsidRDefault="00A24705">
            <w:pPr>
              <w:jc w:val="center"/>
              <w:rPr>
                <w:rFonts w:ascii="宋体" w:eastAsia="宋体" w:hAnsi="宋体" w:cs="宋体" w:hint="eastAsia"/>
                <w:color w:val="000000"/>
                <w:sz w:val="18"/>
                <w:szCs w:val="18"/>
              </w:rPr>
            </w:pPr>
          </w:p>
        </w:tc>
      </w:tr>
      <w:tr w:rsidR="00A24705" w14:paraId="265C4D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660F8AC" w14:textId="77777777" w:rsidR="00A24705" w:rsidRDefault="00A2470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130B5B4"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vMerge w:val="restart"/>
            <w:tcBorders>
              <w:top w:val="nil"/>
              <w:left w:val="nil"/>
              <w:right w:val="single" w:sz="4" w:space="0" w:color="auto"/>
            </w:tcBorders>
            <w:vAlign w:val="center"/>
          </w:tcPr>
          <w:p w14:paraId="14B77E5B"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w:t>
            </w:r>
            <w:r>
              <w:rPr>
                <w:rFonts w:ascii="宋体" w:eastAsia="宋体" w:hAnsi="宋体" w:cs="宋体" w:hint="eastAsia"/>
                <w:color w:val="000000"/>
                <w:sz w:val="18"/>
                <w:szCs w:val="18"/>
              </w:rPr>
              <w:lastRenderedPageBreak/>
              <w:t>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E7712DE" w14:textId="77777777" w:rsidR="00A2470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lastRenderedPageBreak/>
              <w:t>保证第三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公司发展</w:t>
            </w:r>
          </w:p>
        </w:tc>
        <w:tc>
          <w:tcPr>
            <w:tcW w:w="1125" w:type="dxa"/>
            <w:tcBorders>
              <w:top w:val="nil"/>
              <w:left w:val="nil"/>
              <w:bottom w:val="single" w:sz="4" w:space="0" w:color="auto"/>
              <w:right w:val="single" w:sz="4" w:space="0" w:color="auto"/>
            </w:tcBorders>
            <w:vAlign w:val="center"/>
          </w:tcPr>
          <w:p w14:paraId="191BB621"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1229" w:type="dxa"/>
            <w:tcBorders>
              <w:top w:val="nil"/>
              <w:left w:val="nil"/>
              <w:bottom w:val="single" w:sz="4" w:space="0" w:color="auto"/>
              <w:right w:val="single" w:sz="4" w:space="0" w:color="auto"/>
            </w:tcBorders>
            <w:vAlign w:val="center"/>
          </w:tcPr>
          <w:p w14:paraId="5726BD8B"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0442681F"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02A132F3"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7D2C44E7" w14:textId="77777777" w:rsidR="00A24705" w:rsidRDefault="00A24705">
            <w:pPr>
              <w:jc w:val="center"/>
              <w:rPr>
                <w:rFonts w:ascii="宋体" w:eastAsia="宋体" w:hAnsi="宋体" w:cs="宋体" w:hint="eastAsia"/>
                <w:color w:val="000000"/>
                <w:sz w:val="18"/>
                <w:szCs w:val="18"/>
              </w:rPr>
            </w:pPr>
          </w:p>
        </w:tc>
      </w:tr>
      <w:tr w:rsidR="00A24705" w14:paraId="4178E5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E1DBFA4" w14:textId="77777777" w:rsidR="00A24705" w:rsidRDefault="00A2470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164DDAD6" w14:textId="77777777" w:rsidR="00A24705" w:rsidRDefault="00A2470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43D0F891" w14:textId="77777777" w:rsidR="00A24705" w:rsidRDefault="00A2470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2DCAEB0" w14:textId="77777777" w:rsidR="00A2470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顺利推动人民医院项目开展</w:t>
            </w:r>
          </w:p>
        </w:tc>
        <w:tc>
          <w:tcPr>
            <w:tcW w:w="1125" w:type="dxa"/>
            <w:tcBorders>
              <w:top w:val="nil"/>
              <w:left w:val="nil"/>
              <w:bottom w:val="single" w:sz="4" w:space="0" w:color="auto"/>
              <w:right w:val="single" w:sz="4" w:space="0" w:color="auto"/>
            </w:tcBorders>
            <w:vAlign w:val="center"/>
          </w:tcPr>
          <w:p w14:paraId="272671E0"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有效推动</w:t>
            </w:r>
            <w:proofErr w:type="spellEnd"/>
          </w:p>
        </w:tc>
        <w:tc>
          <w:tcPr>
            <w:tcW w:w="1229" w:type="dxa"/>
            <w:tcBorders>
              <w:top w:val="nil"/>
              <w:left w:val="nil"/>
              <w:bottom w:val="single" w:sz="4" w:space="0" w:color="auto"/>
              <w:right w:val="single" w:sz="4" w:space="0" w:color="auto"/>
            </w:tcBorders>
            <w:vAlign w:val="center"/>
          </w:tcPr>
          <w:p w14:paraId="08EB7359"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4BB4D00F"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709" w:type="dxa"/>
            <w:gridSpan w:val="2"/>
            <w:tcBorders>
              <w:top w:val="single" w:sz="4" w:space="0" w:color="auto"/>
              <w:left w:val="nil"/>
              <w:bottom w:val="single" w:sz="4" w:space="0" w:color="auto"/>
              <w:right w:val="single" w:sz="4" w:space="0" w:color="000000"/>
            </w:tcBorders>
            <w:vAlign w:val="center"/>
          </w:tcPr>
          <w:p w14:paraId="729EA829"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w:t>
            </w:r>
          </w:p>
        </w:tc>
        <w:tc>
          <w:tcPr>
            <w:tcW w:w="1984" w:type="dxa"/>
            <w:gridSpan w:val="2"/>
            <w:tcBorders>
              <w:top w:val="single" w:sz="4" w:space="0" w:color="auto"/>
              <w:left w:val="nil"/>
              <w:bottom w:val="single" w:sz="4" w:space="0" w:color="auto"/>
              <w:right w:val="single" w:sz="4" w:space="0" w:color="auto"/>
            </w:tcBorders>
            <w:vAlign w:val="center"/>
          </w:tcPr>
          <w:p w14:paraId="4BA62F7F" w14:textId="77777777" w:rsidR="00A24705" w:rsidRDefault="00A24705">
            <w:pPr>
              <w:jc w:val="center"/>
              <w:rPr>
                <w:rFonts w:ascii="宋体" w:eastAsia="宋体" w:hAnsi="宋体" w:cs="宋体" w:hint="eastAsia"/>
                <w:color w:val="000000"/>
                <w:sz w:val="18"/>
                <w:szCs w:val="18"/>
              </w:rPr>
            </w:pPr>
          </w:p>
        </w:tc>
      </w:tr>
      <w:tr w:rsidR="00A24705" w14:paraId="69D2545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61086E0" w14:textId="77777777" w:rsidR="00A24705" w:rsidRDefault="00A2470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53131577"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1E2B6B1F" w14:textId="77777777" w:rsidR="00A24705" w:rsidRDefault="00000000">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2B94587" w14:textId="77777777" w:rsidR="00A24705" w:rsidRDefault="00000000">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第三</w:t>
            </w:r>
            <w:proofErr w:type="gramStart"/>
            <w:r>
              <w:rPr>
                <w:rFonts w:ascii="宋体" w:eastAsia="宋体" w:hAnsi="宋体" w:cs="宋体" w:hint="eastAsia"/>
                <w:color w:val="000000"/>
                <w:sz w:val="18"/>
                <w:szCs w:val="18"/>
                <w:lang w:eastAsia="zh-CN"/>
              </w:rPr>
              <w:t>方服务</w:t>
            </w:r>
            <w:proofErr w:type="gramEnd"/>
            <w:r>
              <w:rPr>
                <w:rFonts w:ascii="宋体" w:eastAsia="宋体" w:hAnsi="宋体" w:cs="宋体" w:hint="eastAsia"/>
                <w:color w:val="000000"/>
                <w:sz w:val="18"/>
                <w:szCs w:val="18"/>
                <w:lang w:eastAsia="zh-CN"/>
              </w:rPr>
              <w:t>公司满意度</w:t>
            </w:r>
          </w:p>
        </w:tc>
        <w:tc>
          <w:tcPr>
            <w:tcW w:w="1125" w:type="dxa"/>
            <w:tcBorders>
              <w:top w:val="nil"/>
              <w:left w:val="nil"/>
              <w:bottom w:val="single" w:sz="4" w:space="0" w:color="auto"/>
              <w:right w:val="single" w:sz="4" w:space="0" w:color="auto"/>
            </w:tcBorders>
            <w:vAlign w:val="center"/>
          </w:tcPr>
          <w:p w14:paraId="18AD078A"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4106F527"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90%</w:t>
            </w:r>
          </w:p>
        </w:tc>
        <w:tc>
          <w:tcPr>
            <w:tcW w:w="755" w:type="dxa"/>
            <w:gridSpan w:val="2"/>
            <w:tcBorders>
              <w:top w:val="single" w:sz="4" w:space="0" w:color="auto"/>
              <w:left w:val="nil"/>
              <w:bottom w:val="single" w:sz="4" w:space="0" w:color="auto"/>
              <w:right w:val="single" w:sz="4" w:space="0" w:color="000000"/>
            </w:tcBorders>
            <w:vAlign w:val="center"/>
          </w:tcPr>
          <w:p w14:paraId="42F7B69B"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251F31" w14:textId="77777777" w:rsidR="00A24705" w:rsidRDefault="00000000">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F2A6E33" w14:textId="77777777" w:rsidR="00A24705" w:rsidRDefault="00A24705">
            <w:pPr>
              <w:jc w:val="center"/>
              <w:rPr>
                <w:rFonts w:ascii="宋体" w:eastAsia="宋体" w:hAnsi="宋体" w:cs="宋体" w:hint="eastAsia"/>
                <w:color w:val="000000"/>
                <w:sz w:val="18"/>
                <w:szCs w:val="18"/>
              </w:rPr>
            </w:pPr>
          </w:p>
        </w:tc>
      </w:tr>
      <w:tr w:rsidR="00A24705" w14:paraId="15F91EFB"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4FBA30B" w14:textId="77777777" w:rsidR="00A24705" w:rsidRDefault="00000000">
            <w:pPr>
              <w:jc w:val="center"/>
              <w:rPr>
                <w:rFonts w:ascii="宋体" w:eastAsia="宋体" w:hAnsi="宋体" w:cs="宋体" w:hint="eastAsia"/>
                <w:b/>
                <w:bCs/>
                <w:color w:val="000000"/>
                <w:sz w:val="18"/>
                <w:szCs w:val="18"/>
              </w:rPr>
            </w:pPr>
            <w:proofErr w:type="spellStart"/>
            <w:r>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04AAB15F" w14:textId="77777777" w:rsidR="00A2470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23632ADB" w14:textId="77777777" w:rsidR="00A24705" w:rsidRDefault="00000000">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99.38分</w:t>
            </w:r>
          </w:p>
        </w:tc>
        <w:tc>
          <w:tcPr>
            <w:tcW w:w="1984" w:type="dxa"/>
            <w:gridSpan w:val="2"/>
            <w:tcBorders>
              <w:top w:val="single" w:sz="4" w:space="0" w:color="auto"/>
              <w:left w:val="nil"/>
              <w:bottom w:val="single" w:sz="4" w:space="0" w:color="auto"/>
              <w:right w:val="single" w:sz="4" w:space="0" w:color="auto"/>
            </w:tcBorders>
            <w:vAlign w:val="center"/>
          </w:tcPr>
          <w:p w14:paraId="2E6FE6E1" w14:textId="77777777" w:rsidR="00A24705" w:rsidRDefault="00A24705">
            <w:pPr>
              <w:jc w:val="center"/>
              <w:rPr>
                <w:rFonts w:ascii="宋体" w:eastAsia="宋体" w:hAnsi="宋体" w:cs="宋体" w:hint="eastAsia"/>
                <w:b/>
                <w:bCs/>
                <w:color w:val="000000"/>
                <w:sz w:val="18"/>
                <w:szCs w:val="18"/>
              </w:rPr>
            </w:pPr>
          </w:p>
        </w:tc>
      </w:tr>
    </w:tbl>
    <w:p w14:paraId="1126437A" w14:textId="77777777" w:rsidR="00A24705" w:rsidRDefault="00A24705">
      <w:pPr>
        <w:spacing w:after="0" w:line="240" w:lineRule="auto"/>
        <w:ind w:firstLineChars="200" w:firstLine="640"/>
        <w:jc w:val="both"/>
        <w:rPr>
          <w:rFonts w:ascii="仿宋_GB2312" w:eastAsia="仿宋_GB2312"/>
          <w:sz w:val="32"/>
          <w:szCs w:val="32"/>
        </w:rPr>
      </w:pPr>
    </w:p>
    <w:p w14:paraId="03F74CF5" w14:textId="77777777" w:rsidR="00A2470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14FF7DE" w14:textId="77777777" w:rsidR="00A2470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33E4E793" w14:textId="77777777" w:rsidR="00A24705" w:rsidRDefault="00A24705">
      <w:pPr>
        <w:spacing w:after="0" w:line="240" w:lineRule="auto"/>
        <w:ind w:firstLineChars="200" w:firstLine="640"/>
        <w:rPr>
          <w:rFonts w:ascii="仿宋_GB2312" w:eastAsia="仿宋_GB2312"/>
          <w:sz w:val="32"/>
          <w:szCs w:val="32"/>
          <w:lang w:eastAsia="zh-CN"/>
        </w:rPr>
      </w:pPr>
    </w:p>
    <w:p w14:paraId="6F94C9C4" w14:textId="77777777" w:rsidR="00A24705" w:rsidRDefault="00000000">
      <w:pPr>
        <w:rPr>
          <w:lang w:eastAsia="zh-CN"/>
        </w:rPr>
      </w:pPr>
      <w:r>
        <w:rPr>
          <w:sz w:val="0"/>
          <w:szCs w:val="0"/>
          <w:lang w:eastAsia="zh-CN"/>
        </w:rPr>
        <w:br w:type="page"/>
      </w:r>
    </w:p>
    <w:p w14:paraId="3A0D5C77" w14:textId="77777777" w:rsidR="00A2470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2DA1093D"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5EC31FE"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146A608"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E5C42B2"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4776C93"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48D08F0"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019CA83F"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1EF302E"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01856DE"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0C92EEE"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11A47B8"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83E0421"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E315F3A"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71EEEF7" w14:textId="77777777" w:rsidR="00A2470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8C24ABB" w14:textId="77777777" w:rsidR="00A24705" w:rsidRDefault="00000000">
      <w:pPr>
        <w:rPr>
          <w:lang w:eastAsia="zh-CN"/>
        </w:rPr>
      </w:pPr>
      <w:r>
        <w:rPr>
          <w:sz w:val="0"/>
          <w:szCs w:val="0"/>
          <w:lang w:eastAsia="zh-CN"/>
        </w:rPr>
        <w:br w:type="page"/>
      </w:r>
    </w:p>
    <w:p w14:paraId="10B9A8F9" w14:textId="77777777" w:rsidR="00A2470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3D942569"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76BF586"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3B7015B"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EBBB449"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2001F26"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9B7CB58"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B00E74E"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CB66A64"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D1C23A4" w14:textId="77777777" w:rsidR="00A2470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2470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5E021B" w14:textId="77777777" w:rsidR="00A832A3" w:rsidRDefault="00A832A3">
      <w:pPr>
        <w:spacing w:line="240" w:lineRule="auto"/>
      </w:pPr>
      <w:r>
        <w:separator/>
      </w:r>
    </w:p>
  </w:endnote>
  <w:endnote w:type="continuationSeparator" w:id="0">
    <w:p w14:paraId="5F9DCF6B" w14:textId="77777777" w:rsidR="00A832A3" w:rsidRDefault="00A832A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45EFB7" w14:textId="77777777" w:rsidR="00A832A3" w:rsidRDefault="00A832A3">
      <w:pPr>
        <w:spacing w:after="0"/>
      </w:pPr>
      <w:r>
        <w:separator/>
      </w:r>
    </w:p>
  </w:footnote>
  <w:footnote w:type="continuationSeparator" w:id="0">
    <w:p w14:paraId="6DEA4B6A" w14:textId="77777777" w:rsidR="00A832A3" w:rsidRDefault="00A832A3">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24705"/>
    <w:rsid w:val="003872A8"/>
    <w:rsid w:val="009E600C"/>
    <w:rsid w:val="00A24705"/>
    <w:rsid w:val="00A832A3"/>
    <w:rsid w:val="00CB1A4D"/>
    <w:rsid w:val="019404F8"/>
    <w:rsid w:val="045A1585"/>
    <w:rsid w:val="04C17856"/>
    <w:rsid w:val="05A21435"/>
    <w:rsid w:val="112847B9"/>
    <w:rsid w:val="11627CCB"/>
    <w:rsid w:val="116559AD"/>
    <w:rsid w:val="12977E48"/>
    <w:rsid w:val="12AA7B7B"/>
    <w:rsid w:val="13B81E24"/>
    <w:rsid w:val="15EE4223"/>
    <w:rsid w:val="186D55EC"/>
    <w:rsid w:val="1A78055F"/>
    <w:rsid w:val="1BDE2644"/>
    <w:rsid w:val="1CFE11EF"/>
    <w:rsid w:val="1F684C6C"/>
    <w:rsid w:val="1FB97650"/>
    <w:rsid w:val="21816248"/>
    <w:rsid w:val="273D2914"/>
    <w:rsid w:val="283F26BC"/>
    <w:rsid w:val="29D11A3A"/>
    <w:rsid w:val="2DF9330D"/>
    <w:rsid w:val="2F48454C"/>
    <w:rsid w:val="32317519"/>
    <w:rsid w:val="32D85BE7"/>
    <w:rsid w:val="344E43B3"/>
    <w:rsid w:val="348222AE"/>
    <w:rsid w:val="35611EC4"/>
    <w:rsid w:val="38AD71CE"/>
    <w:rsid w:val="3C177780"/>
    <w:rsid w:val="3F4731EA"/>
    <w:rsid w:val="432667E5"/>
    <w:rsid w:val="44CE0BF8"/>
    <w:rsid w:val="480C5CBF"/>
    <w:rsid w:val="484C6A03"/>
    <w:rsid w:val="4EE31744"/>
    <w:rsid w:val="4FEE71CD"/>
    <w:rsid w:val="548F292A"/>
    <w:rsid w:val="55CC2F32"/>
    <w:rsid w:val="59253085"/>
    <w:rsid w:val="5A5C0D28"/>
    <w:rsid w:val="5D6B74D4"/>
    <w:rsid w:val="5F3A53B0"/>
    <w:rsid w:val="63704D6B"/>
    <w:rsid w:val="650A7F98"/>
    <w:rsid w:val="67562897"/>
    <w:rsid w:val="681A5D7E"/>
    <w:rsid w:val="68BE495C"/>
    <w:rsid w:val="68DB73B1"/>
    <w:rsid w:val="6CD72490"/>
    <w:rsid w:val="6E3439CF"/>
    <w:rsid w:val="719D5B13"/>
    <w:rsid w:val="74C94DB4"/>
    <w:rsid w:val="758B3E18"/>
    <w:rsid w:val="79782905"/>
    <w:rsid w:val="79FA156C"/>
    <w:rsid w:val="7A523156"/>
    <w:rsid w:val="7B8C08E9"/>
    <w:rsid w:val="7CF6426C"/>
    <w:rsid w:val="7DCE34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28422F"/>
  <w15:docId w15:val="{20175EF7-1FA5-4B70-AFF4-EF017BED3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CB1A4D"/>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CB1A4D"/>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18</Pages>
  <Words>4271</Words>
  <Characters>4912</Characters>
  <Application>Microsoft Office Word</Application>
  <DocSecurity>0</DocSecurity>
  <Lines>377</Lines>
  <Paragraphs>306</Paragraphs>
  <ScaleCrop>false</ScaleCrop>
  <Company/>
  <LinksUpToDate>false</LinksUpToDate>
  <CharactersWithSpaces>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2025-10-10T08:35:00Z</dcterms:created>
  <dcterms:modified xsi:type="dcterms:W3CDTF">2025-10-14T08:44:00Z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BCEADB135E1E4F96B3E8F7E58D191331_12</vt:lpwstr>
  </property>
</Properties>
</file>