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B57DF4" w14:textId="77777777" w:rsidR="00E37335" w:rsidRDefault="00E37335">
      <w:pPr>
        <w:spacing w:after="0" w:line="240" w:lineRule="auto"/>
        <w:rPr>
          <w:rFonts w:ascii="宋体" w:eastAsia="宋体"/>
          <w:sz w:val="32"/>
          <w:szCs w:val="32"/>
        </w:rPr>
      </w:pPr>
    </w:p>
    <w:p w14:paraId="10ADC506" w14:textId="77777777" w:rsidR="00E37335" w:rsidRDefault="00E37335">
      <w:pPr>
        <w:spacing w:after="0" w:line="240" w:lineRule="auto"/>
        <w:rPr>
          <w:rFonts w:ascii="宋体" w:eastAsia="宋体"/>
          <w:sz w:val="44"/>
          <w:szCs w:val="44"/>
        </w:rPr>
      </w:pPr>
    </w:p>
    <w:p w14:paraId="756C2050" w14:textId="77777777" w:rsidR="00E37335" w:rsidRDefault="00E37335">
      <w:pPr>
        <w:spacing w:after="0" w:line="240" w:lineRule="auto"/>
        <w:rPr>
          <w:rFonts w:ascii="宋体" w:eastAsia="宋体"/>
          <w:sz w:val="44"/>
          <w:szCs w:val="44"/>
        </w:rPr>
      </w:pPr>
    </w:p>
    <w:p w14:paraId="5020928D" w14:textId="77777777" w:rsidR="00E37335" w:rsidRDefault="00E37335">
      <w:pPr>
        <w:spacing w:after="0" w:line="240" w:lineRule="auto"/>
        <w:rPr>
          <w:rFonts w:ascii="宋体" w:eastAsia="宋体"/>
          <w:sz w:val="44"/>
          <w:szCs w:val="44"/>
        </w:rPr>
      </w:pPr>
    </w:p>
    <w:p w14:paraId="0CA2FDDF" w14:textId="77777777" w:rsidR="00E37335"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乌鲁木齐市米东区盛达东路片区管理委员会</w:t>
      </w:r>
    </w:p>
    <w:p w14:paraId="63F214E6" w14:textId="77777777" w:rsidR="00E37335"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918A0EE" w14:textId="77777777" w:rsidR="00E37335" w:rsidRDefault="00000000">
      <w:pPr>
        <w:rPr>
          <w:lang w:eastAsia="zh-CN"/>
        </w:rPr>
      </w:pPr>
      <w:r>
        <w:rPr>
          <w:sz w:val="0"/>
          <w:szCs w:val="0"/>
          <w:lang w:eastAsia="zh-CN"/>
        </w:rPr>
        <w:br w:type="page"/>
      </w:r>
    </w:p>
    <w:p w14:paraId="20E2C173" w14:textId="77777777" w:rsidR="00E37335"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36241D56" w14:textId="77777777" w:rsidR="00E37335"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22864DCD"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56377FC"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3FEAF1A" w14:textId="77777777" w:rsidR="00E37335"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C9046E4"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45FC9FD9"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78D2DF7"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4E28FFF2"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5EFCEFE"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BE4A537"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DA2F8A2"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70294DE5"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B9E2B85"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DF88BB8"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314FC2B"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171ACDDF"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7A58AC17"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36CEE485"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3A218707"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345E0AD"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AC90B1E"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DBC2F34"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276BA54D" w14:textId="77777777" w:rsidR="00E37335"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7B1326B" w14:textId="77777777" w:rsidR="00E37335"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13E81C99"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A9DD85F"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4829698"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40D81624"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CD64383"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2E8C9AB"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78D46C4"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41E09609"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FE8B707" w14:textId="77777777" w:rsidR="00E37335"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DC266A0" w14:textId="77777777" w:rsidR="00E37335" w:rsidRDefault="00000000">
      <w:pPr>
        <w:rPr>
          <w:lang w:eastAsia="zh-CN"/>
        </w:rPr>
      </w:pPr>
      <w:r>
        <w:rPr>
          <w:sz w:val="0"/>
          <w:szCs w:val="0"/>
          <w:lang w:eastAsia="zh-CN"/>
        </w:rPr>
        <w:br w:type="page"/>
      </w:r>
    </w:p>
    <w:p w14:paraId="25E7F539" w14:textId="77777777" w:rsidR="00E37335"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EB7512A" w14:textId="77777777" w:rsidR="00E3733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9B1A0B5"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（一）统一领导和管理辖区党务、行政和社会事务工作，促进片区管委会和谐发展；拟订并组织实施片区管委会发展规划、强化</w:t>
      </w:r>
      <w:r>
        <w:rPr>
          <w:rFonts w:ascii="仿宋_GB2312" w:eastAsia="仿宋_GB2312"/>
          <w:sz w:val="32"/>
          <w:szCs w:val="32"/>
          <w:lang w:eastAsia="zh-CN"/>
        </w:rPr>
        <w:t>“</w:t>
      </w:r>
      <w:r>
        <w:rPr>
          <w:rFonts w:ascii="仿宋_GB2312" w:eastAsia="仿宋_GB2312"/>
          <w:sz w:val="32"/>
          <w:szCs w:val="32"/>
          <w:lang w:eastAsia="zh-CN"/>
        </w:rPr>
        <w:t>两个机制</w:t>
      </w:r>
      <w:r>
        <w:rPr>
          <w:rFonts w:ascii="仿宋_GB2312" w:eastAsia="仿宋_GB2312"/>
          <w:sz w:val="32"/>
          <w:szCs w:val="32"/>
          <w:lang w:eastAsia="zh-CN"/>
        </w:rPr>
        <w:t>”</w:t>
      </w:r>
      <w:r>
        <w:rPr>
          <w:rFonts w:ascii="仿宋_GB2312" w:eastAsia="仿宋_GB2312"/>
          <w:sz w:val="32"/>
          <w:szCs w:val="32"/>
          <w:lang w:eastAsia="zh-CN"/>
        </w:rPr>
        <w:t>、夯实基层基础工作的建议和措施；统筹整合辖区行政、社会、公共服务资源，综合协调相关职能部门和驻区企事业单位，为辖区居民提供民生保障、社会治安、城市管理等综合服务；对相关职能部门和驻区企事业单位履行社会管理和公共服务职能欠款进行监督、检查和考核。</w:t>
      </w:r>
    </w:p>
    <w:p w14:paraId="5E6F2189"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（二）突出法治建设，树立政务服务</w:t>
      </w:r>
      <w:r>
        <w:rPr>
          <w:rFonts w:ascii="仿宋_GB2312" w:eastAsia="仿宋_GB2312"/>
          <w:sz w:val="32"/>
          <w:szCs w:val="32"/>
          <w:lang w:eastAsia="zh-CN"/>
        </w:rPr>
        <w:t>“</w:t>
      </w:r>
      <w:r>
        <w:rPr>
          <w:rFonts w:ascii="仿宋_GB2312" w:eastAsia="仿宋_GB2312"/>
          <w:sz w:val="32"/>
          <w:szCs w:val="32"/>
          <w:lang w:eastAsia="zh-CN"/>
        </w:rPr>
        <w:t>新形象</w:t>
      </w:r>
      <w:r>
        <w:rPr>
          <w:rFonts w:ascii="仿宋_GB2312" w:eastAsia="仿宋_GB2312"/>
          <w:sz w:val="32"/>
          <w:szCs w:val="32"/>
          <w:lang w:eastAsia="zh-CN"/>
        </w:rPr>
        <w:t>”</w:t>
      </w:r>
      <w:r>
        <w:rPr>
          <w:rFonts w:ascii="仿宋_GB2312" w:eastAsia="仿宋_GB2312"/>
          <w:sz w:val="32"/>
          <w:szCs w:val="32"/>
          <w:lang w:eastAsia="zh-CN"/>
        </w:rPr>
        <w:t>。加强业务工作中涉及的基本法律法规、各种法律关系及法律程序学习，推进片区及社区结构、职能、权限、程序、责任法定化要求落实，坚持政务公开，贯彻依法行政，对</w:t>
      </w:r>
      <w:proofErr w:type="gramStart"/>
      <w:r>
        <w:rPr>
          <w:rFonts w:ascii="仿宋_GB2312" w:eastAsia="仿宋_GB2312"/>
          <w:sz w:val="32"/>
          <w:szCs w:val="32"/>
          <w:lang w:eastAsia="zh-CN"/>
        </w:rPr>
        <w:t>企实施</w:t>
      </w:r>
      <w:proofErr w:type="gramEnd"/>
      <w:r>
        <w:rPr>
          <w:rFonts w:ascii="仿宋_GB2312" w:eastAsia="仿宋_GB2312"/>
          <w:sz w:val="32"/>
          <w:szCs w:val="32"/>
          <w:lang w:eastAsia="zh-CN"/>
        </w:rPr>
        <w:t>“</w:t>
      </w:r>
      <w:r>
        <w:rPr>
          <w:rFonts w:ascii="仿宋_GB2312" w:eastAsia="仿宋_GB2312"/>
          <w:sz w:val="32"/>
          <w:szCs w:val="32"/>
          <w:lang w:eastAsia="zh-CN"/>
        </w:rPr>
        <w:t>温情执法</w:t>
      </w:r>
      <w:r>
        <w:rPr>
          <w:rFonts w:ascii="仿宋_GB2312" w:eastAsia="仿宋_GB2312"/>
          <w:sz w:val="32"/>
          <w:szCs w:val="32"/>
          <w:lang w:eastAsia="zh-CN"/>
        </w:rPr>
        <w:t>”</w:t>
      </w:r>
      <w:r>
        <w:rPr>
          <w:rFonts w:ascii="仿宋_GB2312" w:eastAsia="仿宋_GB2312"/>
          <w:sz w:val="32"/>
          <w:szCs w:val="32"/>
          <w:lang w:eastAsia="zh-CN"/>
        </w:rPr>
        <w:t>，营造良好营商环境。</w:t>
      </w:r>
    </w:p>
    <w:p w14:paraId="6866602E"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（三）坚持项目为重，实现企业贡献</w:t>
      </w:r>
      <w:r>
        <w:rPr>
          <w:rFonts w:ascii="仿宋_GB2312" w:eastAsia="仿宋_GB2312"/>
          <w:sz w:val="32"/>
          <w:szCs w:val="32"/>
          <w:lang w:eastAsia="zh-CN"/>
        </w:rPr>
        <w:t>“</w:t>
      </w:r>
      <w:r>
        <w:rPr>
          <w:rFonts w:ascii="仿宋_GB2312" w:eastAsia="仿宋_GB2312"/>
          <w:sz w:val="32"/>
          <w:szCs w:val="32"/>
          <w:lang w:eastAsia="zh-CN"/>
        </w:rPr>
        <w:t>新增长</w:t>
      </w:r>
      <w:r>
        <w:rPr>
          <w:rFonts w:ascii="仿宋_GB2312" w:eastAsia="仿宋_GB2312"/>
          <w:sz w:val="32"/>
          <w:szCs w:val="32"/>
          <w:lang w:eastAsia="zh-CN"/>
        </w:rPr>
        <w:t>”</w:t>
      </w:r>
      <w:r>
        <w:rPr>
          <w:rFonts w:ascii="仿宋_GB2312" w:eastAsia="仿宋_GB2312"/>
          <w:sz w:val="32"/>
          <w:szCs w:val="32"/>
          <w:lang w:eastAsia="zh-CN"/>
        </w:rPr>
        <w:t>。抓牢自贸试验区</w:t>
      </w:r>
      <w:proofErr w:type="gramStart"/>
      <w:r>
        <w:rPr>
          <w:rFonts w:ascii="仿宋_GB2312" w:eastAsia="仿宋_GB2312"/>
          <w:sz w:val="32"/>
          <w:szCs w:val="32"/>
          <w:lang w:eastAsia="zh-CN"/>
        </w:rPr>
        <w:t>米东功能</w:t>
      </w:r>
      <w:proofErr w:type="gramEnd"/>
      <w:r>
        <w:rPr>
          <w:rFonts w:ascii="仿宋_GB2312" w:eastAsia="仿宋_GB2312"/>
          <w:sz w:val="32"/>
          <w:szCs w:val="32"/>
          <w:lang w:eastAsia="zh-CN"/>
        </w:rPr>
        <w:t>区建设机遇，对辖区重点企业、重点项目探索实行</w:t>
      </w:r>
      <w:r>
        <w:rPr>
          <w:rFonts w:ascii="仿宋_GB2312" w:eastAsia="仿宋_GB2312"/>
          <w:sz w:val="32"/>
          <w:szCs w:val="32"/>
          <w:lang w:eastAsia="zh-CN"/>
        </w:rPr>
        <w:t>“</w:t>
      </w:r>
      <w:r>
        <w:rPr>
          <w:rFonts w:ascii="仿宋_GB2312" w:eastAsia="仿宋_GB2312"/>
          <w:sz w:val="32"/>
          <w:szCs w:val="32"/>
          <w:lang w:eastAsia="zh-CN"/>
        </w:rPr>
        <w:t>一名班子成员、一套方案、一抓到底</w:t>
      </w:r>
      <w:r>
        <w:rPr>
          <w:rFonts w:ascii="仿宋_GB2312" w:eastAsia="仿宋_GB2312"/>
          <w:sz w:val="32"/>
          <w:szCs w:val="32"/>
          <w:lang w:eastAsia="zh-CN"/>
        </w:rPr>
        <w:t>”</w:t>
      </w:r>
      <w:r>
        <w:rPr>
          <w:rFonts w:ascii="仿宋_GB2312" w:eastAsia="仿宋_GB2312"/>
          <w:sz w:val="32"/>
          <w:szCs w:val="32"/>
          <w:lang w:eastAsia="zh-CN"/>
        </w:rPr>
        <w:t>驻点精准帮扶工作制度，重点依托街道政企服务中心，强化多方资源整合及合作桥梁搭建，全过程开展贷款融资、人才招聘、环境保障、惠企政策落实等服务，积极推动企业拓展国外市场。</w:t>
      </w:r>
    </w:p>
    <w:p w14:paraId="3A84B5A1"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（四）聚焦环境整治，推动绿色园区</w:t>
      </w:r>
      <w:r>
        <w:rPr>
          <w:rFonts w:ascii="仿宋_GB2312" w:eastAsia="仿宋_GB2312"/>
          <w:sz w:val="32"/>
          <w:szCs w:val="32"/>
          <w:lang w:eastAsia="zh-CN"/>
        </w:rPr>
        <w:t>“</w:t>
      </w:r>
      <w:r>
        <w:rPr>
          <w:rFonts w:ascii="仿宋_GB2312" w:eastAsia="仿宋_GB2312"/>
          <w:sz w:val="32"/>
          <w:szCs w:val="32"/>
          <w:lang w:eastAsia="zh-CN"/>
        </w:rPr>
        <w:t>新发展</w:t>
      </w:r>
      <w:r>
        <w:rPr>
          <w:rFonts w:ascii="仿宋_GB2312" w:eastAsia="仿宋_GB2312"/>
          <w:sz w:val="32"/>
          <w:szCs w:val="32"/>
          <w:lang w:eastAsia="zh-CN"/>
        </w:rPr>
        <w:t>”</w:t>
      </w:r>
      <w:r>
        <w:rPr>
          <w:rFonts w:ascii="仿宋_GB2312" w:eastAsia="仿宋_GB2312"/>
          <w:sz w:val="32"/>
          <w:szCs w:val="32"/>
          <w:lang w:eastAsia="zh-CN"/>
        </w:rPr>
        <w:t>。积极与各行业部门、职能单位以及第三方机构寻求搭线合作，协调行业职能部门完善园区道路、电线杆及交通信号灯等市政设施修补建设，持续改造提升绿化景观水平，切实提升城市治理科学化精细化智能化水平，健全完善垃圾</w:t>
      </w:r>
      <w:proofErr w:type="gramStart"/>
      <w:r>
        <w:rPr>
          <w:rFonts w:ascii="仿宋_GB2312" w:eastAsia="仿宋_GB2312"/>
          <w:sz w:val="32"/>
          <w:szCs w:val="32"/>
          <w:lang w:eastAsia="zh-CN"/>
        </w:rPr>
        <w:t>分类全</w:t>
      </w:r>
      <w:proofErr w:type="gramEnd"/>
      <w:r>
        <w:rPr>
          <w:rFonts w:ascii="仿宋_GB2312" w:eastAsia="仿宋_GB2312"/>
          <w:sz w:val="32"/>
          <w:szCs w:val="32"/>
          <w:lang w:eastAsia="zh-CN"/>
        </w:rPr>
        <w:t>流程处理机制，常态</w:t>
      </w:r>
      <w:proofErr w:type="gramStart"/>
      <w:r>
        <w:rPr>
          <w:rFonts w:ascii="仿宋_GB2312" w:eastAsia="仿宋_GB2312"/>
          <w:sz w:val="32"/>
          <w:szCs w:val="32"/>
          <w:lang w:eastAsia="zh-CN"/>
        </w:rPr>
        <w:t>化开展</w:t>
      </w:r>
      <w:proofErr w:type="gramEnd"/>
      <w:r>
        <w:rPr>
          <w:rFonts w:ascii="仿宋_GB2312" w:eastAsia="仿宋_GB2312"/>
          <w:sz w:val="32"/>
          <w:szCs w:val="32"/>
          <w:lang w:eastAsia="zh-CN"/>
        </w:rPr>
        <w:t>占道经营等市容环境整治。</w:t>
      </w:r>
    </w:p>
    <w:p w14:paraId="1038B111"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（五）加强作风建设，干部能力</w:t>
      </w:r>
      <w:r>
        <w:rPr>
          <w:rFonts w:ascii="仿宋_GB2312" w:eastAsia="仿宋_GB2312"/>
          <w:sz w:val="32"/>
          <w:szCs w:val="32"/>
          <w:lang w:eastAsia="zh-CN"/>
        </w:rPr>
        <w:t>“</w:t>
      </w:r>
      <w:r>
        <w:rPr>
          <w:rFonts w:ascii="仿宋_GB2312" w:eastAsia="仿宋_GB2312"/>
          <w:sz w:val="32"/>
          <w:szCs w:val="32"/>
          <w:lang w:eastAsia="zh-CN"/>
        </w:rPr>
        <w:t>新提升</w:t>
      </w:r>
      <w:r>
        <w:rPr>
          <w:rFonts w:ascii="仿宋_GB2312" w:eastAsia="仿宋_GB2312"/>
          <w:sz w:val="32"/>
          <w:szCs w:val="32"/>
          <w:lang w:eastAsia="zh-CN"/>
        </w:rPr>
        <w:t>”</w:t>
      </w:r>
      <w:r>
        <w:rPr>
          <w:rFonts w:ascii="仿宋_GB2312" w:eastAsia="仿宋_GB2312"/>
          <w:sz w:val="32"/>
          <w:szCs w:val="32"/>
          <w:lang w:eastAsia="zh-CN"/>
        </w:rPr>
        <w:t>。引导干部加强理论学习、厚实理论功底，特别是要</w:t>
      </w:r>
      <w:proofErr w:type="gramStart"/>
      <w:r>
        <w:rPr>
          <w:rFonts w:ascii="仿宋_GB2312" w:eastAsia="仿宋_GB2312"/>
          <w:sz w:val="32"/>
          <w:szCs w:val="32"/>
          <w:lang w:eastAsia="zh-CN"/>
        </w:rPr>
        <w:t>把握好习近</w:t>
      </w:r>
      <w:proofErr w:type="gramEnd"/>
      <w:r>
        <w:rPr>
          <w:rFonts w:ascii="仿宋_GB2312" w:eastAsia="仿宋_GB2312"/>
          <w:sz w:val="32"/>
          <w:szCs w:val="32"/>
          <w:lang w:eastAsia="zh-CN"/>
        </w:rPr>
        <w:t>平新时代中国特色社会主义思想的世界观和方法论，使新时代党的创新理论真正成为干部提高解决实际问题能力、做好一切工作的看家本领。不断提升专业素养、丰富专业知识、提高专业能力、增强</w:t>
      </w:r>
      <w:r>
        <w:rPr>
          <w:rFonts w:ascii="仿宋_GB2312" w:eastAsia="仿宋_GB2312"/>
          <w:sz w:val="32"/>
          <w:szCs w:val="32"/>
          <w:lang w:eastAsia="zh-CN"/>
        </w:rPr>
        <w:lastRenderedPageBreak/>
        <w:t>专业本领。围绕企业服务、社会治理、安全生产等课题，分级分类分岗位组织专题培训，同时让干部下沉一线经风雨、见世面、壮筋骨、长才干。</w:t>
      </w:r>
    </w:p>
    <w:p w14:paraId="69ED88E7" w14:textId="77777777" w:rsidR="00E3733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58A9FACE" w14:textId="75F6F4E1" w:rsidR="00E3733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乌鲁木齐市米东区盛达东路片区管理委员会2024年度，实有人数93人，其中：在职人员93人，增加1人；离休人员0人，较上年无变化；退休人员0人，较上年无变化</w:t>
      </w:r>
      <w:r w:rsidR="006E76D1">
        <w:rPr>
          <w:rFonts w:ascii="仿宋_GB2312" w:eastAsia="仿宋_GB2312" w:hint="eastAsia"/>
          <w:sz w:val="32"/>
          <w:szCs w:val="32"/>
          <w:lang w:eastAsia="zh-CN"/>
        </w:rPr>
        <w:t>。</w:t>
      </w:r>
    </w:p>
    <w:p w14:paraId="0C079877"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乌鲁木齐市米东区盛达东路片区管理委员会无下属预算单位，下设9个</w:t>
      </w:r>
      <w:r>
        <w:rPr>
          <w:rFonts w:ascii="仿宋_GB2312" w:eastAsia="仿宋_GB2312" w:hint="eastAsia"/>
          <w:sz w:val="32"/>
          <w:szCs w:val="32"/>
          <w:lang w:eastAsia="zh-CN"/>
        </w:rPr>
        <w:t>科室</w:t>
      </w:r>
      <w:r>
        <w:rPr>
          <w:rFonts w:ascii="仿宋_GB2312" w:eastAsia="仿宋_GB2312"/>
          <w:sz w:val="32"/>
          <w:szCs w:val="32"/>
          <w:lang w:eastAsia="zh-CN"/>
        </w:rPr>
        <w:t>，分别是：综治中心（网格化服务中心）、防疫专员办公室（公共卫生服务指导中心）、党群服务中心、社会事务（统计）服务中心（退役军人服务站）、</w:t>
      </w:r>
      <w:proofErr w:type="gramStart"/>
      <w:r>
        <w:rPr>
          <w:rFonts w:ascii="仿宋_GB2312" w:eastAsia="仿宋_GB2312"/>
          <w:sz w:val="32"/>
          <w:szCs w:val="32"/>
          <w:lang w:eastAsia="zh-CN"/>
        </w:rPr>
        <w:t>瑞泰社区</w:t>
      </w:r>
      <w:proofErr w:type="gramEnd"/>
      <w:r>
        <w:rPr>
          <w:rFonts w:ascii="仿宋_GB2312" w:eastAsia="仿宋_GB2312"/>
          <w:sz w:val="32"/>
          <w:szCs w:val="32"/>
          <w:lang w:eastAsia="zh-CN"/>
        </w:rPr>
        <w:t>工作委员会、</w:t>
      </w:r>
      <w:proofErr w:type="gramStart"/>
      <w:r>
        <w:rPr>
          <w:rFonts w:ascii="仿宋_GB2312" w:eastAsia="仿宋_GB2312"/>
          <w:sz w:val="32"/>
          <w:szCs w:val="32"/>
          <w:lang w:eastAsia="zh-CN"/>
        </w:rPr>
        <w:t>瑞园社区</w:t>
      </w:r>
      <w:proofErr w:type="gramEnd"/>
      <w:r>
        <w:rPr>
          <w:rFonts w:ascii="仿宋_GB2312" w:eastAsia="仿宋_GB2312"/>
          <w:sz w:val="32"/>
          <w:szCs w:val="32"/>
          <w:lang w:eastAsia="zh-CN"/>
        </w:rPr>
        <w:t>工作委员会、瑞兴社区工作委员会、瑞华社区工作委员会、瑞康社区工作委员会。</w:t>
      </w:r>
    </w:p>
    <w:p w14:paraId="1A70C8BA" w14:textId="77777777" w:rsidR="00E37335" w:rsidRDefault="00000000">
      <w:pPr>
        <w:rPr>
          <w:lang w:eastAsia="zh-CN"/>
        </w:rPr>
      </w:pPr>
      <w:r>
        <w:rPr>
          <w:sz w:val="0"/>
          <w:szCs w:val="0"/>
          <w:lang w:eastAsia="zh-CN"/>
        </w:rPr>
        <w:br w:type="page"/>
      </w:r>
    </w:p>
    <w:p w14:paraId="73D14396" w14:textId="77777777" w:rsidR="00E37335"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3E1ABE4A" w14:textId="77777777" w:rsidR="00E3733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2302ECD5"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2024年度收入总计1,519.88万元，其中：本年收入合计1,519.88万元，使用非财政拨款结余（含专用结余）0.00万元，年初结转和结余0.00万元。</w:t>
      </w:r>
    </w:p>
    <w:p w14:paraId="424479F3"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2024年度支出总计1,519.88万元，其中：本年支出合计1,519.88万元，结余分配0.00万元，年末结转和结余0.00万元。</w:t>
      </w:r>
    </w:p>
    <w:p w14:paraId="58073F8F" w14:textId="1E67C605"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收入支出总体与上年相比，减少482.22万元，下降24.09%，主要原因是：</w:t>
      </w:r>
      <w:r w:rsidR="006E76D1">
        <w:rPr>
          <w:rFonts w:ascii="仿宋_GB2312" w:eastAsia="仿宋_GB2312" w:hint="eastAsia"/>
          <w:sz w:val="32"/>
          <w:szCs w:val="32"/>
          <w:lang w:eastAsia="zh-CN"/>
        </w:rPr>
        <w:t>单位本年长聘人员减少，</w:t>
      </w:r>
      <w:proofErr w:type="gramStart"/>
      <w:r w:rsidR="006E76D1">
        <w:rPr>
          <w:rFonts w:ascii="仿宋_GB2312" w:eastAsia="仿宋_GB2312" w:hint="eastAsia"/>
          <w:sz w:val="32"/>
          <w:szCs w:val="32"/>
          <w:lang w:eastAsia="zh-CN"/>
        </w:rPr>
        <w:t>长聘人员</w:t>
      </w:r>
      <w:proofErr w:type="gramEnd"/>
      <w:r w:rsidR="006E76D1">
        <w:rPr>
          <w:rFonts w:ascii="仿宋_GB2312" w:eastAsia="仿宋_GB2312" w:hint="eastAsia"/>
          <w:sz w:val="32"/>
          <w:szCs w:val="32"/>
          <w:lang w:eastAsia="zh-CN"/>
        </w:rPr>
        <w:t>工资福利补贴费用减少；社区伙食补助经费减少、各社区劳务费、水电费减少</w:t>
      </w:r>
      <w:r>
        <w:rPr>
          <w:rFonts w:ascii="仿宋_GB2312" w:eastAsia="仿宋_GB2312"/>
          <w:sz w:val="32"/>
          <w:szCs w:val="32"/>
          <w:lang w:eastAsia="zh-CN"/>
        </w:rPr>
        <w:t>。</w:t>
      </w:r>
    </w:p>
    <w:p w14:paraId="291E3A73" w14:textId="77777777" w:rsidR="00E3733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07B51E08"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本年收入1,519.88万元，其中：财政拨款收入1,519.88万元,占100.00%；上级补助收入0.00万元,占0.00%；事业收入0.00万元，占0.00%；经营收入0.00万元,占0.00%；附属单位上缴收入0.00万元，占0.00%；其他收入0.00万元，占0.00%。</w:t>
      </w:r>
    </w:p>
    <w:p w14:paraId="4A4DBAA0" w14:textId="77777777" w:rsidR="00E3733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22FD5BED"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本年支出1,519.88万元，其中：基本支出1,519.88万元，占100.00%；项目支出0.00万元，占0.00%；上缴上级支出0.00万元，占0.00%；经营支出0.00万元，占0.00%；对附属单位补助支出0.00万元，占0.00%。</w:t>
      </w:r>
    </w:p>
    <w:p w14:paraId="6CBC57BB" w14:textId="77777777" w:rsidR="00E3733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07E8976"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1,519.88万元，其中：年初财政拨款结转和结余0.00万元，本年财政拨款收入1,519.88万元。财政拨款支出总计1,519.88万元，其中：年末财政拨款结转和结余0.00万元，本年财政拨款支出1,519.88万元。</w:t>
      </w:r>
    </w:p>
    <w:p w14:paraId="616C3654" w14:textId="5A0316E3"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财政拨款收入支出总体与上年相比，减少482.22万元，下降24.09%，主要原因是：</w:t>
      </w:r>
      <w:r w:rsidR="006E76D1">
        <w:rPr>
          <w:rFonts w:ascii="仿宋_GB2312" w:eastAsia="仿宋_GB2312" w:hint="eastAsia"/>
          <w:sz w:val="32"/>
          <w:szCs w:val="32"/>
          <w:lang w:eastAsia="zh-CN"/>
        </w:rPr>
        <w:t>单位本年长聘人员减少，</w:t>
      </w:r>
      <w:proofErr w:type="gramStart"/>
      <w:r w:rsidR="006E76D1">
        <w:rPr>
          <w:rFonts w:ascii="仿宋_GB2312" w:eastAsia="仿宋_GB2312" w:hint="eastAsia"/>
          <w:sz w:val="32"/>
          <w:szCs w:val="32"/>
          <w:lang w:eastAsia="zh-CN"/>
        </w:rPr>
        <w:t>长聘人员</w:t>
      </w:r>
      <w:proofErr w:type="gramEnd"/>
      <w:r w:rsidR="006E76D1">
        <w:rPr>
          <w:rFonts w:ascii="仿宋_GB2312" w:eastAsia="仿宋_GB2312" w:hint="eastAsia"/>
          <w:sz w:val="32"/>
          <w:szCs w:val="32"/>
          <w:lang w:eastAsia="zh-CN"/>
        </w:rPr>
        <w:t>工资福利补贴费用减少；社区伙食补助经费减少、各社区劳</w:t>
      </w:r>
      <w:r w:rsidR="006E76D1">
        <w:rPr>
          <w:rFonts w:ascii="仿宋_GB2312" w:eastAsia="仿宋_GB2312" w:hint="eastAsia"/>
          <w:sz w:val="32"/>
          <w:szCs w:val="32"/>
          <w:lang w:eastAsia="zh-CN"/>
        </w:rPr>
        <w:lastRenderedPageBreak/>
        <w:t>务费、水电费减少</w:t>
      </w:r>
      <w:r>
        <w:rPr>
          <w:rFonts w:ascii="仿宋_GB2312" w:eastAsia="仿宋_GB2312"/>
          <w:sz w:val="32"/>
          <w:szCs w:val="32"/>
          <w:lang w:eastAsia="zh-CN"/>
        </w:rPr>
        <w:t>。与年初预算相比，年初预算数2,028.41万元，决算数1,519.88万元，预决算差异率-25.07%，主要原因是：</w:t>
      </w:r>
      <w:proofErr w:type="gramStart"/>
      <w:r w:rsidR="006E76D1">
        <w:rPr>
          <w:rFonts w:ascii="仿宋_GB2312" w:eastAsia="仿宋_GB2312" w:hint="eastAsia"/>
          <w:sz w:val="32"/>
          <w:szCs w:val="32"/>
          <w:lang w:eastAsia="zh-CN"/>
        </w:rPr>
        <w:t>较预算减少</w:t>
      </w:r>
      <w:r w:rsidR="006E76D1">
        <w:rPr>
          <w:rFonts w:ascii="仿宋_GB2312" w:eastAsia="仿宋_GB2312" w:hint="eastAsia"/>
          <w:sz w:val="32"/>
          <w:szCs w:val="32"/>
          <w:lang w:eastAsia="zh-CN"/>
        </w:rPr>
        <w:t>长聘</w:t>
      </w:r>
      <w:proofErr w:type="gramEnd"/>
      <w:r w:rsidR="006E76D1">
        <w:rPr>
          <w:rFonts w:ascii="仿宋_GB2312" w:eastAsia="仿宋_GB2312" w:hint="eastAsia"/>
          <w:sz w:val="32"/>
          <w:szCs w:val="32"/>
          <w:lang w:eastAsia="zh-CN"/>
        </w:rPr>
        <w:t>人员工资福利补贴费用</w:t>
      </w:r>
      <w:r w:rsidR="006E76D1">
        <w:rPr>
          <w:rFonts w:ascii="仿宋_GB2312" w:eastAsia="仿宋_GB2312" w:hint="eastAsia"/>
          <w:sz w:val="32"/>
          <w:szCs w:val="32"/>
          <w:lang w:eastAsia="zh-CN"/>
        </w:rPr>
        <w:t>、</w:t>
      </w:r>
      <w:r w:rsidR="006E76D1">
        <w:rPr>
          <w:rFonts w:ascii="仿宋_GB2312" w:eastAsia="仿宋_GB2312" w:hint="eastAsia"/>
          <w:sz w:val="32"/>
          <w:szCs w:val="32"/>
          <w:lang w:eastAsia="zh-CN"/>
        </w:rPr>
        <w:t>社区伙食补助经费、各社区劳务费、水电费</w:t>
      </w:r>
      <w:r>
        <w:rPr>
          <w:rFonts w:ascii="仿宋_GB2312" w:eastAsia="仿宋_GB2312"/>
          <w:sz w:val="32"/>
          <w:szCs w:val="32"/>
          <w:lang w:eastAsia="zh-CN"/>
        </w:rPr>
        <w:t>。</w:t>
      </w:r>
    </w:p>
    <w:p w14:paraId="0F6D12C7" w14:textId="77777777" w:rsidR="00E3733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66762319" w14:textId="77777777" w:rsidR="00E3733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5D2D68DF" w14:textId="24E8E5B2"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2024年度一般公共预算财政拨款支出1,519.88万元，占本年支出合计的100.00%。与上年相比，减少482.22万元，下降24.09%，主要原因是：</w:t>
      </w:r>
      <w:r w:rsidR="006E76D1">
        <w:rPr>
          <w:rFonts w:ascii="仿宋_GB2312" w:eastAsia="仿宋_GB2312" w:hint="eastAsia"/>
          <w:sz w:val="32"/>
          <w:szCs w:val="32"/>
          <w:lang w:eastAsia="zh-CN"/>
        </w:rPr>
        <w:t>单位本年长聘人员减少，</w:t>
      </w:r>
      <w:proofErr w:type="gramStart"/>
      <w:r w:rsidR="006E76D1">
        <w:rPr>
          <w:rFonts w:ascii="仿宋_GB2312" w:eastAsia="仿宋_GB2312" w:hint="eastAsia"/>
          <w:sz w:val="32"/>
          <w:szCs w:val="32"/>
          <w:lang w:eastAsia="zh-CN"/>
        </w:rPr>
        <w:t>长聘人员</w:t>
      </w:r>
      <w:proofErr w:type="gramEnd"/>
      <w:r w:rsidR="006E76D1">
        <w:rPr>
          <w:rFonts w:ascii="仿宋_GB2312" w:eastAsia="仿宋_GB2312" w:hint="eastAsia"/>
          <w:sz w:val="32"/>
          <w:szCs w:val="32"/>
          <w:lang w:eastAsia="zh-CN"/>
        </w:rPr>
        <w:t>工资福利补贴费用减少</w:t>
      </w:r>
      <w:r w:rsidR="006E76D1">
        <w:rPr>
          <w:rFonts w:ascii="仿宋_GB2312" w:eastAsia="仿宋_GB2312" w:hint="eastAsia"/>
          <w:sz w:val="32"/>
          <w:szCs w:val="32"/>
          <w:lang w:eastAsia="zh-CN"/>
        </w:rPr>
        <w:t>；社区伙食补助经费减少、</w:t>
      </w:r>
      <w:r w:rsidR="006E76D1">
        <w:rPr>
          <w:rFonts w:ascii="仿宋_GB2312" w:eastAsia="仿宋_GB2312" w:hint="eastAsia"/>
          <w:sz w:val="32"/>
          <w:szCs w:val="32"/>
          <w:lang w:eastAsia="zh-CN"/>
        </w:rPr>
        <w:t>各社区劳务费、水电费减少</w:t>
      </w:r>
      <w:r>
        <w:rPr>
          <w:rFonts w:ascii="仿宋_GB2312" w:eastAsia="仿宋_GB2312"/>
          <w:sz w:val="32"/>
          <w:szCs w:val="32"/>
          <w:lang w:eastAsia="zh-CN"/>
        </w:rPr>
        <w:t>。与年初预算相比，年初预算数2,028.41万元，决算数1,519.88万元，预决算差异率-25.07%，主要原因是：</w:t>
      </w:r>
      <w:proofErr w:type="gramStart"/>
      <w:r w:rsidR="006E76D1">
        <w:rPr>
          <w:rFonts w:ascii="仿宋_GB2312" w:eastAsia="仿宋_GB2312" w:hint="eastAsia"/>
          <w:sz w:val="32"/>
          <w:szCs w:val="32"/>
          <w:lang w:eastAsia="zh-CN"/>
        </w:rPr>
        <w:t>较预算减少长聘</w:t>
      </w:r>
      <w:proofErr w:type="gramEnd"/>
      <w:r w:rsidR="006E76D1">
        <w:rPr>
          <w:rFonts w:ascii="仿宋_GB2312" w:eastAsia="仿宋_GB2312" w:hint="eastAsia"/>
          <w:sz w:val="32"/>
          <w:szCs w:val="32"/>
          <w:lang w:eastAsia="zh-CN"/>
        </w:rPr>
        <w:t>人员工资福利补贴费用、社区伙食补助经费、各社区劳务费、水电费</w:t>
      </w:r>
      <w:r>
        <w:rPr>
          <w:rFonts w:ascii="仿宋_GB2312" w:eastAsia="仿宋_GB2312"/>
          <w:sz w:val="32"/>
          <w:szCs w:val="32"/>
          <w:lang w:eastAsia="zh-CN"/>
        </w:rPr>
        <w:t>。</w:t>
      </w:r>
    </w:p>
    <w:p w14:paraId="321D1758" w14:textId="77777777" w:rsidR="00E3733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211546C4"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一般公共服务支出（类）482.76万元，占31.76%。</w:t>
      </w:r>
    </w:p>
    <w:p w14:paraId="48487EBB"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社会保障和就业支出（类）1,037.13万元，占68.24%。</w:t>
      </w:r>
    </w:p>
    <w:p w14:paraId="2032A83F" w14:textId="77777777" w:rsidR="00E3733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526D4A55" w14:textId="3EE8A654" w:rsidR="00E3733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1、一般公共服务支出（类）政府办公厅（室）及相关机构事务（款）行政运行（项）：支出决算数为237.32万元，比上年决算减少12.28万元，下降4.92%，主要原因是：</w:t>
      </w:r>
      <w:r w:rsidR="006E76D1">
        <w:rPr>
          <w:rFonts w:ascii="仿宋_GB2312" w:eastAsia="仿宋_GB2312" w:hint="eastAsia"/>
          <w:sz w:val="32"/>
          <w:szCs w:val="32"/>
          <w:lang w:eastAsia="zh-CN"/>
        </w:rPr>
        <w:t>单位本年长聘人员减少，</w:t>
      </w:r>
      <w:proofErr w:type="gramStart"/>
      <w:r w:rsidR="006E76D1">
        <w:rPr>
          <w:rFonts w:ascii="仿宋_GB2312" w:eastAsia="仿宋_GB2312" w:hint="eastAsia"/>
          <w:sz w:val="32"/>
          <w:szCs w:val="32"/>
          <w:lang w:eastAsia="zh-CN"/>
        </w:rPr>
        <w:t>长聘人员</w:t>
      </w:r>
      <w:proofErr w:type="gramEnd"/>
      <w:r w:rsidR="006E76D1">
        <w:rPr>
          <w:rFonts w:ascii="仿宋_GB2312" w:eastAsia="仿宋_GB2312" w:hint="eastAsia"/>
          <w:sz w:val="32"/>
          <w:szCs w:val="32"/>
          <w:lang w:eastAsia="zh-CN"/>
        </w:rPr>
        <w:t>工资福利补贴费用减少</w:t>
      </w:r>
      <w:r>
        <w:rPr>
          <w:rFonts w:ascii="仿宋_GB2312" w:eastAsia="仿宋_GB2312"/>
          <w:sz w:val="32"/>
          <w:szCs w:val="32"/>
          <w:lang w:eastAsia="zh-CN"/>
        </w:rPr>
        <w:t>。</w:t>
      </w:r>
    </w:p>
    <w:p w14:paraId="45C989BA" w14:textId="011A79EE" w:rsidR="00E3733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2、一般公共服务支出（类）政府办公厅（室）及相关机构事务（款）机关服务（项）：支出决算数为245.44万元，比上年决算增加19.10万元，增长8.44%，主要原因是：</w:t>
      </w:r>
      <w:r w:rsidR="006E76D1">
        <w:rPr>
          <w:rFonts w:ascii="仿宋_GB2312" w:eastAsia="仿宋_GB2312" w:hint="eastAsia"/>
          <w:sz w:val="32"/>
          <w:szCs w:val="32"/>
          <w:lang w:eastAsia="zh-CN"/>
        </w:rPr>
        <w:t>单位本年人员增加，人员工资、津贴补贴、奖金等经费增加</w:t>
      </w:r>
      <w:r>
        <w:rPr>
          <w:rFonts w:ascii="仿宋_GB2312" w:eastAsia="仿宋_GB2312"/>
          <w:sz w:val="32"/>
          <w:szCs w:val="32"/>
          <w:lang w:eastAsia="zh-CN"/>
        </w:rPr>
        <w:t>。</w:t>
      </w:r>
    </w:p>
    <w:p w14:paraId="5FB57F28" w14:textId="142BA74B" w:rsidR="00E3733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3、社会保障和就业支出（类）民政管理事务（款）基层政权建设和社区治理（项）：支出决算数为895.25万元，比上年决算减少514.40万元，下降36.49%，主要原因是：</w:t>
      </w:r>
      <w:r w:rsidR="006E76D1">
        <w:rPr>
          <w:rFonts w:ascii="仿宋_GB2312" w:eastAsia="仿宋_GB2312" w:hint="eastAsia"/>
          <w:sz w:val="32"/>
          <w:szCs w:val="32"/>
          <w:lang w:eastAsia="zh-CN"/>
        </w:rPr>
        <w:t>单位本年长聘人员减少，</w:t>
      </w:r>
      <w:proofErr w:type="gramStart"/>
      <w:r w:rsidR="006E76D1">
        <w:rPr>
          <w:rFonts w:ascii="仿宋_GB2312" w:eastAsia="仿宋_GB2312" w:hint="eastAsia"/>
          <w:sz w:val="32"/>
          <w:szCs w:val="32"/>
          <w:lang w:eastAsia="zh-CN"/>
        </w:rPr>
        <w:t>长聘人员</w:t>
      </w:r>
      <w:proofErr w:type="gramEnd"/>
      <w:r w:rsidR="006E76D1">
        <w:rPr>
          <w:rFonts w:ascii="仿宋_GB2312" w:eastAsia="仿宋_GB2312" w:hint="eastAsia"/>
          <w:sz w:val="32"/>
          <w:szCs w:val="32"/>
          <w:lang w:eastAsia="zh-CN"/>
        </w:rPr>
        <w:t>工资福利补贴费用减少</w:t>
      </w:r>
      <w:r w:rsidR="006E76D1">
        <w:rPr>
          <w:rFonts w:ascii="仿宋_GB2312" w:eastAsia="仿宋_GB2312" w:hint="eastAsia"/>
          <w:sz w:val="32"/>
          <w:szCs w:val="32"/>
          <w:lang w:eastAsia="zh-CN"/>
        </w:rPr>
        <w:t>；各社区劳务费、水电费减少</w:t>
      </w:r>
      <w:r>
        <w:rPr>
          <w:rFonts w:ascii="仿宋_GB2312" w:eastAsia="仿宋_GB2312"/>
          <w:sz w:val="32"/>
          <w:szCs w:val="32"/>
          <w:lang w:eastAsia="zh-CN"/>
        </w:rPr>
        <w:t>。</w:t>
      </w:r>
    </w:p>
    <w:p w14:paraId="50DC1286" w14:textId="166A7D51" w:rsidR="00E3733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4、社会保障和就业支出（类）行政事业单位养老支出（款）机关事业单位基本养老保险缴费支出（项）：支出决算数为141.87万元，比上年决算增加25.36万元，增长21.77%，主要原因是：</w:t>
      </w:r>
      <w:r w:rsidR="006E76D1">
        <w:rPr>
          <w:rFonts w:ascii="仿宋_GB2312" w:eastAsia="仿宋_GB2312" w:hint="eastAsia"/>
          <w:sz w:val="32"/>
          <w:szCs w:val="32"/>
          <w:lang w:eastAsia="zh-CN"/>
        </w:rPr>
        <w:t>单位本年</w:t>
      </w:r>
      <w:r>
        <w:rPr>
          <w:rFonts w:ascii="仿宋_GB2312" w:eastAsia="仿宋_GB2312"/>
          <w:sz w:val="32"/>
          <w:szCs w:val="32"/>
          <w:lang w:eastAsia="zh-CN"/>
        </w:rPr>
        <w:t>社保</w:t>
      </w:r>
      <w:r w:rsidR="006E76D1">
        <w:rPr>
          <w:rFonts w:ascii="仿宋_GB2312" w:eastAsia="仿宋_GB2312" w:hint="eastAsia"/>
          <w:sz w:val="32"/>
          <w:szCs w:val="32"/>
          <w:lang w:eastAsia="zh-CN"/>
        </w:rPr>
        <w:t>缴费</w:t>
      </w:r>
      <w:r>
        <w:rPr>
          <w:rFonts w:ascii="仿宋_GB2312" w:eastAsia="仿宋_GB2312"/>
          <w:sz w:val="32"/>
          <w:szCs w:val="32"/>
          <w:lang w:eastAsia="zh-CN"/>
        </w:rPr>
        <w:t>基数</w:t>
      </w:r>
      <w:r w:rsidR="006E76D1">
        <w:rPr>
          <w:rFonts w:ascii="仿宋_GB2312" w:eastAsia="仿宋_GB2312" w:hint="eastAsia"/>
          <w:sz w:val="32"/>
          <w:szCs w:val="32"/>
          <w:lang w:eastAsia="zh-CN"/>
        </w:rPr>
        <w:t>调增</w:t>
      </w:r>
      <w:r>
        <w:rPr>
          <w:rFonts w:ascii="仿宋_GB2312" w:eastAsia="仿宋_GB2312"/>
          <w:sz w:val="32"/>
          <w:szCs w:val="32"/>
          <w:lang w:eastAsia="zh-CN"/>
        </w:rPr>
        <w:t>，</w:t>
      </w:r>
      <w:r w:rsidR="006E76D1">
        <w:rPr>
          <w:rFonts w:ascii="仿宋_GB2312" w:eastAsia="仿宋_GB2312" w:hint="eastAsia"/>
          <w:sz w:val="32"/>
          <w:szCs w:val="32"/>
          <w:lang w:eastAsia="zh-CN"/>
        </w:rPr>
        <w:t>人员</w:t>
      </w:r>
      <w:r w:rsidR="006E76D1">
        <w:rPr>
          <w:rFonts w:ascii="仿宋_GB2312" w:eastAsia="仿宋_GB2312"/>
          <w:sz w:val="32"/>
          <w:szCs w:val="32"/>
          <w:lang w:eastAsia="zh-CN"/>
        </w:rPr>
        <w:t>养老保险缴费</w:t>
      </w:r>
      <w:r>
        <w:rPr>
          <w:rFonts w:ascii="仿宋_GB2312" w:eastAsia="仿宋_GB2312" w:hint="eastAsia"/>
          <w:sz w:val="32"/>
          <w:szCs w:val="32"/>
          <w:lang w:eastAsia="zh-CN"/>
        </w:rPr>
        <w:t>增加</w:t>
      </w:r>
      <w:r>
        <w:rPr>
          <w:rFonts w:ascii="仿宋_GB2312" w:eastAsia="仿宋_GB2312"/>
          <w:sz w:val="32"/>
          <w:szCs w:val="32"/>
          <w:lang w:eastAsia="zh-CN"/>
        </w:rPr>
        <w:t>。</w:t>
      </w:r>
    </w:p>
    <w:p w14:paraId="25BF7539" w14:textId="77777777" w:rsidR="00E3733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3D00DDAE"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1,519.88万元，其中：人员经费1,456.47万元，包括：基本工资、津贴补贴、奖金、绩效工资、机关事业单位基本养老保险缴费、职工基本医疗保险缴费、公务员医疗补助缴费、其他社会保障缴费、住房公积金和其他工资福利支出。</w:t>
      </w:r>
    </w:p>
    <w:p w14:paraId="65452B1C"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公用经费63.41万元，包括：办公费、印刷费、水费、电费、邮电费、差旅费、维修（护）费、工会经费和其他交通费用。</w:t>
      </w:r>
    </w:p>
    <w:p w14:paraId="2993B547" w14:textId="77777777" w:rsidR="00E3733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29E320C"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9F2B440" w14:textId="77777777" w:rsidR="00E3733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5EF9D670"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1A462B3" w14:textId="77777777" w:rsidR="00E3733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0A6B48F8"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我单位上年度与本年度均无“三公”经费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公务用车购置及运行维护</w:t>
      </w:r>
      <w:r>
        <w:rPr>
          <w:rFonts w:ascii="仿宋_GB2312" w:eastAsia="仿宋_GB2312" w:hint="eastAsia"/>
          <w:sz w:val="32"/>
          <w:szCs w:val="32"/>
          <w:lang w:eastAsia="zh-CN"/>
        </w:rPr>
        <w:t>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w:t>
      </w:r>
    </w:p>
    <w:p w14:paraId="50DB00B3" w14:textId="77777777" w:rsidR="00E37335"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具体情况如下：</w:t>
      </w:r>
    </w:p>
    <w:p w14:paraId="7CB6AC1D"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。单位全年安排的因公出国（境）团组0个，因公出国（境）0人次。</w:t>
      </w:r>
    </w:p>
    <w:p w14:paraId="06F5D39E"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公务用车运行维护费。公务用车购置数0辆，公务用车保有量0辆。国有资产占用情况中固定资产车辆19辆，与公务用车保有量差异原因是：</w:t>
      </w:r>
      <w:r>
        <w:rPr>
          <w:rFonts w:ascii="仿宋_GB2312" w:eastAsia="仿宋_GB2312" w:hint="eastAsia"/>
          <w:sz w:val="32"/>
          <w:szCs w:val="32"/>
          <w:lang w:eastAsia="zh-CN"/>
        </w:rPr>
        <w:t>差异车辆为一般业务用车19辆，车辆费用未使用财政拨款公务用车运行维护费支付。</w:t>
      </w:r>
    </w:p>
    <w:p w14:paraId="1FC40A46"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。单位全年安排的国内公务接待0批次，0人次。</w:t>
      </w:r>
    </w:p>
    <w:p w14:paraId="3ECAE9E9"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97C5841" w14:textId="77777777" w:rsidR="00E3733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02526978" w14:textId="77777777" w:rsidR="00E3733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2EA4C862"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2024年度乌鲁木齐市米东区盛达东路片区管理委员会单位（行政单位和参照公务员法管理事业单位）机关运行经费支出63.41万元，比上年减少352.98万元，下降84.77%，主要原因是：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办公费、印刷费、水费、电费</w:t>
      </w:r>
      <w:r>
        <w:rPr>
          <w:rFonts w:ascii="仿宋_GB2312" w:eastAsia="仿宋_GB2312" w:hint="eastAsia"/>
          <w:sz w:val="32"/>
          <w:szCs w:val="32"/>
          <w:lang w:eastAsia="zh-CN"/>
        </w:rPr>
        <w:t>等较上年减少</w:t>
      </w:r>
      <w:r>
        <w:rPr>
          <w:rFonts w:ascii="仿宋_GB2312" w:eastAsia="仿宋_GB2312"/>
          <w:sz w:val="32"/>
          <w:szCs w:val="32"/>
          <w:lang w:eastAsia="zh-CN"/>
        </w:rPr>
        <w:t>。</w:t>
      </w:r>
    </w:p>
    <w:p w14:paraId="02A81C64" w14:textId="77777777" w:rsidR="00E3733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lastRenderedPageBreak/>
        <w:t>（二）政府采购情况</w:t>
      </w:r>
    </w:p>
    <w:p w14:paraId="0655E912"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2024年度政府采购支出总额1.03万元，其中：政府采购货物支出0.00万元、政府采购工程支出0.00万元、政府采购服务支出1.03万元。</w:t>
      </w:r>
    </w:p>
    <w:p w14:paraId="28DB089F"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授予中小企业合同金额0.72万元，占政府采购支出总额的69.90%，其中：授予小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合同金额0.72万元，占政府采购支出总额的69.90%。</w:t>
      </w:r>
    </w:p>
    <w:p w14:paraId="75E68541" w14:textId="77777777" w:rsidR="00E37335"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279306D6" w14:textId="77777777"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截至2024年12月31日，房屋300.00平方米，价值28.00万元。</w:t>
      </w:r>
      <w:r>
        <w:rPr>
          <w:rFonts w:ascii="仿宋_GB2312" w:eastAsia="仿宋_GB2312"/>
          <w:sz w:val="32"/>
          <w:szCs w:val="32"/>
          <w:lang w:eastAsia="zh-CN"/>
        </w:rPr>
        <w:t>车辆19辆，价值118.09万元，其中：副部（省）级及以上领导用车0辆、主要负责人用车0辆、机要通信用车0辆、应急保障用车0辆、执法执勤用车0辆、特种专业技术用车0辆、离退休干部服务用车0辆、其他用车19辆，其他用车主要是：</w:t>
      </w:r>
      <w:proofErr w:type="gramStart"/>
      <w:r>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4E7A177C" w14:textId="77777777" w:rsidR="00E3733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3CE3BE6C" w14:textId="15C0B542" w:rsidR="00E37335"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根据预算绩效管理要求，本单位2024年度预算绩效管理形成整体支出绩效自评表1个，全年预算总额1,519.88万元，实际执行总额1,519.88万元；预算绩效评价项目0个，全年预算数0</w:t>
      </w:r>
      <w:r>
        <w:rPr>
          <w:rFonts w:ascii="仿宋_GB2312" w:eastAsia="仿宋_GB2312" w:hint="eastAsia"/>
          <w:sz w:val="32"/>
          <w:szCs w:val="32"/>
          <w:lang w:eastAsia="zh-CN"/>
        </w:rPr>
        <w:t>.00</w:t>
      </w:r>
      <w:r>
        <w:rPr>
          <w:rFonts w:ascii="仿宋_GB2312" w:eastAsia="仿宋_GB2312"/>
          <w:sz w:val="32"/>
          <w:szCs w:val="32"/>
          <w:lang w:eastAsia="zh-CN"/>
        </w:rPr>
        <w:t>万元，全年执行数0</w:t>
      </w:r>
      <w:r>
        <w:rPr>
          <w:rFonts w:ascii="仿宋_GB2312" w:eastAsia="仿宋_GB2312" w:hint="eastAsia"/>
          <w:sz w:val="32"/>
          <w:szCs w:val="32"/>
          <w:lang w:eastAsia="zh-CN"/>
        </w:rPr>
        <w:t>.00</w:t>
      </w:r>
      <w:r>
        <w:rPr>
          <w:rFonts w:ascii="仿宋_GB2312" w:eastAsia="仿宋_GB2312"/>
          <w:sz w:val="32"/>
          <w:szCs w:val="32"/>
          <w:lang w:eastAsia="zh-CN"/>
        </w:rPr>
        <w:t>万元。</w:t>
      </w:r>
      <w:r>
        <w:rPr>
          <w:rFonts w:ascii="仿宋_GB2312" w:eastAsia="仿宋_GB2312" w:hint="eastAsia"/>
          <w:sz w:val="32"/>
          <w:szCs w:val="32"/>
          <w:lang w:eastAsia="zh-CN"/>
        </w:rPr>
        <w:t>预算绩效管理取得的成效：一是绩效目标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发现的问题及原因：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w:t>
      </w:r>
      <w:r>
        <w:rPr>
          <w:rFonts w:ascii="仿宋_GB2312" w:eastAsia="仿宋_GB2312" w:hint="eastAsia"/>
          <w:sz w:val="32"/>
          <w:szCs w:val="32"/>
          <w:lang w:eastAsia="zh-CN"/>
        </w:rPr>
        <w:lastRenderedPageBreak/>
        <w:t>高，目标审核基本上还是形式性审核，实质性审核程度不高。下一步改进措施：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14:paraId="339D7571" w14:textId="77777777" w:rsidR="006E76D1" w:rsidRDefault="006E76D1">
      <w:pPr>
        <w:spacing w:after="0" w:line="240" w:lineRule="auto"/>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br w:type="page"/>
      </w:r>
    </w:p>
    <w:p w14:paraId="080D0EED" w14:textId="1CF6656B" w:rsidR="00E37335" w:rsidRDefault="00000000">
      <w:pPr>
        <w:widowControl w:val="0"/>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78025DD4" w14:textId="77777777" w:rsidR="00E37335" w:rsidRDefault="00000000">
      <w:pPr>
        <w:widowControl w:val="0"/>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E37335" w14:paraId="57E8C1D2"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DD69604"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7C45BEA3" w14:textId="77777777" w:rsidR="00E37335" w:rsidRDefault="00000000">
            <w:pPr>
              <w:widowControl w:val="0"/>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乌鲁木齐市米东区盛达东路片区管理委员会</w:t>
            </w:r>
          </w:p>
        </w:tc>
        <w:tc>
          <w:tcPr>
            <w:tcW w:w="284" w:type="dxa"/>
            <w:tcBorders>
              <w:top w:val="nil"/>
              <w:left w:val="nil"/>
              <w:bottom w:val="nil"/>
              <w:right w:val="nil"/>
            </w:tcBorders>
            <w:noWrap/>
            <w:vAlign w:val="center"/>
          </w:tcPr>
          <w:p w14:paraId="1AAF7358" w14:textId="77777777" w:rsidR="00E37335" w:rsidRDefault="00E37335">
            <w:pPr>
              <w:widowControl w:val="0"/>
              <w:rPr>
                <w:rFonts w:ascii="宋体" w:eastAsia="宋体" w:hAnsi="宋体" w:cs="宋体" w:hint="eastAsia"/>
                <w:b/>
                <w:bCs/>
                <w:sz w:val="18"/>
                <w:szCs w:val="18"/>
                <w:lang w:eastAsia="zh-CN"/>
              </w:rPr>
            </w:pPr>
          </w:p>
        </w:tc>
      </w:tr>
      <w:tr w:rsidR="00E37335" w14:paraId="3D1FE383"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76080BD"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6C379844"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2BD95F17"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tcPr>
          <w:p w14:paraId="4D21CEE5"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701" w:type="dxa"/>
            <w:tcBorders>
              <w:top w:val="nil"/>
              <w:left w:val="nil"/>
              <w:bottom w:val="single" w:sz="4" w:space="0" w:color="auto"/>
              <w:right w:val="single" w:sz="4" w:space="0" w:color="auto"/>
            </w:tcBorders>
            <w:vAlign w:val="center"/>
          </w:tcPr>
          <w:p w14:paraId="250B035B"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328C7D92"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tcPr>
          <w:p w14:paraId="52BA16C4"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4808370B"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7E3472AA" w14:textId="77777777" w:rsidR="00E37335" w:rsidRDefault="00E37335">
            <w:pPr>
              <w:widowControl w:val="0"/>
              <w:jc w:val="center"/>
              <w:rPr>
                <w:rFonts w:ascii="宋体" w:eastAsia="宋体" w:hAnsi="宋体" w:cs="宋体" w:hint="eastAsia"/>
                <w:b/>
                <w:bCs/>
                <w:sz w:val="18"/>
                <w:szCs w:val="18"/>
              </w:rPr>
            </w:pPr>
          </w:p>
        </w:tc>
      </w:tr>
      <w:tr w:rsidR="00E37335" w14:paraId="20D2032D"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B67E6E5" w14:textId="77777777" w:rsidR="00E37335" w:rsidRDefault="00E37335">
            <w:pPr>
              <w:widowControl w:val="0"/>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2C118B8D"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年度总资金</w:t>
            </w:r>
            <w:proofErr w:type="spellEnd"/>
          </w:p>
        </w:tc>
        <w:tc>
          <w:tcPr>
            <w:tcW w:w="1418" w:type="dxa"/>
            <w:tcBorders>
              <w:top w:val="nil"/>
              <w:left w:val="nil"/>
              <w:bottom w:val="single" w:sz="4" w:space="0" w:color="auto"/>
              <w:right w:val="single" w:sz="4" w:space="0" w:color="auto"/>
            </w:tcBorders>
            <w:vAlign w:val="center"/>
          </w:tcPr>
          <w:p w14:paraId="38236814"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2,028.41</w:t>
            </w:r>
          </w:p>
        </w:tc>
        <w:tc>
          <w:tcPr>
            <w:tcW w:w="1276" w:type="dxa"/>
            <w:tcBorders>
              <w:top w:val="nil"/>
              <w:left w:val="nil"/>
              <w:bottom w:val="single" w:sz="4" w:space="0" w:color="auto"/>
              <w:right w:val="single" w:sz="4" w:space="0" w:color="auto"/>
            </w:tcBorders>
            <w:vAlign w:val="center"/>
          </w:tcPr>
          <w:p w14:paraId="415CA886"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1,519.88</w:t>
            </w:r>
          </w:p>
        </w:tc>
        <w:tc>
          <w:tcPr>
            <w:tcW w:w="1701" w:type="dxa"/>
            <w:tcBorders>
              <w:top w:val="nil"/>
              <w:left w:val="nil"/>
              <w:bottom w:val="single" w:sz="4" w:space="0" w:color="auto"/>
              <w:right w:val="single" w:sz="4" w:space="0" w:color="auto"/>
            </w:tcBorders>
            <w:vAlign w:val="center"/>
          </w:tcPr>
          <w:p w14:paraId="1AB9EDAE"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1,519.88</w:t>
            </w:r>
          </w:p>
        </w:tc>
        <w:tc>
          <w:tcPr>
            <w:tcW w:w="1134" w:type="dxa"/>
            <w:tcBorders>
              <w:top w:val="nil"/>
              <w:left w:val="nil"/>
              <w:bottom w:val="single" w:sz="4" w:space="0" w:color="auto"/>
              <w:right w:val="single" w:sz="4" w:space="0" w:color="auto"/>
            </w:tcBorders>
            <w:vAlign w:val="center"/>
          </w:tcPr>
          <w:p w14:paraId="69DFED3F"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4E9D7D33"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0AD8FC46"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4152CEBD" w14:textId="77777777" w:rsidR="00E37335" w:rsidRDefault="00E37335">
            <w:pPr>
              <w:widowControl w:val="0"/>
              <w:jc w:val="center"/>
              <w:rPr>
                <w:rFonts w:ascii="宋体" w:eastAsia="宋体" w:hAnsi="宋体" w:cs="宋体" w:hint="eastAsia"/>
                <w:b/>
                <w:bCs/>
                <w:sz w:val="18"/>
                <w:szCs w:val="18"/>
              </w:rPr>
            </w:pPr>
          </w:p>
        </w:tc>
      </w:tr>
      <w:tr w:rsidR="00E37335" w14:paraId="07F3F278"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3D09902" w14:textId="77777777" w:rsidR="00E37335" w:rsidRDefault="00E37335">
            <w:pPr>
              <w:widowControl w:val="0"/>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48ABC63" w14:textId="77777777" w:rsidR="00E37335" w:rsidRDefault="00000000">
            <w:pPr>
              <w:widowControl w:val="0"/>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396A19ED"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36716B85"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38369FAA"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22980823" w14:textId="77777777" w:rsidR="00E37335" w:rsidRDefault="00000000">
            <w:pPr>
              <w:widowControl w:val="0"/>
              <w:jc w:val="center"/>
              <w:rPr>
                <w:rFonts w:ascii="宋体" w:eastAsia="宋体" w:hAnsi="宋体" w:cs="宋体" w:hint="eastAsia"/>
                <w:sz w:val="18"/>
                <w:szCs w:val="18"/>
              </w:rPr>
            </w:pPr>
            <w:r>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3D7CF637" w14:textId="77777777" w:rsidR="00E37335" w:rsidRDefault="00000000">
            <w:pPr>
              <w:widowControl w:val="0"/>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DFE6B1A" w14:textId="77777777" w:rsidR="00E37335" w:rsidRDefault="00000000">
            <w:pPr>
              <w:widowControl w:val="0"/>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245FBD75" w14:textId="77777777" w:rsidR="00E37335" w:rsidRDefault="00E37335">
            <w:pPr>
              <w:widowControl w:val="0"/>
              <w:jc w:val="center"/>
              <w:rPr>
                <w:rFonts w:ascii="宋体" w:eastAsia="宋体" w:hAnsi="宋体" w:cs="宋体" w:hint="eastAsia"/>
                <w:sz w:val="18"/>
                <w:szCs w:val="18"/>
              </w:rPr>
            </w:pPr>
          </w:p>
        </w:tc>
      </w:tr>
      <w:tr w:rsidR="00E37335" w14:paraId="14290BE5"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4A9AB94" w14:textId="77777777" w:rsidR="00E37335" w:rsidRDefault="00E37335">
            <w:pPr>
              <w:widowControl w:val="0"/>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C281944"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本级资金（万元</w:t>
            </w:r>
            <w:proofErr w:type="spellEnd"/>
            <w:r>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595E3100"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2,028.41</w:t>
            </w:r>
          </w:p>
        </w:tc>
        <w:tc>
          <w:tcPr>
            <w:tcW w:w="1276" w:type="dxa"/>
            <w:tcBorders>
              <w:top w:val="nil"/>
              <w:left w:val="nil"/>
              <w:bottom w:val="single" w:sz="4" w:space="0" w:color="auto"/>
              <w:right w:val="single" w:sz="4" w:space="0" w:color="auto"/>
            </w:tcBorders>
            <w:vAlign w:val="center"/>
          </w:tcPr>
          <w:p w14:paraId="0D8AAB0A"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1,519.88</w:t>
            </w:r>
          </w:p>
        </w:tc>
        <w:tc>
          <w:tcPr>
            <w:tcW w:w="1701" w:type="dxa"/>
            <w:tcBorders>
              <w:top w:val="nil"/>
              <w:left w:val="nil"/>
              <w:bottom w:val="single" w:sz="4" w:space="0" w:color="auto"/>
              <w:right w:val="single" w:sz="4" w:space="0" w:color="auto"/>
            </w:tcBorders>
            <w:vAlign w:val="center"/>
          </w:tcPr>
          <w:p w14:paraId="1BD0508A"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1,519.88</w:t>
            </w:r>
          </w:p>
        </w:tc>
        <w:tc>
          <w:tcPr>
            <w:tcW w:w="1134" w:type="dxa"/>
            <w:tcBorders>
              <w:top w:val="nil"/>
              <w:left w:val="nil"/>
              <w:bottom w:val="single" w:sz="4" w:space="0" w:color="auto"/>
              <w:right w:val="single" w:sz="4" w:space="0" w:color="auto"/>
            </w:tcBorders>
            <w:vAlign w:val="center"/>
          </w:tcPr>
          <w:p w14:paraId="21AE7090" w14:textId="77777777" w:rsidR="00E37335" w:rsidRDefault="00000000">
            <w:pPr>
              <w:widowControl w:val="0"/>
              <w:jc w:val="center"/>
              <w:rPr>
                <w:rFonts w:ascii="宋体" w:eastAsia="宋体" w:hAnsi="宋体" w:cs="宋体" w:hint="eastAsia"/>
                <w:sz w:val="18"/>
                <w:szCs w:val="18"/>
              </w:rPr>
            </w:pPr>
            <w:r>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3C210128" w14:textId="77777777" w:rsidR="00E37335" w:rsidRDefault="00000000">
            <w:pPr>
              <w:widowControl w:val="0"/>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93621E3" w14:textId="77777777" w:rsidR="00E37335" w:rsidRDefault="00000000">
            <w:pPr>
              <w:widowControl w:val="0"/>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0CBEF0D0" w14:textId="77777777" w:rsidR="00E37335" w:rsidRDefault="00E37335">
            <w:pPr>
              <w:widowControl w:val="0"/>
              <w:jc w:val="center"/>
              <w:rPr>
                <w:rFonts w:ascii="宋体" w:eastAsia="宋体" w:hAnsi="宋体" w:cs="宋体" w:hint="eastAsia"/>
                <w:sz w:val="18"/>
                <w:szCs w:val="18"/>
              </w:rPr>
            </w:pPr>
          </w:p>
        </w:tc>
      </w:tr>
      <w:tr w:rsidR="00E37335" w14:paraId="4047398D"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5BA09BD" w14:textId="77777777" w:rsidR="00E37335" w:rsidRDefault="00E37335">
            <w:pPr>
              <w:widowControl w:val="0"/>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4D145E51"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其他资金（万元</w:t>
            </w:r>
            <w:proofErr w:type="spellEnd"/>
            <w:r>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21732E48"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5AC3465D"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106F3F32"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16D819BD"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7B602074"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31C9F635"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2BF710AB" w14:textId="77777777" w:rsidR="00E37335" w:rsidRDefault="00E37335">
            <w:pPr>
              <w:widowControl w:val="0"/>
              <w:jc w:val="center"/>
              <w:rPr>
                <w:rFonts w:ascii="宋体" w:eastAsia="宋体" w:hAnsi="宋体" w:cs="宋体" w:hint="eastAsia"/>
                <w:sz w:val="18"/>
                <w:szCs w:val="18"/>
              </w:rPr>
            </w:pPr>
          </w:p>
        </w:tc>
      </w:tr>
      <w:tr w:rsidR="00E37335" w14:paraId="0564D93D"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777B05D"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tcPr>
          <w:p w14:paraId="15B5A6F8"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tcPr>
          <w:p w14:paraId="74D340FF"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c>
          <w:tcPr>
            <w:tcW w:w="284" w:type="dxa"/>
            <w:tcBorders>
              <w:top w:val="nil"/>
              <w:left w:val="nil"/>
              <w:bottom w:val="nil"/>
              <w:right w:val="nil"/>
            </w:tcBorders>
            <w:noWrap/>
            <w:vAlign w:val="center"/>
          </w:tcPr>
          <w:p w14:paraId="67716CB9" w14:textId="77777777" w:rsidR="00E37335" w:rsidRDefault="00E37335">
            <w:pPr>
              <w:widowControl w:val="0"/>
              <w:rPr>
                <w:rFonts w:ascii="宋体" w:eastAsia="宋体" w:hAnsi="宋体" w:cs="宋体" w:hint="eastAsia"/>
                <w:b/>
                <w:bCs/>
                <w:sz w:val="18"/>
                <w:szCs w:val="18"/>
              </w:rPr>
            </w:pPr>
          </w:p>
        </w:tc>
      </w:tr>
      <w:tr w:rsidR="00E37335" w14:paraId="2037FE64"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8EEBF72" w14:textId="77777777" w:rsidR="00E37335" w:rsidRDefault="00E37335">
            <w:pPr>
              <w:widowControl w:val="0"/>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4A333A6D" w14:textId="77777777" w:rsidR="00E37335" w:rsidRDefault="00000000">
            <w:pPr>
              <w:widowControl w:val="0"/>
              <w:rPr>
                <w:rFonts w:ascii="宋体" w:eastAsia="宋体" w:hAnsi="宋体" w:cs="宋体" w:hint="eastAsia"/>
                <w:sz w:val="18"/>
                <w:szCs w:val="18"/>
                <w:lang w:eastAsia="zh-CN"/>
              </w:rPr>
            </w:pPr>
            <w:r>
              <w:rPr>
                <w:rFonts w:ascii="宋体" w:eastAsia="宋体" w:hAnsi="宋体" w:cs="宋体" w:hint="eastAsia"/>
                <w:sz w:val="18"/>
                <w:szCs w:val="18"/>
                <w:lang w:eastAsia="zh-CN"/>
              </w:rPr>
              <w:t>主要职能：统一领导和管理辖区党务、行政和社会事务工作，促进片区管委会和谐发展；拟订并组织实施片区管委会发展规划、强化“两个机制”、夯实基层基础工作的建议和措施；统筹整合辖区行政、社会、公共服务资源，综合协调相关职能部门和驻区企事业单位，为辖区居民提供民生保障、社会治安、城市管理等综合服务；对相关职能部门和驻区企事业单位履行社会管理和公共服务职能欠款进行监督、检查和考核。重点工作1、是突出法治建设，树立政务服务“新形象”。加强业务工作中涉及的基本法律法规、各种法律关系及法律程序学习，推进片区及社区结构、职能、权限、程序、责任法定化要求落实，坚持政务公开，贯彻依法行政，对</w:t>
            </w:r>
            <w:proofErr w:type="gramStart"/>
            <w:r>
              <w:rPr>
                <w:rFonts w:ascii="宋体" w:eastAsia="宋体" w:hAnsi="宋体" w:cs="宋体" w:hint="eastAsia"/>
                <w:sz w:val="18"/>
                <w:szCs w:val="18"/>
                <w:lang w:eastAsia="zh-CN"/>
              </w:rPr>
              <w:t>企实施</w:t>
            </w:r>
            <w:proofErr w:type="gramEnd"/>
            <w:r>
              <w:rPr>
                <w:rFonts w:ascii="宋体" w:eastAsia="宋体" w:hAnsi="宋体" w:cs="宋体" w:hint="eastAsia"/>
                <w:sz w:val="18"/>
                <w:szCs w:val="18"/>
                <w:lang w:eastAsia="zh-CN"/>
              </w:rPr>
              <w:t>“温情执法”，营造良好营商环境。2、是坚持项目为重，实现企业贡献“新增长”。抓牢自贸试验区</w:t>
            </w:r>
            <w:proofErr w:type="gramStart"/>
            <w:r>
              <w:rPr>
                <w:rFonts w:ascii="宋体" w:eastAsia="宋体" w:hAnsi="宋体" w:cs="宋体" w:hint="eastAsia"/>
                <w:sz w:val="18"/>
                <w:szCs w:val="18"/>
                <w:lang w:eastAsia="zh-CN"/>
              </w:rPr>
              <w:t>米东功能</w:t>
            </w:r>
            <w:proofErr w:type="gramEnd"/>
            <w:r>
              <w:rPr>
                <w:rFonts w:ascii="宋体" w:eastAsia="宋体" w:hAnsi="宋体" w:cs="宋体" w:hint="eastAsia"/>
                <w:sz w:val="18"/>
                <w:szCs w:val="18"/>
                <w:lang w:eastAsia="zh-CN"/>
              </w:rPr>
              <w:t>区建设机遇，对辖区重点企业、重点项目探索实行“一名班子成员、一套方案、一抓到底”驻点精准帮扶工作制度，重点依托街道政企服务中心，强化多方资源整合及合作桥梁搭建，全过程开展贷款融资、人才招聘、环境保障、惠企政策落实等服务，积极推动企业拓展国外市场。3、是聚焦环境整治，推动绿色园区“新发展”。积极与各行业部门、职能单位以及第三方机构寻求搭线合作，协调行业职能部门完善园区道路、电线杆及交通信号灯等市政设施修补建设，持续改造提升绿化景观水平，切实提升城市</w:t>
            </w:r>
            <w:r>
              <w:rPr>
                <w:rFonts w:ascii="宋体" w:eastAsia="宋体" w:hAnsi="宋体" w:cs="宋体" w:hint="eastAsia"/>
                <w:sz w:val="18"/>
                <w:szCs w:val="18"/>
                <w:lang w:eastAsia="zh-CN"/>
              </w:rPr>
              <w:lastRenderedPageBreak/>
              <w:t>治理科学化精细化智能化水平，健全完善垃圾</w:t>
            </w:r>
            <w:proofErr w:type="gramStart"/>
            <w:r>
              <w:rPr>
                <w:rFonts w:ascii="宋体" w:eastAsia="宋体" w:hAnsi="宋体" w:cs="宋体" w:hint="eastAsia"/>
                <w:sz w:val="18"/>
                <w:szCs w:val="18"/>
                <w:lang w:eastAsia="zh-CN"/>
              </w:rPr>
              <w:t>分类全</w:t>
            </w:r>
            <w:proofErr w:type="gramEnd"/>
            <w:r>
              <w:rPr>
                <w:rFonts w:ascii="宋体" w:eastAsia="宋体" w:hAnsi="宋体" w:cs="宋体" w:hint="eastAsia"/>
                <w:sz w:val="18"/>
                <w:szCs w:val="18"/>
                <w:lang w:eastAsia="zh-CN"/>
              </w:rPr>
              <w:t>流程处理机制，常态</w:t>
            </w:r>
            <w:proofErr w:type="gramStart"/>
            <w:r>
              <w:rPr>
                <w:rFonts w:ascii="宋体" w:eastAsia="宋体" w:hAnsi="宋体" w:cs="宋体" w:hint="eastAsia"/>
                <w:sz w:val="18"/>
                <w:szCs w:val="18"/>
                <w:lang w:eastAsia="zh-CN"/>
              </w:rPr>
              <w:t>化开展</w:t>
            </w:r>
            <w:proofErr w:type="gramEnd"/>
            <w:r>
              <w:rPr>
                <w:rFonts w:ascii="宋体" w:eastAsia="宋体" w:hAnsi="宋体" w:cs="宋体" w:hint="eastAsia"/>
                <w:sz w:val="18"/>
                <w:szCs w:val="18"/>
                <w:lang w:eastAsia="zh-CN"/>
              </w:rPr>
              <w:t>占道经营等市容环境整治，积极推动“万盛广场”等餐饮文娱产业综合体项目落地运营，打造创业就业、生活宜居的辖区良好环境。4、是加强作风建设，干部能力“新提升”。引导干部加强理论学习、厚实理论功底，特别是要</w:t>
            </w:r>
            <w:proofErr w:type="gramStart"/>
            <w:r>
              <w:rPr>
                <w:rFonts w:ascii="宋体" w:eastAsia="宋体" w:hAnsi="宋体" w:cs="宋体" w:hint="eastAsia"/>
                <w:sz w:val="18"/>
                <w:szCs w:val="18"/>
                <w:lang w:eastAsia="zh-CN"/>
              </w:rPr>
              <w:t>把握好习近</w:t>
            </w:r>
            <w:proofErr w:type="gramEnd"/>
            <w:r>
              <w:rPr>
                <w:rFonts w:ascii="宋体" w:eastAsia="宋体" w:hAnsi="宋体" w:cs="宋体" w:hint="eastAsia"/>
                <w:sz w:val="18"/>
                <w:szCs w:val="18"/>
                <w:lang w:eastAsia="zh-CN"/>
              </w:rPr>
              <w:t>平新时代中国特色社会主义思想的世界观和方法论，使新时代党的创新理论真正成为干部提高解决实际问题能力、做好一切工作的看家本领。不断提升专业素养、丰富专业知识、提高专业能力、增强专业本领。围绕企业服务、社会治理、安全生产等课题，分级分类分岗位组织专题培训，同时让干部下沉一线经风雨、见世面、壮筋骨、长才干。</w:t>
            </w:r>
          </w:p>
        </w:tc>
        <w:tc>
          <w:tcPr>
            <w:tcW w:w="4547" w:type="dxa"/>
            <w:gridSpan w:val="4"/>
            <w:tcBorders>
              <w:top w:val="single" w:sz="4" w:space="0" w:color="auto"/>
              <w:left w:val="nil"/>
              <w:bottom w:val="single" w:sz="4" w:space="0" w:color="auto"/>
              <w:right w:val="single" w:sz="4" w:space="0" w:color="auto"/>
            </w:tcBorders>
          </w:tcPr>
          <w:p w14:paraId="2A55426A" w14:textId="77777777" w:rsidR="00E37335" w:rsidRDefault="00000000">
            <w:pPr>
              <w:widowControl w:val="0"/>
              <w:rPr>
                <w:rFonts w:ascii="宋体" w:eastAsia="宋体" w:hAnsi="宋体" w:cs="宋体" w:hint="eastAsia"/>
                <w:sz w:val="18"/>
                <w:szCs w:val="18"/>
                <w:lang w:eastAsia="zh-CN"/>
              </w:rPr>
            </w:pPr>
            <w:r>
              <w:rPr>
                <w:rFonts w:ascii="宋体" w:eastAsia="宋体" w:hAnsi="宋体" w:cs="宋体" w:hint="eastAsia"/>
                <w:sz w:val="18"/>
                <w:szCs w:val="18"/>
                <w:lang w:eastAsia="zh-CN"/>
              </w:rPr>
              <w:lastRenderedPageBreak/>
              <w:t>1、突出法治建设，树立政务服务“新形象”。加强业务工作中涉及的基本法律法规、各种法律关系及法律程序学习，推进片区及社区结构、职能、权限、程序、责任法定化要求落实，坚持政务公开，贯彻依法行政，对</w:t>
            </w:r>
            <w:proofErr w:type="gramStart"/>
            <w:r>
              <w:rPr>
                <w:rFonts w:ascii="宋体" w:eastAsia="宋体" w:hAnsi="宋体" w:cs="宋体" w:hint="eastAsia"/>
                <w:sz w:val="18"/>
                <w:szCs w:val="18"/>
                <w:lang w:eastAsia="zh-CN"/>
              </w:rPr>
              <w:t>企实施</w:t>
            </w:r>
            <w:proofErr w:type="gramEnd"/>
            <w:r>
              <w:rPr>
                <w:rFonts w:ascii="宋体" w:eastAsia="宋体" w:hAnsi="宋体" w:cs="宋体" w:hint="eastAsia"/>
                <w:sz w:val="18"/>
                <w:szCs w:val="18"/>
                <w:lang w:eastAsia="zh-CN"/>
              </w:rPr>
              <w:t>“温情执法”，营造良好营商环境。2、是坚持项目为重，实现企业贡献“新增长”。抓牢自贸试验区</w:t>
            </w:r>
            <w:proofErr w:type="gramStart"/>
            <w:r>
              <w:rPr>
                <w:rFonts w:ascii="宋体" w:eastAsia="宋体" w:hAnsi="宋体" w:cs="宋体" w:hint="eastAsia"/>
                <w:sz w:val="18"/>
                <w:szCs w:val="18"/>
                <w:lang w:eastAsia="zh-CN"/>
              </w:rPr>
              <w:t>米东功能</w:t>
            </w:r>
            <w:proofErr w:type="gramEnd"/>
            <w:r>
              <w:rPr>
                <w:rFonts w:ascii="宋体" w:eastAsia="宋体" w:hAnsi="宋体" w:cs="宋体" w:hint="eastAsia"/>
                <w:sz w:val="18"/>
                <w:szCs w:val="18"/>
                <w:lang w:eastAsia="zh-CN"/>
              </w:rPr>
              <w:t>区建设机遇，对辖区重点企业、重点项目探索实行“一名班子成员、一套方案、一抓到底”驻点精准帮扶工作制度，重点依托街道政企服务中心，强化多方资源整合及合作桥梁搭建，全过程开展贷款融资、人才招聘、环境保障、惠企政策落实等服务，积极推动企业拓展国外市场。3、是聚焦环境整治，推动绿色园区“新发展”。积极与各行业部门、职能单位以及第三方机构寻求搭线合作，协调行业职能部门完善园区道路、电线杆及交通信号灯等市政设施修补建设，持续改造提升绿化景观水平，切实提升城市治理科学化精细化智能化水平，健全完善垃圾</w:t>
            </w:r>
            <w:proofErr w:type="gramStart"/>
            <w:r>
              <w:rPr>
                <w:rFonts w:ascii="宋体" w:eastAsia="宋体" w:hAnsi="宋体" w:cs="宋体" w:hint="eastAsia"/>
                <w:sz w:val="18"/>
                <w:szCs w:val="18"/>
                <w:lang w:eastAsia="zh-CN"/>
              </w:rPr>
              <w:t>分类全</w:t>
            </w:r>
            <w:proofErr w:type="gramEnd"/>
            <w:r>
              <w:rPr>
                <w:rFonts w:ascii="宋体" w:eastAsia="宋体" w:hAnsi="宋体" w:cs="宋体" w:hint="eastAsia"/>
                <w:sz w:val="18"/>
                <w:szCs w:val="18"/>
                <w:lang w:eastAsia="zh-CN"/>
              </w:rPr>
              <w:t>流程处理机制，常态</w:t>
            </w:r>
            <w:proofErr w:type="gramStart"/>
            <w:r>
              <w:rPr>
                <w:rFonts w:ascii="宋体" w:eastAsia="宋体" w:hAnsi="宋体" w:cs="宋体" w:hint="eastAsia"/>
                <w:sz w:val="18"/>
                <w:szCs w:val="18"/>
                <w:lang w:eastAsia="zh-CN"/>
              </w:rPr>
              <w:t>化开展</w:t>
            </w:r>
            <w:proofErr w:type="gramEnd"/>
            <w:r>
              <w:rPr>
                <w:rFonts w:ascii="宋体" w:eastAsia="宋体" w:hAnsi="宋体" w:cs="宋体" w:hint="eastAsia"/>
                <w:sz w:val="18"/>
                <w:szCs w:val="18"/>
                <w:lang w:eastAsia="zh-CN"/>
              </w:rPr>
              <w:t>占道经营等市容环境整治，积极推动“万盛广场”等餐饮文娱产业综合体项目落地运营，打造创业就业、生活宜居的辖区良好环境。4、是加强作风建设，干部能力“新提升”。引导干部加强理论学习、厚实理论功底，特别是要</w:t>
            </w:r>
            <w:proofErr w:type="gramStart"/>
            <w:r>
              <w:rPr>
                <w:rFonts w:ascii="宋体" w:eastAsia="宋体" w:hAnsi="宋体" w:cs="宋体" w:hint="eastAsia"/>
                <w:sz w:val="18"/>
                <w:szCs w:val="18"/>
                <w:lang w:eastAsia="zh-CN"/>
              </w:rPr>
              <w:t>把握好习近</w:t>
            </w:r>
            <w:proofErr w:type="gramEnd"/>
            <w:r>
              <w:rPr>
                <w:rFonts w:ascii="宋体" w:eastAsia="宋体" w:hAnsi="宋体" w:cs="宋体" w:hint="eastAsia"/>
                <w:sz w:val="18"/>
                <w:szCs w:val="18"/>
                <w:lang w:eastAsia="zh-CN"/>
              </w:rPr>
              <w:t>平新时代中国特色社会主义思想的世界观和方法论，使新时代党的创新理论真正成为干部提高解决实际问题能力、做好一切工作的看家本领。不断提升专业素养、丰富专业知识、提高专业能力、增强专业本领。围绕企业服务、社会治理、安全生产等课题，分级分类分岗位组织专题培训，同时让干部</w:t>
            </w:r>
            <w:r>
              <w:rPr>
                <w:rFonts w:ascii="宋体" w:eastAsia="宋体" w:hAnsi="宋体" w:cs="宋体" w:hint="eastAsia"/>
                <w:sz w:val="18"/>
                <w:szCs w:val="18"/>
                <w:lang w:eastAsia="zh-CN"/>
              </w:rPr>
              <w:lastRenderedPageBreak/>
              <w:t>下沉一线经风雨、见世面、壮筋骨、长才干。</w:t>
            </w:r>
          </w:p>
        </w:tc>
        <w:tc>
          <w:tcPr>
            <w:tcW w:w="284" w:type="dxa"/>
            <w:tcBorders>
              <w:top w:val="nil"/>
              <w:left w:val="nil"/>
              <w:bottom w:val="nil"/>
              <w:right w:val="nil"/>
            </w:tcBorders>
            <w:noWrap/>
            <w:vAlign w:val="center"/>
          </w:tcPr>
          <w:p w14:paraId="23E195AE" w14:textId="77777777" w:rsidR="00E37335" w:rsidRDefault="00E37335">
            <w:pPr>
              <w:widowControl w:val="0"/>
              <w:rPr>
                <w:rFonts w:ascii="宋体" w:eastAsia="宋体" w:hAnsi="宋体" w:cs="宋体" w:hint="eastAsia"/>
                <w:sz w:val="18"/>
                <w:szCs w:val="18"/>
                <w:lang w:eastAsia="zh-CN"/>
              </w:rPr>
            </w:pPr>
          </w:p>
        </w:tc>
      </w:tr>
      <w:tr w:rsidR="00E37335" w14:paraId="6AC3BAE2"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1F27156D"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396DBAEF"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41A92F7A"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tcPr>
          <w:p w14:paraId="128F2E32"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701" w:type="dxa"/>
            <w:tcBorders>
              <w:top w:val="nil"/>
              <w:left w:val="nil"/>
              <w:bottom w:val="single" w:sz="4" w:space="0" w:color="auto"/>
              <w:right w:val="single" w:sz="4" w:space="0" w:color="auto"/>
            </w:tcBorders>
            <w:vAlign w:val="center"/>
          </w:tcPr>
          <w:p w14:paraId="19EBE399"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0987173D"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992" w:type="dxa"/>
            <w:tcBorders>
              <w:top w:val="nil"/>
              <w:left w:val="nil"/>
              <w:bottom w:val="single" w:sz="4" w:space="0" w:color="auto"/>
              <w:right w:val="single" w:sz="4" w:space="0" w:color="auto"/>
            </w:tcBorders>
            <w:vAlign w:val="center"/>
          </w:tcPr>
          <w:p w14:paraId="1E932A8C"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720" w:type="dxa"/>
            <w:tcBorders>
              <w:top w:val="nil"/>
              <w:left w:val="nil"/>
              <w:bottom w:val="single" w:sz="4" w:space="0" w:color="auto"/>
              <w:right w:val="single" w:sz="4" w:space="0" w:color="auto"/>
            </w:tcBorders>
            <w:vAlign w:val="center"/>
          </w:tcPr>
          <w:p w14:paraId="0ED3F6DB" w14:textId="77777777" w:rsidR="00E37335" w:rsidRDefault="00000000">
            <w:pPr>
              <w:widowControl w:val="0"/>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74B1F9A9" w14:textId="77777777" w:rsidR="00E37335" w:rsidRDefault="00E37335">
            <w:pPr>
              <w:widowControl w:val="0"/>
              <w:rPr>
                <w:rFonts w:ascii="宋体" w:eastAsia="宋体" w:hAnsi="宋体" w:cs="宋体" w:hint="eastAsia"/>
                <w:b/>
                <w:bCs/>
                <w:sz w:val="18"/>
                <w:szCs w:val="18"/>
              </w:rPr>
            </w:pPr>
          </w:p>
        </w:tc>
      </w:tr>
      <w:tr w:rsidR="00E37335" w14:paraId="089C8651" w14:textId="77777777">
        <w:trPr>
          <w:trHeight w:val="740"/>
        </w:trPr>
        <w:tc>
          <w:tcPr>
            <w:tcW w:w="993" w:type="dxa"/>
            <w:vMerge w:val="restart"/>
            <w:tcBorders>
              <w:top w:val="single" w:sz="4" w:space="0" w:color="auto"/>
              <w:left w:val="single" w:sz="4" w:space="0" w:color="auto"/>
              <w:right w:val="single" w:sz="4" w:space="0" w:color="auto"/>
            </w:tcBorders>
            <w:noWrap/>
            <w:vAlign w:val="center"/>
          </w:tcPr>
          <w:p w14:paraId="71E55EEB" w14:textId="77777777" w:rsidR="00E37335" w:rsidRDefault="00000000">
            <w:pPr>
              <w:widowControl w:val="0"/>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07775004" w14:textId="77777777" w:rsidR="00E37335" w:rsidRDefault="00000000">
            <w:pPr>
              <w:widowControl w:val="0"/>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074559A3" w14:textId="77777777" w:rsidR="00E37335" w:rsidRDefault="00000000">
            <w:pPr>
              <w:widowControl w:val="0"/>
              <w:jc w:val="center"/>
              <w:rPr>
                <w:rFonts w:ascii="宋体" w:eastAsia="宋体" w:hAnsi="宋体" w:cs="宋体" w:hint="eastAsia"/>
                <w:sz w:val="18"/>
                <w:szCs w:val="18"/>
              </w:rPr>
            </w:pPr>
            <w:proofErr w:type="spellStart"/>
            <w:r>
              <w:rPr>
                <w:rFonts w:ascii="宋体" w:eastAsia="宋体" w:hAnsi="宋体" w:cs="宋体" w:hint="eastAsia"/>
                <w:sz w:val="18"/>
                <w:szCs w:val="18"/>
              </w:rPr>
              <w:t>学习次数</w:t>
            </w:r>
            <w:proofErr w:type="spellEnd"/>
          </w:p>
        </w:tc>
        <w:tc>
          <w:tcPr>
            <w:tcW w:w="1276" w:type="dxa"/>
            <w:tcBorders>
              <w:top w:val="nil"/>
              <w:left w:val="nil"/>
              <w:bottom w:val="single" w:sz="4" w:space="0" w:color="auto"/>
              <w:right w:val="single" w:sz="4" w:space="0" w:color="auto"/>
            </w:tcBorders>
            <w:noWrap/>
            <w:vAlign w:val="center"/>
          </w:tcPr>
          <w:p w14:paraId="0A8C6DD4"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&gt;=45次</w:t>
            </w:r>
          </w:p>
        </w:tc>
        <w:tc>
          <w:tcPr>
            <w:tcW w:w="1701" w:type="dxa"/>
            <w:tcBorders>
              <w:top w:val="nil"/>
              <w:left w:val="nil"/>
              <w:bottom w:val="single" w:sz="4" w:space="0" w:color="auto"/>
              <w:right w:val="single" w:sz="4" w:space="0" w:color="auto"/>
            </w:tcBorders>
            <w:noWrap/>
            <w:vAlign w:val="center"/>
          </w:tcPr>
          <w:p w14:paraId="485E068D" w14:textId="77777777" w:rsidR="00E37335" w:rsidRDefault="00000000">
            <w:pPr>
              <w:widowControl w:val="0"/>
              <w:rPr>
                <w:rFonts w:ascii="宋体" w:eastAsia="宋体" w:hAnsi="宋体" w:cs="宋体" w:hint="eastAsia"/>
                <w:sz w:val="18"/>
                <w:szCs w:val="18"/>
                <w:lang w:eastAsia="zh-CN"/>
              </w:rPr>
            </w:pPr>
            <w:r>
              <w:rPr>
                <w:rFonts w:ascii="宋体" w:eastAsia="宋体" w:hAnsi="宋体" w:cs="宋体" w:hint="eastAsia"/>
                <w:sz w:val="18"/>
                <w:szCs w:val="18"/>
                <w:lang w:eastAsia="zh-CN"/>
              </w:rPr>
              <w:t>2023年工作总结及下一年计划</w:t>
            </w:r>
          </w:p>
        </w:tc>
        <w:tc>
          <w:tcPr>
            <w:tcW w:w="1134" w:type="dxa"/>
            <w:tcBorders>
              <w:top w:val="nil"/>
              <w:left w:val="nil"/>
              <w:bottom w:val="single" w:sz="4" w:space="0" w:color="auto"/>
              <w:right w:val="single" w:sz="4" w:space="0" w:color="auto"/>
            </w:tcBorders>
            <w:noWrap/>
            <w:vAlign w:val="center"/>
          </w:tcPr>
          <w:p w14:paraId="5A2E3353"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30</w:t>
            </w:r>
          </w:p>
        </w:tc>
        <w:tc>
          <w:tcPr>
            <w:tcW w:w="992" w:type="dxa"/>
            <w:tcBorders>
              <w:top w:val="nil"/>
              <w:left w:val="nil"/>
              <w:bottom w:val="single" w:sz="4" w:space="0" w:color="auto"/>
              <w:right w:val="single" w:sz="4" w:space="0" w:color="auto"/>
            </w:tcBorders>
            <w:noWrap/>
            <w:vAlign w:val="center"/>
          </w:tcPr>
          <w:p w14:paraId="3973EAC4"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2F024575"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20</w:t>
            </w:r>
          </w:p>
        </w:tc>
        <w:tc>
          <w:tcPr>
            <w:tcW w:w="284" w:type="dxa"/>
            <w:tcBorders>
              <w:top w:val="nil"/>
              <w:left w:val="nil"/>
              <w:bottom w:val="nil"/>
              <w:right w:val="nil"/>
            </w:tcBorders>
            <w:noWrap/>
            <w:vAlign w:val="center"/>
          </w:tcPr>
          <w:p w14:paraId="052F74B2" w14:textId="77777777" w:rsidR="00E37335" w:rsidRDefault="00E37335">
            <w:pPr>
              <w:widowControl w:val="0"/>
              <w:jc w:val="center"/>
              <w:rPr>
                <w:rFonts w:ascii="宋体" w:eastAsia="宋体" w:hAnsi="宋体" w:cs="宋体" w:hint="eastAsia"/>
                <w:sz w:val="18"/>
                <w:szCs w:val="18"/>
              </w:rPr>
            </w:pPr>
          </w:p>
        </w:tc>
      </w:tr>
      <w:tr w:rsidR="00E37335" w14:paraId="29A8D8C8" w14:textId="77777777">
        <w:trPr>
          <w:trHeight w:val="740"/>
        </w:trPr>
        <w:tc>
          <w:tcPr>
            <w:tcW w:w="993" w:type="dxa"/>
            <w:vMerge/>
            <w:tcBorders>
              <w:left w:val="single" w:sz="4" w:space="0" w:color="auto"/>
              <w:right w:val="single" w:sz="4" w:space="0" w:color="auto"/>
            </w:tcBorders>
            <w:noWrap/>
            <w:vAlign w:val="center"/>
          </w:tcPr>
          <w:p w14:paraId="77D986FF" w14:textId="77777777" w:rsidR="00E37335" w:rsidRDefault="00E37335">
            <w:pPr>
              <w:widowControl w:val="0"/>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6F1CDFF7" w14:textId="77777777" w:rsidR="00E37335" w:rsidRDefault="00E37335">
            <w:pPr>
              <w:widowControl w:val="0"/>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41C90655" w14:textId="77777777" w:rsidR="00E37335" w:rsidRDefault="00000000">
            <w:pPr>
              <w:widowControl w:val="0"/>
              <w:jc w:val="center"/>
              <w:rPr>
                <w:rFonts w:ascii="宋体" w:eastAsia="宋体" w:hAnsi="宋体" w:cs="宋体" w:hint="eastAsia"/>
                <w:sz w:val="18"/>
                <w:szCs w:val="18"/>
              </w:rPr>
            </w:pPr>
            <w:proofErr w:type="spellStart"/>
            <w:r>
              <w:rPr>
                <w:rFonts w:ascii="宋体" w:eastAsia="宋体" w:hAnsi="宋体" w:cs="宋体" w:hint="eastAsia"/>
                <w:sz w:val="18"/>
                <w:szCs w:val="18"/>
              </w:rPr>
              <w:t>社区五好党支部数量</w:t>
            </w:r>
            <w:proofErr w:type="spellEnd"/>
          </w:p>
        </w:tc>
        <w:tc>
          <w:tcPr>
            <w:tcW w:w="1276" w:type="dxa"/>
            <w:tcBorders>
              <w:top w:val="nil"/>
              <w:left w:val="nil"/>
              <w:bottom w:val="single" w:sz="4" w:space="0" w:color="auto"/>
              <w:right w:val="single" w:sz="4" w:space="0" w:color="auto"/>
            </w:tcBorders>
            <w:noWrap/>
            <w:vAlign w:val="center"/>
          </w:tcPr>
          <w:p w14:paraId="5804D19B"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=5个</w:t>
            </w:r>
          </w:p>
        </w:tc>
        <w:tc>
          <w:tcPr>
            <w:tcW w:w="1701" w:type="dxa"/>
            <w:tcBorders>
              <w:top w:val="nil"/>
              <w:left w:val="nil"/>
              <w:bottom w:val="single" w:sz="4" w:space="0" w:color="auto"/>
              <w:right w:val="single" w:sz="4" w:space="0" w:color="auto"/>
            </w:tcBorders>
            <w:noWrap/>
            <w:vAlign w:val="center"/>
          </w:tcPr>
          <w:p w14:paraId="4BEA0245" w14:textId="77777777" w:rsidR="00E37335" w:rsidRDefault="00000000">
            <w:pPr>
              <w:widowControl w:val="0"/>
              <w:rPr>
                <w:rFonts w:ascii="宋体" w:eastAsia="宋体" w:hAnsi="宋体" w:cs="宋体" w:hint="eastAsia"/>
                <w:sz w:val="18"/>
                <w:szCs w:val="18"/>
                <w:lang w:eastAsia="zh-CN"/>
              </w:rPr>
            </w:pPr>
            <w:r>
              <w:rPr>
                <w:rFonts w:ascii="宋体" w:eastAsia="宋体" w:hAnsi="宋体" w:cs="宋体" w:hint="eastAsia"/>
                <w:sz w:val="18"/>
                <w:szCs w:val="18"/>
                <w:lang w:eastAsia="zh-CN"/>
              </w:rPr>
              <w:t>盛达东路街道五好党支部创建方案</w:t>
            </w:r>
          </w:p>
        </w:tc>
        <w:tc>
          <w:tcPr>
            <w:tcW w:w="1134" w:type="dxa"/>
            <w:tcBorders>
              <w:top w:val="nil"/>
              <w:left w:val="nil"/>
              <w:bottom w:val="single" w:sz="4" w:space="0" w:color="auto"/>
              <w:right w:val="single" w:sz="4" w:space="0" w:color="auto"/>
            </w:tcBorders>
            <w:noWrap/>
            <w:vAlign w:val="center"/>
          </w:tcPr>
          <w:p w14:paraId="6B65FE89"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4</w:t>
            </w:r>
          </w:p>
        </w:tc>
        <w:tc>
          <w:tcPr>
            <w:tcW w:w="992" w:type="dxa"/>
            <w:tcBorders>
              <w:top w:val="nil"/>
              <w:left w:val="nil"/>
              <w:bottom w:val="single" w:sz="4" w:space="0" w:color="auto"/>
              <w:right w:val="single" w:sz="4" w:space="0" w:color="auto"/>
            </w:tcBorders>
            <w:noWrap/>
            <w:vAlign w:val="center"/>
          </w:tcPr>
          <w:p w14:paraId="42E2B612"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0E6FA463"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24</w:t>
            </w:r>
          </w:p>
        </w:tc>
        <w:tc>
          <w:tcPr>
            <w:tcW w:w="284" w:type="dxa"/>
            <w:tcBorders>
              <w:top w:val="nil"/>
              <w:left w:val="nil"/>
              <w:bottom w:val="nil"/>
              <w:right w:val="nil"/>
            </w:tcBorders>
            <w:noWrap/>
            <w:vAlign w:val="center"/>
          </w:tcPr>
          <w:p w14:paraId="6C022741" w14:textId="77777777" w:rsidR="00E37335" w:rsidRDefault="00E37335">
            <w:pPr>
              <w:widowControl w:val="0"/>
              <w:jc w:val="center"/>
              <w:rPr>
                <w:rFonts w:ascii="宋体" w:eastAsia="宋体" w:hAnsi="宋体" w:cs="宋体" w:hint="eastAsia"/>
                <w:sz w:val="18"/>
                <w:szCs w:val="18"/>
              </w:rPr>
            </w:pPr>
          </w:p>
        </w:tc>
      </w:tr>
      <w:tr w:rsidR="00E37335" w14:paraId="5ABD1688" w14:textId="77777777">
        <w:trPr>
          <w:trHeight w:val="740"/>
        </w:trPr>
        <w:tc>
          <w:tcPr>
            <w:tcW w:w="993" w:type="dxa"/>
            <w:vMerge/>
            <w:tcBorders>
              <w:left w:val="single" w:sz="4" w:space="0" w:color="auto"/>
              <w:bottom w:val="single" w:sz="4" w:space="0" w:color="auto"/>
              <w:right w:val="single" w:sz="4" w:space="0" w:color="auto"/>
            </w:tcBorders>
            <w:noWrap/>
            <w:vAlign w:val="center"/>
          </w:tcPr>
          <w:p w14:paraId="4D914759" w14:textId="77777777" w:rsidR="00E37335" w:rsidRDefault="00E37335">
            <w:pPr>
              <w:widowControl w:val="0"/>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596B013D" w14:textId="77777777" w:rsidR="00E37335" w:rsidRDefault="00E37335">
            <w:pPr>
              <w:widowControl w:val="0"/>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791B6E2D" w14:textId="77777777" w:rsidR="00E37335" w:rsidRDefault="00000000">
            <w:pPr>
              <w:widowControl w:val="0"/>
              <w:jc w:val="center"/>
              <w:rPr>
                <w:rFonts w:ascii="宋体" w:eastAsia="宋体" w:hAnsi="宋体" w:cs="宋体" w:hint="eastAsia"/>
                <w:sz w:val="18"/>
                <w:szCs w:val="18"/>
              </w:rPr>
            </w:pPr>
            <w:proofErr w:type="spellStart"/>
            <w:r>
              <w:rPr>
                <w:rFonts w:ascii="宋体" w:eastAsia="宋体" w:hAnsi="宋体" w:cs="宋体" w:hint="eastAsia"/>
                <w:sz w:val="18"/>
                <w:szCs w:val="18"/>
              </w:rPr>
              <w:t>财政供养人员数</w:t>
            </w:r>
            <w:proofErr w:type="spellEnd"/>
          </w:p>
        </w:tc>
        <w:tc>
          <w:tcPr>
            <w:tcW w:w="1276" w:type="dxa"/>
            <w:tcBorders>
              <w:top w:val="single" w:sz="4" w:space="0" w:color="auto"/>
              <w:left w:val="nil"/>
              <w:bottom w:val="single" w:sz="4" w:space="0" w:color="auto"/>
              <w:right w:val="single" w:sz="4" w:space="0" w:color="auto"/>
            </w:tcBorders>
            <w:noWrap/>
            <w:vAlign w:val="center"/>
          </w:tcPr>
          <w:p w14:paraId="2C5EBF91"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&gt;=200人</w:t>
            </w:r>
          </w:p>
        </w:tc>
        <w:tc>
          <w:tcPr>
            <w:tcW w:w="1701" w:type="dxa"/>
            <w:tcBorders>
              <w:top w:val="single" w:sz="4" w:space="0" w:color="auto"/>
              <w:left w:val="nil"/>
              <w:bottom w:val="single" w:sz="4" w:space="0" w:color="auto"/>
              <w:right w:val="single" w:sz="4" w:space="0" w:color="auto"/>
            </w:tcBorders>
            <w:noWrap/>
            <w:vAlign w:val="center"/>
          </w:tcPr>
          <w:p w14:paraId="49E7E408" w14:textId="77777777" w:rsidR="00E37335" w:rsidRDefault="00000000">
            <w:pPr>
              <w:widowControl w:val="0"/>
              <w:rPr>
                <w:rFonts w:ascii="宋体" w:eastAsia="宋体" w:hAnsi="宋体" w:cs="宋体" w:hint="eastAsia"/>
                <w:sz w:val="18"/>
                <w:szCs w:val="18"/>
                <w:lang w:eastAsia="zh-CN"/>
              </w:rPr>
            </w:pPr>
            <w:r>
              <w:rPr>
                <w:rFonts w:ascii="宋体" w:eastAsia="宋体" w:hAnsi="宋体" w:cs="宋体" w:hint="eastAsia"/>
                <w:sz w:val="18"/>
                <w:szCs w:val="18"/>
                <w:lang w:eastAsia="zh-CN"/>
              </w:rPr>
              <w:t>国务院办公厅下发《关于对贯彻落实“约法三章”进一步加强督促检查的意见》</w:t>
            </w:r>
          </w:p>
        </w:tc>
        <w:tc>
          <w:tcPr>
            <w:tcW w:w="1134" w:type="dxa"/>
            <w:tcBorders>
              <w:top w:val="single" w:sz="4" w:space="0" w:color="auto"/>
              <w:left w:val="nil"/>
              <w:bottom w:val="single" w:sz="4" w:space="0" w:color="auto"/>
              <w:right w:val="single" w:sz="4" w:space="0" w:color="auto"/>
            </w:tcBorders>
            <w:noWrap/>
            <w:vAlign w:val="center"/>
          </w:tcPr>
          <w:p w14:paraId="6023F640"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188</w:t>
            </w:r>
          </w:p>
        </w:tc>
        <w:tc>
          <w:tcPr>
            <w:tcW w:w="992" w:type="dxa"/>
            <w:tcBorders>
              <w:top w:val="single" w:sz="4" w:space="0" w:color="auto"/>
              <w:left w:val="nil"/>
              <w:bottom w:val="single" w:sz="4" w:space="0" w:color="auto"/>
              <w:right w:val="single" w:sz="4" w:space="0" w:color="auto"/>
            </w:tcBorders>
            <w:noWrap/>
            <w:vAlign w:val="center"/>
          </w:tcPr>
          <w:p w14:paraId="5EAACBF1"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595EBC75"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28</w:t>
            </w:r>
          </w:p>
        </w:tc>
        <w:tc>
          <w:tcPr>
            <w:tcW w:w="284" w:type="dxa"/>
            <w:tcBorders>
              <w:top w:val="nil"/>
              <w:left w:val="nil"/>
              <w:bottom w:val="nil"/>
              <w:right w:val="nil"/>
            </w:tcBorders>
            <w:noWrap/>
            <w:vAlign w:val="center"/>
          </w:tcPr>
          <w:p w14:paraId="2270C187" w14:textId="77777777" w:rsidR="00E37335" w:rsidRDefault="00E37335">
            <w:pPr>
              <w:widowControl w:val="0"/>
              <w:jc w:val="center"/>
              <w:rPr>
                <w:rFonts w:ascii="宋体" w:eastAsia="宋体" w:hAnsi="宋体" w:cs="宋体" w:hint="eastAsia"/>
                <w:sz w:val="18"/>
                <w:szCs w:val="18"/>
              </w:rPr>
            </w:pPr>
          </w:p>
        </w:tc>
      </w:tr>
      <w:tr w:rsidR="00E37335" w14:paraId="5EF3B687" w14:textId="77777777">
        <w:trPr>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23164BFB" w14:textId="77777777" w:rsidR="00E37335" w:rsidRDefault="00000000">
            <w:pPr>
              <w:widowControl w:val="0"/>
              <w:jc w:val="center"/>
              <w:rPr>
                <w:rFonts w:ascii="宋体" w:eastAsia="宋体" w:hAnsi="宋体" w:cs="宋体" w:hint="eastAsia"/>
                <w:sz w:val="18"/>
                <w:szCs w:val="18"/>
              </w:rPr>
            </w:pPr>
            <w:proofErr w:type="spellStart"/>
            <w:r>
              <w:rPr>
                <w:rFonts w:ascii="宋体" w:eastAsia="宋体" w:hAnsi="宋体" w:cs="宋体" w:hint="eastAsia"/>
                <w:sz w:val="18"/>
                <w:szCs w:val="18"/>
              </w:rPr>
              <w:t>总分</w:t>
            </w:r>
            <w:proofErr w:type="spellEnd"/>
          </w:p>
        </w:tc>
        <w:tc>
          <w:tcPr>
            <w:tcW w:w="992" w:type="dxa"/>
            <w:tcBorders>
              <w:top w:val="single" w:sz="4" w:space="0" w:color="auto"/>
              <w:left w:val="nil"/>
              <w:bottom w:val="single" w:sz="4" w:space="0" w:color="auto"/>
              <w:right w:val="single" w:sz="4" w:space="0" w:color="auto"/>
            </w:tcBorders>
            <w:noWrap/>
            <w:vAlign w:val="center"/>
          </w:tcPr>
          <w:p w14:paraId="296D973B"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6C4F6B01" w14:textId="77777777" w:rsidR="00E37335" w:rsidRDefault="00000000">
            <w:pPr>
              <w:widowControl w:val="0"/>
              <w:jc w:val="center"/>
              <w:rPr>
                <w:rFonts w:ascii="宋体" w:eastAsia="宋体" w:hAnsi="宋体" w:cs="宋体" w:hint="eastAsia"/>
                <w:sz w:val="18"/>
                <w:szCs w:val="18"/>
              </w:rPr>
            </w:pPr>
            <w:r>
              <w:rPr>
                <w:rFonts w:ascii="宋体" w:eastAsia="宋体" w:hAnsi="宋体" w:cs="宋体" w:hint="eastAsia"/>
                <w:sz w:val="18"/>
                <w:szCs w:val="18"/>
              </w:rPr>
              <w:t>82</w:t>
            </w:r>
          </w:p>
        </w:tc>
        <w:tc>
          <w:tcPr>
            <w:tcW w:w="284" w:type="dxa"/>
            <w:tcBorders>
              <w:top w:val="nil"/>
              <w:left w:val="nil"/>
              <w:bottom w:val="nil"/>
              <w:right w:val="nil"/>
            </w:tcBorders>
            <w:noWrap/>
            <w:vAlign w:val="center"/>
          </w:tcPr>
          <w:p w14:paraId="3DC8E486" w14:textId="77777777" w:rsidR="00E37335" w:rsidRDefault="00E37335">
            <w:pPr>
              <w:widowControl w:val="0"/>
              <w:jc w:val="center"/>
              <w:rPr>
                <w:rFonts w:ascii="宋体" w:eastAsia="宋体" w:hAnsi="宋体" w:cs="宋体" w:hint="eastAsia"/>
                <w:sz w:val="18"/>
                <w:szCs w:val="18"/>
              </w:rPr>
            </w:pPr>
          </w:p>
        </w:tc>
      </w:tr>
    </w:tbl>
    <w:p w14:paraId="46AE4EAE" w14:textId="77777777" w:rsidR="00E37335"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20D4CFC2" w14:textId="063ABC3E" w:rsidR="00E37335" w:rsidRDefault="00000000" w:rsidP="006E76D1">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6E45C8F1" w14:textId="77777777" w:rsidR="006E76D1" w:rsidRDefault="006E76D1">
      <w:pPr>
        <w:spacing w:after="0" w:line="240" w:lineRule="auto"/>
        <w:rPr>
          <w:rFonts w:ascii="黑体" w:eastAsia="黑体"/>
          <w:sz w:val="32"/>
          <w:szCs w:val="32"/>
          <w:lang w:eastAsia="zh-CN"/>
        </w:rPr>
      </w:pPr>
      <w:r>
        <w:rPr>
          <w:rFonts w:ascii="黑体" w:eastAsia="黑体"/>
          <w:sz w:val="32"/>
          <w:szCs w:val="32"/>
          <w:lang w:eastAsia="zh-CN"/>
        </w:rPr>
        <w:br w:type="page"/>
      </w:r>
    </w:p>
    <w:p w14:paraId="1F33053E" w14:textId="3AAF330A" w:rsidR="00E37335"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035CE51B" w14:textId="77777777" w:rsidR="00E3733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1DCDFE86" w14:textId="77777777" w:rsidR="00E3733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2AA19A0" w14:textId="77777777" w:rsidR="00E3733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2A5B26A" w14:textId="77777777" w:rsidR="00E3733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9BA7B8E" w14:textId="77777777" w:rsidR="00E3733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222C868" w14:textId="77777777" w:rsidR="00E3733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B6F251B" w14:textId="77777777" w:rsidR="00E3733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1EF6929" w14:textId="77777777" w:rsidR="00E3733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8A1F008" w14:textId="77777777" w:rsidR="00E3733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57824E34" w14:textId="77777777" w:rsidR="00E3733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3CFF15EE" w14:textId="77777777" w:rsidR="00E3733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0F91AAA" w14:textId="77777777" w:rsidR="00E3733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F809F03" w14:textId="77777777" w:rsidR="00E3733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5460F2DB" w14:textId="77777777" w:rsidR="00E37335"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651A150" w14:textId="77777777" w:rsidR="00E37335" w:rsidRDefault="00000000">
      <w:pPr>
        <w:rPr>
          <w:lang w:eastAsia="zh-CN"/>
        </w:rPr>
      </w:pPr>
      <w:r>
        <w:rPr>
          <w:sz w:val="0"/>
          <w:szCs w:val="0"/>
          <w:lang w:eastAsia="zh-CN"/>
        </w:rPr>
        <w:br w:type="page"/>
      </w:r>
    </w:p>
    <w:p w14:paraId="24A6472A" w14:textId="77777777" w:rsidR="00E37335"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1A04EC94" w14:textId="77777777" w:rsidR="00E3733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49F4A6D5" w14:textId="77777777" w:rsidR="00E3733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49B114A4" w14:textId="77777777" w:rsidR="00E3733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971BA8F" w14:textId="77777777" w:rsidR="00E3733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B0ED7C5" w14:textId="77777777" w:rsidR="00E3733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3784F8C" w14:textId="77777777" w:rsidR="00E3733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990836D" w14:textId="77777777" w:rsidR="00E3733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80ED712" w14:textId="77777777" w:rsidR="00E3733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C5DABA5" w14:textId="77777777" w:rsidR="00E37335"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E3733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93CBFD" w14:textId="77777777" w:rsidR="008278DE" w:rsidRDefault="008278DE">
      <w:pPr>
        <w:spacing w:line="240" w:lineRule="auto"/>
      </w:pPr>
      <w:r>
        <w:separator/>
      </w:r>
    </w:p>
  </w:endnote>
  <w:endnote w:type="continuationSeparator" w:id="0">
    <w:p w14:paraId="23CC6490" w14:textId="77777777" w:rsidR="008278DE" w:rsidRDefault="008278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3C2288" w14:textId="77777777" w:rsidR="008278DE" w:rsidRDefault="008278DE">
      <w:pPr>
        <w:spacing w:after="0"/>
      </w:pPr>
      <w:r>
        <w:separator/>
      </w:r>
    </w:p>
  </w:footnote>
  <w:footnote w:type="continuationSeparator" w:id="0">
    <w:p w14:paraId="1B3E6EF1" w14:textId="77777777" w:rsidR="008278DE" w:rsidRDefault="008278D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E37335"/>
    <w:rsid w:val="006E76D1"/>
    <w:rsid w:val="008278DE"/>
    <w:rsid w:val="00A70D68"/>
    <w:rsid w:val="00E37335"/>
    <w:rsid w:val="01E50D53"/>
    <w:rsid w:val="03771E7F"/>
    <w:rsid w:val="037C0F0D"/>
    <w:rsid w:val="063F4D75"/>
    <w:rsid w:val="076B5857"/>
    <w:rsid w:val="14593607"/>
    <w:rsid w:val="16B25250"/>
    <w:rsid w:val="1954439D"/>
    <w:rsid w:val="1D102CD1"/>
    <w:rsid w:val="1E012619"/>
    <w:rsid w:val="20290441"/>
    <w:rsid w:val="287405B8"/>
    <w:rsid w:val="2A137C14"/>
    <w:rsid w:val="2F6241C8"/>
    <w:rsid w:val="30466CDD"/>
    <w:rsid w:val="30FA7AC8"/>
    <w:rsid w:val="35DE52C2"/>
    <w:rsid w:val="36B9188B"/>
    <w:rsid w:val="39241B86"/>
    <w:rsid w:val="489D725F"/>
    <w:rsid w:val="4E3E294A"/>
    <w:rsid w:val="51385D77"/>
    <w:rsid w:val="534529CD"/>
    <w:rsid w:val="58AB1524"/>
    <w:rsid w:val="5A5B2AD6"/>
    <w:rsid w:val="65853B25"/>
    <w:rsid w:val="6A973924"/>
    <w:rsid w:val="6BC77FCB"/>
    <w:rsid w:val="764D0FCD"/>
    <w:rsid w:val="777059BB"/>
    <w:rsid w:val="7A15284A"/>
    <w:rsid w:val="7BD76009"/>
    <w:rsid w:val="7EE545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D11A86F"/>
  <w15:docId w15:val="{08C131F1-EF01-4694-B5A1-554F63690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16</Pages>
  <Words>4244</Words>
  <Characters>4585</Characters>
  <Application>Microsoft Office Word</Application>
  <DocSecurity>0</DocSecurity>
  <Lines>269</Lines>
  <Paragraphs>200</Paragraphs>
  <ScaleCrop>false</ScaleCrop>
  <Company/>
  <LinksUpToDate>false</LinksUpToDate>
  <CharactersWithSpaces>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雍虹虹</dc:creator>
  <cp:lastModifiedBy>慧 吉</cp:lastModifiedBy>
  <cp:revision>2</cp:revision>
  <dcterms:created xsi:type="dcterms:W3CDTF">2025-10-10T02:52:00Z</dcterms:created>
  <dcterms:modified xsi:type="dcterms:W3CDTF">2025-10-15T03:05:00Z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BBD08081894D4AD19E501B510102931E_12</vt:lpwstr>
  </property>
</Properties>
</file>