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DCB3C1">
      <w:pPr>
        <w:spacing w:after="0" w:line="240" w:lineRule="auto"/>
        <w:rPr>
          <w:rFonts w:ascii="宋体" w:eastAsia="宋体"/>
          <w:sz w:val="32"/>
          <w:szCs w:val="32"/>
        </w:rPr>
      </w:pPr>
    </w:p>
    <w:p w14:paraId="05E8BCFF">
      <w:pPr>
        <w:spacing w:after="0" w:line="240" w:lineRule="auto"/>
        <w:rPr>
          <w:rFonts w:ascii="宋体" w:eastAsia="宋体"/>
          <w:sz w:val="44"/>
          <w:szCs w:val="44"/>
        </w:rPr>
      </w:pPr>
    </w:p>
    <w:p w14:paraId="4CA739DC">
      <w:pPr>
        <w:spacing w:after="0" w:line="240" w:lineRule="auto"/>
        <w:rPr>
          <w:rFonts w:ascii="宋体" w:eastAsia="宋体"/>
          <w:sz w:val="44"/>
          <w:szCs w:val="44"/>
        </w:rPr>
      </w:pPr>
    </w:p>
    <w:p w14:paraId="466381BE">
      <w:pPr>
        <w:spacing w:after="0" w:line="240" w:lineRule="auto"/>
        <w:rPr>
          <w:rFonts w:ascii="宋体" w:eastAsia="宋体"/>
          <w:sz w:val="44"/>
          <w:szCs w:val="44"/>
        </w:rPr>
      </w:pPr>
    </w:p>
    <w:p w14:paraId="7275212C">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乌鲁木齐市米东区统计局</w:t>
      </w:r>
    </w:p>
    <w:p w14:paraId="12869C4F">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12737F9">
      <w:pPr>
        <w:rPr>
          <w:lang w:eastAsia="zh-CN"/>
        </w:rPr>
      </w:pPr>
      <w:r>
        <w:rPr>
          <w:sz w:val="0"/>
          <w:szCs w:val="0"/>
          <w:lang w:eastAsia="zh-CN"/>
        </w:rPr>
        <w:br w:type="page"/>
      </w:r>
    </w:p>
    <w:p w14:paraId="689B2AEA">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23CA3C95">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082F759">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B57D54A">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539E6E6B">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FFEE658">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0D7B84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1EC459E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DB8AC21">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0B0724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C1E3882">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E6ABE13">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00AB9A4">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680A124">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FB2D6B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AE509D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FB68C1D">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92A11AC">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4DF4C4DB">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4230E97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9784C65">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717AF4F">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2AD43C3">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C0D766A">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B84B3F9">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CF92DDA">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E60C83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1EE569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2F7C28C2">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9346EC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B8A79AB">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A6A89DD">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43796C3">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39F8883">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2A44E2FB">
      <w:pPr>
        <w:rPr>
          <w:lang w:eastAsia="zh-CN"/>
        </w:rPr>
      </w:pPr>
      <w:r>
        <w:rPr>
          <w:sz w:val="0"/>
          <w:szCs w:val="0"/>
          <w:lang w:eastAsia="zh-CN"/>
        </w:rPr>
        <w:br w:type="page"/>
      </w:r>
    </w:p>
    <w:p w14:paraId="2FC48569">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213ED8E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0313BB8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1.贯彻执行国家、自治区和乌鲁木齐市有关统计工作的方针、政策和法律、法规；编制统计工作中长期规划和年度计划，并组织实施。</w:t>
      </w:r>
    </w:p>
    <w:p w14:paraId="270E314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2.承担组织、领导和协调全区统计工作、确保统计数据真实、准确和及时的责任。</w:t>
      </w:r>
    </w:p>
    <w:p w14:paraId="6685B86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3.建立健全全区国民经济核算体系，组织实施国民经济核算制度；核算全区地区生产总值，整理提供国民经济核算资料，开展相关分析研究；组织实施全区投入产出调查。</w:t>
      </w:r>
    </w:p>
    <w:p w14:paraId="3300341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4.负责全区农林牧渔业、工业、交通运输、邮电、固定资产投资、建筑业、房地产业、批发和零售业、住宿和餐饮业、金融业的统计调查；收集、汇总、整理和提供有关调查的统计数据。</w:t>
      </w:r>
    </w:p>
    <w:p w14:paraId="29DA323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5.负责能源、投资、人口、劳动力、社会发展基本情况、环境基本状况的统计调查；收集、汇总、整理和提供有关调查的统计数据。</w:t>
      </w:r>
    </w:p>
    <w:p w14:paraId="32C4364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6.负责社会保障、教育、科技、文化、卫生、旅游及城乡建设、对外经济、服务业的统计调查；收集、汇总、整理和提供有关调查的统计数据。</w:t>
      </w:r>
    </w:p>
    <w:p w14:paraId="2C6214C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7.组织实施人口、经济、农业等国情国力普查和重大专项调查，汇总、整理和提供有关统计数据。</w:t>
      </w:r>
    </w:p>
    <w:p w14:paraId="49C42D3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8.建立健全全区统计数据质量审核、监控和评估制度，并组织实施；组织、指导专业统计基础工作、统计基层业务基础建设；组织开展统计交流与合作。</w:t>
      </w:r>
    </w:p>
    <w:p w14:paraId="0606D0A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9.对国民经济、社会发展、科技进步和资源环境等情况进行统计分析和预测，向区委、区人民政府及有关部门提供统计信息和咨询建议；向社会公众提供统计信息服务。</w:t>
      </w:r>
    </w:p>
    <w:p w14:paraId="4E7E4E7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10.监督检查统计法律、法规的实施，依法查处本行政区域内发生的统计违法行为。</w:t>
      </w:r>
    </w:p>
    <w:p w14:paraId="5E94D18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11.指导全区统计专业人才队伍建设。</w:t>
      </w:r>
    </w:p>
    <w:p w14:paraId="0E36AE3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12.承办区委、区人民政府交办的其他事项。</w:t>
      </w:r>
    </w:p>
    <w:p w14:paraId="62C53D3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43CAD97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乌鲁木齐市米东区统计局2024年度，实有人数37人，其中：在职人员25人，增加1人；离休人员0人，较上年无变化；退休人员12人，增加1人。</w:t>
      </w:r>
    </w:p>
    <w:p w14:paraId="5804E28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乌鲁木齐市米东区统计局无下属预算单位，下设3个科室，分别是：党政办公室、综合科、社会经济科。</w:t>
      </w:r>
    </w:p>
    <w:p w14:paraId="4E730F09">
      <w:pPr>
        <w:rPr>
          <w:lang w:eastAsia="zh-CN"/>
        </w:rPr>
      </w:pPr>
      <w:r>
        <w:rPr>
          <w:sz w:val="0"/>
          <w:szCs w:val="0"/>
          <w:lang w:eastAsia="zh-CN"/>
        </w:rPr>
        <w:br w:type="page"/>
      </w:r>
    </w:p>
    <w:p w14:paraId="2F14BCBD">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49996AC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1DA28FD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2024年度收入总计490.84万元，其中：本年收入合计446.61万元，使用非财政拨款结余（含专用结余）0.00万元，年初结转和结余44.23万元。</w:t>
      </w:r>
    </w:p>
    <w:p w14:paraId="0074F76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2024年度支出总计490.84万元，其中：本年支出合计455.31万元，结余分配0.00万元，年末结转和结余35.54万元。</w:t>
      </w:r>
    </w:p>
    <w:p w14:paraId="224340F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收入支出总体与上年相比，减少52.86万元，下降9.72%，主要原因是：</w:t>
      </w:r>
      <w:r>
        <w:rPr>
          <w:rFonts w:hint="eastAsia" w:ascii="仿宋_GB2312" w:eastAsia="仿宋_GB2312"/>
          <w:sz w:val="32"/>
          <w:szCs w:val="32"/>
          <w:lang w:eastAsia="zh-CN"/>
        </w:rPr>
        <w:t>单位本年第五次全国经济普查项目经费、为民办实事项目经费减少</w:t>
      </w:r>
      <w:r>
        <w:rPr>
          <w:rFonts w:ascii="仿宋_GB2312" w:eastAsia="仿宋_GB2312"/>
          <w:sz w:val="32"/>
          <w:szCs w:val="32"/>
          <w:lang w:eastAsia="zh-CN"/>
        </w:rPr>
        <w:t>。</w:t>
      </w:r>
    </w:p>
    <w:p w14:paraId="09213AA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5AD4BB2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本年收入446.61万元，其中：财政拨款收入440.88万元,占98.72%；上级补助收入0.00万元,占0.00%；事业收入0.00万元，占0.00%；经营收入0.00万元,占0.00%；附属单位上缴收入0.00万元，占0.00%；其他收入5.73万元，占1.28%。</w:t>
      </w:r>
    </w:p>
    <w:p w14:paraId="2E1BACA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76BA712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本年支出455.31万元，其中：基本支出420.09万元，占92.26%；项目支出35.22万元，占7.74%；上缴上级支出0.00万元，占0.00%；经营支出0.00万元，占0.00%；对附属单位补助支出0.00万元，占0.00%。</w:t>
      </w:r>
    </w:p>
    <w:p w14:paraId="6993EF1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B48EE7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2024年度财政拨款收入总计447.93万元，其中：年初财政拨款结转和结余7.04万元，本年财政拨款收入440.88万元。财政拨款支出总计447.93万元，其中：年末财政拨款结转和结余13.50万元，本年财政拨款支出434.42万元。</w:t>
      </w:r>
    </w:p>
    <w:p w14:paraId="67F06D1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财政拨款收入支出总体与上年相比，减少52.35万元，下降10.46%，主要原因是：</w:t>
      </w:r>
      <w:r>
        <w:rPr>
          <w:rFonts w:hint="eastAsia" w:ascii="仿宋_GB2312" w:eastAsia="仿宋_GB2312"/>
          <w:sz w:val="32"/>
          <w:szCs w:val="32"/>
          <w:lang w:eastAsia="zh-CN"/>
        </w:rPr>
        <w:t>单位本年第五次全国经济普查项目经费、为民办实事项目经费减少</w:t>
      </w:r>
      <w:r>
        <w:rPr>
          <w:rFonts w:ascii="仿宋_GB2312" w:eastAsia="仿宋_GB2312"/>
          <w:sz w:val="32"/>
          <w:szCs w:val="32"/>
          <w:lang w:eastAsia="zh-CN"/>
        </w:rPr>
        <w:t>。与年初预算相比，年初预算数426.18万元，决算数447.93万元，预决算差异率5.10%，主要原因是：</w:t>
      </w:r>
      <w:r>
        <w:rPr>
          <w:rFonts w:hint="eastAsia" w:ascii="仿宋_GB2312" w:eastAsia="仿宋_GB2312"/>
          <w:sz w:val="32"/>
          <w:szCs w:val="32"/>
          <w:lang w:eastAsia="zh-CN"/>
        </w:rPr>
        <w:t>单位本年人员增加，年中追加人员工资、津贴补贴、奖金等经费</w:t>
      </w:r>
      <w:r>
        <w:rPr>
          <w:rFonts w:ascii="仿宋_GB2312" w:eastAsia="仿宋_GB2312"/>
          <w:sz w:val="32"/>
          <w:szCs w:val="32"/>
          <w:lang w:eastAsia="zh-CN"/>
        </w:rPr>
        <w:t>。</w:t>
      </w:r>
    </w:p>
    <w:p w14:paraId="0D9712B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7B5786D">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07D9E32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2024年度一般公共预算财政拨款支出434.42万元，占本年支出合计的95.41%。与上年相比，减少48.43万元，下降10.03%，主要原因是：</w:t>
      </w:r>
      <w:bookmarkStart w:id="0" w:name="_Hlk210986792"/>
      <w:r>
        <w:rPr>
          <w:rFonts w:hint="eastAsia" w:ascii="仿宋_GB2312" w:eastAsia="仿宋_GB2312"/>
          <w:sz w:val="32"/>
          <w:szCs w:val="32"/>
          <w:lang w:eastAsia="zh-CN"/>
        </w:rPr>
        <w:t>单位本年第五次全国经济普查项目经费、为民办实事项目经费减少</w:t>
      </w:r>
      <w:bookmarkEnd w:id="0"/>
      <w:r>
        <w:rPr>
          <w:rFonts w:ascii="仿宋_GB2312" w:eastAsia="仿宋_GB2312"/>
          <w:sz w:val="32"/>
          <w:szCs w:val="32"/>
          <w:lang w:eastAsia="zh-CN"/>
        </w:rPr>
        <w:t>。与年初预算相比，年初预算数426.18万元，决算数434.42万元，预决算差异率1.93%，主要原因是：</w:t>
      </w:r>
      <w:r>
        <w:rPr>
          <w:rFonts w:hint="eastAsia" w:ascii="仿宋_GB2312" w:eastAsia="仿宋_GB2312"/>
          <w:sz w:val="32"/>
          <w:szCs w:val="32"/>
          <w:lang w:eastAsia="zh-CN"/>
        </w:rPr>
        <w:t>单位本年人员增加，年中追加人员工资、津贴补贴、奖金等经费</w:t>
      </w:r>
      <w:r>
        <w:rPr>
          <w:rFonts w:ascii="仿宋_GB2312" w:eastAsia="仿宋_GB2312"/>
          <w:sz w:val="32"/>
          <w:szCs w:val="32"/>
          <w:lang w:eastAsia="zh-CN"/>
        </w:rPr>
        <w:t>。</w:t>
      </w:r>
    </w:p>
    <w:p w14:paraId="4CEC759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2667BF3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.一般公共服务支出（类）385.34万元，占88.70%。</w:t>
      </w:r>
    </w:p>
    <w:p w14:paraId="751FF5B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.社会保障和就业支出（类）49.09万元，占11.30%。</w:t>
      </w:r>
    </w:p>
    <w:p w14:paraId="6621C7DD">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38FD629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1、一般公共服务支出（类）统计信息事务（款）行政运行（项）：支出决算数为88.08万元，比上年决算减少30.65万元，下降25.81%，主要原因是：</w:t>
      </w:r>
      <w:r>
        <w:rPr>
          <w:rFonts w:hint="eastAsia" w:ascii="仿宋_GB2312" w:eastAsia="仿宋_GB2312"/>
          <w:sz w:val="32"/>
          <w:szCs w:val="32"/>
          <w:lang w:eastAsia="zh-CN"/>
        </w:rPr>
        <w:t>单位本年印刷费、维修（护）费、劳务费等经费减少。</w:t>
      </w:r>
    </w:p>
    <w:p w14:paraId="6BBC3DF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2、一般公共服务支出（类）统计信息事务（款）专项普查活动（项）：支出决算数为15.42万元，比上年决算减少9.08万元，下降37.06%，主要原因是：单位</w:t>
      </w:r>
      <w:bookmarkStart w:id="1" w:name="_Hlk210986560"/>
      <w:r>
        <w:rPr>
          <w:rFonts w:ascii="仿宋_GB2312" w:eastAsia="仿宋_GB2312"/>
          <w:sz w:val="32"/>
          <w:szCs w:val="32"/>
          <w:lang w:eastAsia="zh-CN"/>
        </w:rPr>
        <w:t>本年</w:t>
      </w:r>
      <w:r>
        <w:rPr>
          <w:rFonts w:hint="eastAsia" w:ascii="仿宋_GB2312" w:eastAsia="仿宋_GB2312"/>
          <w:sz w:val="32"/>
          <w:szCs w:val="32"/>
          <w:lang w:eastAsia="zh-CN"/>
        </w:rPr>
        <w:t>第五次全国经济普查项目经费</w:t>
      </w:r>
      <w:bookmarkEnd w:id="1"/>
      <w:r>
        <w:rPr>
          <w:rFonts w:hint="eastAsia" w:ascii="仿宋_GB2312" w:eastAsia="仿宋_GB2312"/>
          <w:sz w:val="32"/>
          <w:szCs w:val="32"/>
          <w:lang w:eastAsia="zh-CN"/>
        </w:rPr>
        <w:t>减少。</w:t>
      </w:r>
    </w:p>
    <w:p w14:paraId="2FA29B1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3、一般公共服务支出（类）统计信息事务（款）事业运行（项）：支出决算数为281.84万元，比上年决算减少0.77万元，下降0.27%，主要原因是：</w:t>
      </w:r>
      <w:r>
        <w:rPr>
          <w:rFonts w:hint="eastAsia" w:ascii="仿宋_GB2312" w:eastAsia="仿宋_GB2312"/>
          <w:sz w:val="32"/>
          <w:szCs w:val="32"/>
          <w:lang w:eastAsia="zh-CN"/>
        </w:rPr>
        <w:t>单位本年长聘人员减少，长聘人员工资福利费用减少。</w:t>
      </w:r>
    </w:p>
    <w:p w14:paraId="0C24207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4、社会保障和就业支出（类）民政管理事务（款）基层政权建设和社区治理（项）：支出决算数为0.00万元，比上年决算减少2.87万元，下降100.00%，主要原因是：</w:t>
      </w:r>
      <w:r>
        <w:rPr>
          <w:rFonts w:hint="eastAsia" w:ascii="仿宋_GB2312" w:eastAsia="仿宋_GB2312"/>
          <w:sz w:val="32"/>
          <w:szCs w:val="32"/>
          <w:lang w:eastAsia="zh-CN"/>
        </w:rPr>
        <w:t>单位本年度</w:t>
      </w:r>
      <w:bookmarkStart w:id="2" w:name="_Hlk210986581"/>
      <w:r>
        <w:rPr>
          <w:rFonts w:hint="eastAsia" w:ascii="仿宋_GB2312" w:eastAsia="仿宋_GB2312"/>
          <w:sz w:val="32"/>
          <w:szCs w:val="32"/>
          <w:lang w:eastAsia="zh-CN"/>
        </w:rPr>
        <w:t>为民办实事项目经费</w:t>
      </w:r>
      <w:bookmarkEnd w:id="2"/>
      <w:r>
        <w:rPr>
          <w:rFonts w:hint="eastAsia" w:ascii="仿宋_GB2312" w:eastAsia="仿宋_GB2312"/>
          <w:sz w:val="32"/>
          <w:szCs w:val="32"/>
          <w:lang w:eastAsia="zh-CN"/>
        </w:rPr>
        <w:t>减少。</w:t>
      </w:r>
    </w:p>
    <w:p w14:paraId="60FE32A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5、社会保障和就业支出（类）行政事业单位养老支出（款）机关事业单位基本养老保险缴费支出（项）：支出决算数为41.33万元，比上年决算增加1.75万元，增长4.42%，主要原因是：</w:t>
      </w:r>
      <w:r>
        <w:rPr>
          <w:rFonts w:hint="eastAsia" w:ascii="仿宋_GB2312" w:eastAsia="仿宋_GB2312"/>
          <w:sz w:val="32"/>
          <w:szCs w:val="32"/>
          <w:lang w:eastAsia="zh-CN"/>
        </w:rPr>
        <w:t>单位本年社保基数调增，人员养老保险缴费增加</w:t>
      </w:r>
      <w:r>
        <w:rPr>
          <w:rFonts w:ascii="仿宋_GB2312" w:eastAsia="仿宋_GB2312"/>
          <w:sz w:val="32"/>
          <w:szCs w:val="32"/>
          <w:lang w:eastAsia="zh-CN"/>
        </w:rPr>
        <w:t>。</w:t>
      </w:r>
    </w:p>
    <w:p w14:paraId="12EAC83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6、社会保障和就业支出（类）行政事业单位养老支出（款）机关事业单位职业年金缴费支出（项）：支出决算数为7.76万元，比上年决算减少6.81万元，下降46.74%，主要原因是：</w:t>
      </w:r>
      <w:r>
        <w:rPr>
          <w:rFonts w:hint="eastAsia" w:ascii="仿宋_GB2312" w:eastAsia="仿宋_GB2312"/>
          <w:sz w:val="32"/>
          <w:szCs w:val="32"/>
          <w:lang w:eastAsia="zh-CN"/>
        </w:rPr>
        <w:t>单位本年人员一次性职业年金缴费减少</w:t>
      </w:r>
      <w:r>
        <w:rPr>
          <w:rFonts w:ascii="仿宋_GB2312" w:eastAsia="仿宋_GB2312"/>
          <w:sz w:val="32"/>
          <w:szCs w:val="32"/>
          <w:lang w:eastAsia="zh-CN"/>
        </w:rPr>
        <w:t>。</w:t>
      </w:r>
    </w:p>
    <w:p w14:paraId="5410277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AC61A1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419.00万元，其中：人员经费402.17万元，包括：基本工资、津贴补贴、奖金、绩效工资、机关事业单位基本养老保险缴费、职业年金缴费、职工基本医疗保险缴费、公务员医疗补助缴费、其他社会保障缴费和住房公积金。</w:t>
      </w:r>
    </w:p>
    <w:p w14:paraId="6CE4418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公用经费16.84万元，包括：办公费、手续费、邮电费、维修（护）费、培训费、工会经费、福利费、公务用车运行维护费和其他交通费用。</w:t>
      </w:r>
    </w:p>
    <w:p w14:paraId="0BB3532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988E68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40115E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8B1E36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B6DF83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34D8B50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2024年度财政拨款“三公”经费支出2.50万元，与上年相比无变化，主要原因是：单位本年财政拨款“三公”经费</w:t>
      </w:r>
      <w:r>
        <w:rPr>
          <w:rFonts w:hint="eastAsia" w:ascii="仿宋_GB2312" w:eastAsia="仿宋_GB2312"/>
          <w:sz w:val="32"/>
          <w:szCs w:val="32"/>
          <w:lang w:eastAsia="zh-CN"/>
        </w:rPr>
        <w:t>与上年</w:t>
      </w:r>
      <w:r>
        <w:rPr>
          <w:rFonts w:ascii="仿宋_GB2312" w:eastAsia="仿宋_GB2312"/>
          <w:sz w:val="32"/>
          <w:szCs w:val="32"/>
          <w:lang w:eastAsia="zh-CN"/>
        </w:rPr>
        <w:t>对比无差异。其中：因公出国（境）费支出0.00万元,占0.00%，与上年相比无变化，主要原因是：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；公务用车购置及运行维护费支出2.50万元，占100.00%，与上年相比无变化，主要原因是：单位本年</w:t>
      </w:r>
      <w:r>
        <w:rPr>
          <w:rFonts w:hint="eastAsia" w:ascii="仿宋_GB2312" w:eastAsia="仿宋_GB2312"/>
          <w:sz w:val="32"/>
          <w:szCs w:val="32"/>
          <w:lang w:eastAsia="zh-CN"/>
        </w:rPr>
        <w:t>公务用车购置及运行维护费与上年对比无差异</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78A6370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1B99945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6DDD434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公务用车购置及运行维护费2.50万元，其中：公务用车购置费0.00万元，公务用车运行维护费2.50万元。公务用车运行维护费开支内容包括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5C6B851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23DD8C1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与全年预算相比，财政拨款“三公”经费支出全年预算数2.50万元，决算数2.50万元，预决算差异率0.00%，主要原因是：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；公务用车运行维护费全年预算数2.50万元，决算数2.50万元，预决算差异率0.00%，主要原因是：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0554F65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277A941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48EEF5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2024年度乌鲁木齐市米东区统计局单位（行政单位和参照公务员法管理事业单位）机关运行经费支出16.84万元，比上年减少0.35万元，下降2.04%，主要原因是：单位本年</w:t>
      </w:r>
      <w:r>
        <w:rPr>
          <w:rFonts w:hint="eastAsia" w:ascii="仿宋_GB2312" w:eastAsia="仿宋_GB2312"/>
          <w:sz w:val="32"/>
          <w:szCs w:val="32"/>
          <w:lang w:eastAsia="zh-CN"/>
        </w:rPr>
        <w:t>办公费、手续费、邮电费、维修（护）费、培训费减少</w:t>
      </w:r>
      <w:r>
        <w:rPr>
          <w:rFonts w:ascii="仿宋_GB2312" w:eastAsia="仿宋_GB2312"/>
          <w:sz w:val="32"/>
          <w:szCs w:val="32"/>
          <w:lang w:eastAsia="zh-CN"/>
        </w:rPr>
        <w:t>。</w:t>
      </w:r>
    </w:p>
    <w:p w14:paraId="1A80F264">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5FDF9DA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2024年度政府采购支出总额2.34万元，其中：政府采购货物支出1.93万元、政府采购工程支出0.00万元、政府采购服务支出0.41万元。</w:t>
      </w:r>
    </w:p>
    <w:p w14:paraId="20AEDEE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授予中小企业合同金额1.93万元，占政府采购支出总额的82.48%，其中：授予小微企业合同金额1.93万元，占政府采购支出总额的82.48%。</w:t>
      </w:r>
    </w:p>
    <w:p w14:paraId="6FAA7E0A">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7AB226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11.58万元，其中：副部（省）级及以上领导用车0辆、主要负责人用车0辆、机要通信用车0辆、应急保障用车0辆、执法执勤用车0辆、特种专业技术用车0辆、离退休干部服务用车0辆、其他用车1辆，其他用车主要是：业务用车;单价100万元（含）以上设备（不含车辆）0台（套）。</w:t>
      </w:r>
    </w:p>
    <w:p w14:paraId="1F8DA9C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18B6D4E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490.84万元，实际执行总额455.31万元；预算绩效评价项目1个，全年预算数15.42万元，全年执行数15.42万元。预算绩效管理取得的成效：一是加强统计分析，做好经济运行监测。全面落实政务公开制度，及时向党政主要领导和有关部门提供主要经济数据。通过米东区人民政府网站定期向社会公布米东区经济运行情况；二是落实统计法进党校工作要求，在区委党校干部培训班，开展《统计法》专题讲座，已完成3次,累计培训150余人。对局机关、乡镇街道统计员、企业报表单位常态化开展《统计法》宣传教育；深入调查，抓实抓好“升规纳统”工作任务。加强与各行业主管部门及各乡镇街道升规纳统工作联系，专业人员做好业务指导和问题解答，保障升规纳统工作开展。积极核实市局下发的“准四上”企业名单，梳理出符合达规企业，上门核查，重点指导，在保证数据质量的同时，确保应统尽统，应纳尽纳。发现的问题及原因：一</w:t>
      </w:r>
      <w:r>
        <w:rPr>
          <w:rFonts w:hint="eastAsia" w:ascii="仿宋_GB2312" w:eastAsia="仿宋_GB2312"/>
          <w:sz w:val="32"/>
          <w:szCs w:val="32"/>
          <w:lang w:eastAsia="zh-CN"/>
        </w:rPr>
        <w:t>是</w:t>
      </w:r>
      <w:r>
        <w:rPr>
          <w:rFonts w:ascii="仿宋_GB2312" w:eastAsia="仿宋_GB2312"/>
          <w:sz w:val="32"/>
          <w:szCs w:val="32"/>
          <w:lang w:eastAsia="zh-CN"/>
        </w:rPr>
        <w:t>预算绩效完成情况与预算执行进度匹配度不高。预算执行进度往往落后于预算绩效目标完成情况，项目开支往往是在项目完成到一定阶段后才进行经费支出</w:t>
      </w:r>
      <w:r>
        <w:rPr>
          <w:rFonts w:hint="eastAsia" w:ascii="仿宋_GB2312" w:eastAsia="仿宋_GB2312"/>
          <w:sz w:val="32"/>
          <w:szCs w:val="32"/>
          <w:lang w:eastAsia="zh-CN"/>
        </w:rPr>
        <w:t>；</w:t>
      </w:r>
      <w:r>
        <w:rPr>
          <w:rFonts w:ascii="仿宋_GB2312" w:eastAsia="仿宋_GB2312"/>
          <w:sz w:val="32"/>
          <w:szCs w:val="32"/>
          <w:lang w:eastAsia="zh-CN"/>
        </w:rPr>
        <w:t>二</w:t>
      </w:r>
      <w:r>
        <w:rPr>
          <w:rFonts w:hint="eastAsia" w:ascii="仿宋_GB2312" w:eastAsia="仿宋_GB2312"/>
          <w:sz w:val="32"/>
          <w:szCs w:val="32"/>
          <w:lang w:eastAsia="zh-CN"/>
        </w:rPr>
        <w:t>是</w:t>
      </w:r>
      <w:r>
        <w:rPr>
          <w:rFonts w:ascii="仿宋_GB2312" w:eastAsia="仿宋_GB2312"/>
          <w:sz w:val="32"/>
          <w:szCs w:val="32"/>
          <w:lang w:eastAsia="zh-CN"/>
        </w:rPr>
        <w:t>我局根据本单位职能职责和年度工作计划编制部门年度预算时，由于上级交办统计调查监测任务的突发性，仍然有一些无法预计和列入年初预算的项目支出，需要在年度中间进行预算追加和调整</w:t>
      </w:r>
      <w:r>
        <w:rPr>
          <w:rFonts w:hint="eastAsia" w:ascii="仿宋_GB2312" w:eastAsia="仿宋_GB2312"/>
          <w:sz w:val="32"/>
          <w:szCs w:val="32"/>
          <w:lang w:eastAsia="zh-CN"/>
        </w:rPr>
        <w:t>；</w:t>
      </w:r>
      <w:r>
        <w:rPr>
          <w:rFonts w:ascii="仿宋_GB2312" w:eastAsia="仿宋_GB2312"/>
          <w:sz w:val="32"/>
          <w:szCs w:val="32"/>
          <w:lang w:eastAsia="zh-CN"/>
        </w:rPr>
        <w:t>三</w:t>
      </w:r>
      <w:r>
        <w:rPr>
          <w:rFonts w:hint="eastAsia" w:ascii="仿宋_GB2312" w:eastAsia="仿宋_GB2312"/>
          <w:sz w:val="32"/>
          <w:szCs w:val="32"/>
          <w:lang w:eastAsia="zh-CN"/>
        </w:rPr>
        <w:t>是</w:t>
      </w:r>
      <w:r>
        <w:rPr>
          <w:rFonts w:ascii="仿宋_GB2312" w:eastAsia="仿宋_GB2312"/>
          <w:sz w:val="32"/>
          <w:szCs w:val="32"/>
          <w:lang w:eastAsia="zh-CN"/>
        </w:rPr>
        <w:t>预算绩效管理人员专业素质能力还需提高。由于预算绩效管理工作需要多部门配合，业务科室人员对于预算绩效工作认识较浅显，加上缺乏系统的培训，对预算绩效管理认识不一定到位，对工作重点把握不到位情况仍然存在</w:t>
      </w:r>
      <w:r>
        <w:rPr>
          <w:rFonts w:hint="eastAsia" w:ascii="仿宋_GB2312" w:eastAsia="仿宋_GB2312"/>
          <w:sz w:val="32"/>
          <w:szCs w:val="32"/>
          <w:lang w:eastAsia="zh-CN"/>
        </w:rPr>
        <w:t>；</w:t>
      </w:r>
      <w:r>
        <w:rPr>
          <w:rFonts w:ascii="仿宋_GB2312" w:eastAsia="仿宋_GB2312"/>
          <w:sz w:val="32"/>
          <w:szCs w:val="32"/>
          <w:lang w:eastAsia="zh-CN"/>
        </w:rPr>
        <w:t>四是统计分析的深度和广度还不够深入。分析重点侧重于常规统计数据分析，对社会热点、焦点、新业态、新质生产力方面研究不多。下一步改进措施：一是加强预算绩效管理，改善预算执行。进一步夯实工作基础，强化绩效观念，明确监控职责，规范监控程序，对绩效目标实现程度和预算执行进行实行“双监控”，确保绩效目标保质保量实现。预算执行结束后，通过自评的方式，对预算执行的经济性、效率性和效益性进行评价，把有限的财政资金花在最需要的地方、最有效的地方，确保重大统计改革任务、重点统计工作的经费需求。多措并举，提高预算执行进度；二是加强预算绩效目标管理，充分发挥科室绩效管理考核，对涉及需要共同完成的指标进行工作计划和安排，充分发挥合力作用，确保绩效管理落实不漏，提高预算执行率；三是加强预算绩效评价人才培养，积极走出去，广泛参加各类业务知识培训，不断提高财务人员业务能力、知识水平及综合协调能力。组织单位财务人员进行财务知识培训。贯彻落实全面实施预算绩效管理和新会计制度改革的新要求，进一步提升统计局系统财务人员的业务素质，提高局系统财务管理水平。扩宽财务知识培训渠道。经报相关部门同意，将上级部门召开的财务工作视频会延伸到</w:t>
      </w:r>
      <w:bookmarkStart w:id="3" w:name="_GoBack"/>
      <w:bookmarkEnd w:id="3"/>
      <w:r>
        <w:rPr>
          <w:rFonts w:ascii="仿宋_GB2312" w:eastAsia="仿宋_GB2312"/>
          <w:sz w:val="32"/>
          <w:szCs w:val="32"/>
          <w:lang w:eastAsia="zh-CN"/>
        </w:rPr>
        <w:t>区县统计局，充分利用培训平台及讲课专家资源，减少市局培训，节约资源，落实“过紧日子”要求。具体附部门整体支出绩效自评表，项目支出绩效自评表和部门评价报告。</w:t>
      </w:r>
    </w:p>
    <w:p w14:paraId="0C37A618">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3911FF01">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02708A7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155DBFB5">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27D3E3E">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9C994CA">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乌鲁木齐市米东区统计局</w:t>
            </w:r>
          </w:p>
        </w:tc>
      </w:tr>
      <w:tr w14:paraId="4E4E17A0">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89050AE">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373F974">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7335B399">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6E37FA54">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748B4B31">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1ED09F8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485845E">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5133E11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4FB6A59">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4ED35C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B351FA2">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000B6BDD">
            <w:pPr>
              <w:jc w:val="center"/>
              <w:rPr>
                <w:rFonts w:hint="eastAsia" w:ascii="宋体" w:hAnsi="宋体" w:eastAsia="宋体" w:cs="宋体"/>
                <w:sz w:val="18"/>
                <w:szCs w:val="18"/>
              </w:rPr>
            </w:pPr>
            <w:r>
              <w:rPr>
                <w:rFonts w:hint="eastAsia" w:ascii="宋体" w:hAnsi="宋体" w:eastAsia="宋体" w:cs="宋体"/>
                <w:sz w:val="18"/>
                <w:szCs w:val="18"/>
              </w:rPr>
              <w:t>426.18</w:t>
            </w:r>
          </w:p>
        </w:tc>
        <w:tc>
          <w:tcPr>
            <w:tcW w:w="1276" w:type="dxa"/>
            <w:tcBorders>
              <w:top w:val="nil"/>
              <w:left w:val="nil"/>
              <w:bottom w:val="single" w:color="auto" w:sz="4" w:space="0"/>
              <w:right w:val="single" w:color="auto" w:sz="4" w:space="0"/>
            </w:tcBorders>
            <w:vAlign w:val="center"/>
          </w:tcPr>
          <w:p w14:paraId="5135A0E0">
            <w:pPr>
              <w:jc w:val="center"/>
              <w:rPr>
                <w:rFonts w:hint="eastAsia" w:ascii="宋体" w:hAnsi="宋体" w:eastAsia="宋体" w:cs="宋体"/>
                <w:sz w:val="18"/>
                <w:szCs w:val="18"/>
              </w:rPr>
            </w:pPr>
            <w:r>
              <w:rPr>
                <w:rFonts w:hint="eastAsia" w:ascii="宋体" w:hAnsi="宋体" w:eastAsia="宋体" w:cs="宋体"/>
                <w:sz w:val="18"/>
                <w:szCs w:val="18"/>
              </w:rPr>
              <w:t>490.84</w:t>
            </w:r>
          </w:p>
        </w:tc>
        <w:tc>
          <w:tcPr>
            <w:tcW w:w="1701" w:type="dxa"/>
            <w:tcBorders>
              <w:top w:val="nil"/>
              <w:left w:val="nil"/>
              <w:bottom w:val="single" w:color="auto" w:sz="4" w:space="0"/>
              <w:right w:val="single" w:color="auto" w:sz="4" w:space="0"/>
            </w:tcBorders>
            <w:vAlign w:val="center"/>
          </w:tcPr>
          <w:p w14:paraId="116995EF">
            <w:pPr>
              <w:jc w:val="center"/>
              <w:rPr>
                <w:rFonts w:hint="eastAsia" w:ascii="宋体" w:hAnsi="宋体" w:eastAsia="宋体" w:cs="宋体"/>
                <w:sz w:val="18"/>
                <w:szCs w:val="18"/>
              </w:rPr>
            </w:pPr>
            <w:r>
              <w:rPr>
                <w:rFonts w:hint="eastAsia" w:ascii="宋体" w:hAnsi="宋体" w:eastAsia="宋体" w:cs="宋体"/>
                <w:sz w:val="18"/>
                <w:szCs w:val="18"/>
              </w:rPr>
              <w:t>455.31</w:t>
            </w:r>
          </w:p>
        </w:tc>
        <w:tc>
          <w:tcPr>
            <w:tcW w:w="1134" w:type="dxa"/>
            <w:tcBorders>
              <w:top w:val="nil"/>
              <w:left w:val="nil"/>
              <w:bottom w:val="single" w:color="auto" w:sz="4" w:space="0"/>
              <w:right w:val="single" w:color="auto" w:sz="4" w:space="0"/>
            </w:tcBorders>
            <w:vAlign w:val="center"/>
          </w:tcPr>
          <w:p w14:paraId="1AA9A9CC">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79E3C4E2">
            <w:pPr>
              <w:jc w:val="center"/>
              <w:rPr>
                <w:rFonts w:hint="eastAsia" w:ascii="宋体" w:hAnsi="宋体" w:eastAsia="宋体" w:cs="宋体"/>
                <w:sz w:val="18"/>
                <w:szCs w:val="18"/>
              </w:rPr>
            </w:pPr>
            <w:r>
              <w:rPr>
                <w:rFonts w:hint="eastAsia" w:ascii="宋体" w:hAnsi="宋体" w:eastAsia="宋体" w:cs="宋体"/>
                <w:sz w:val="18"/>
                <w:szCs w:val="18"/>
              </w:rPr>
              <w:t>92.76%</w:t>
            </w:r>
          </w:p>
        </w:tc>
        <w:tc>
          <w:tcPr>
            <w:tcW w:w="720" w:type="dxa"/>
            <w:tcBorders>
              <w:top w:val="nil"/>
              <w:left w:val="nil"/>
              <w:bottom w:val="single" w:color="auto" w:sz="4" w:space="0"/>
              <w:right w:val="single" w:color="auto" w:sz="4" w:space="0"/>
            </w:tcBorders>
            <w:vAlign w:val="center"/>
          </w:tcPr>
          <w:p w14:paraId="320500C6">
            <w:pPr>
              <w:jc w:val="center"/>
              <w:rPr>
                <w:rFonts w:hint="eastAsia" w:ascii="宋体" w:hAnsi="宋体" w:eastAsia="宋体" w:cs="宋体"/>
                <w:sz w:val="18"/>
                <w:szCs w:val="18"/>
              </w:rPr>
            </w:pPr>
            <w:r>
              <w:rPr>
                <w:rFonts w:hint="eastAsia" w:ascii="宋体" w:hAnsi="宋体" w:eastAsia="宋体" w:cs="宋体"/>
                <w:sz w:val="18"/>
                <w:szCs w:val="18"/>
              </w:rPr>
              <w:t>9.28</w:t>
            </w:r>
          </w:p>
        </w:tc>
      </w:tr>
      <w:tr w14:paraId="37B96E16">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C2B979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F62A190">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35DD163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7DAADEA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1F2B905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654E43E2">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68F17D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A9315D5">
            <w:pPr>
              <w:jc w:val="center"/>
              <w:rPr>
                <w:rFonts w:hint="eastAsia" w:ascii="宋体" w:hAnsi="宋体" w:eastAsia="宋体" w:cs="宋体"/>
                <w:sz w:val="18"/>
                <w:szCs w:val="18"/>
              </w:rPr>
            </w:pPr>
            <w:r>
              <w:rPr>
                <w:rFonts w:hint="eastAsia" w:ascii="宋体" w:hAnsi="宋体" w:eastAsia="宋体"/>
                <w:sz w:val="18"/>
                <w:szCs w:val="18"/>
              </w:rPr>
              <w:t>-</w:t>
            </w:r>
          </w:p>
        </w:tc>
      </w:tr>
      <w:tr w14:paraId="10750F98">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FC1166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D86955E">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7F1CDFFB">
            <w:pPr>
              <w:jc w:val="center"/>
              <w:rPr>
                <w:rFonts w:hint="eastAsia" w:ascii="宋体" w:hAnsi="宋体" w:eastAsia="宋体" w:cs="宋体"/>
                <w:sz w:val="18"/>
                <w:szCs w:val="18"/>
              </w:rPr>
            </w:pPr>
            <w:r>
              <w:rPr>
                <w:rFonts w:hint="eastAsia" w:ascii="宋体" w:hAnsi="宋体" w:eastAsia="宋体" w:cs="宋体"/>
                <w:sz w:val="18"/>
                <w:szCs w:val="18"/>
              </w:rPr>
              <w:t>409.18</w:t>
            </w:r>
          </w:p>
        </w:tc>
        <w:tc>
          <w:tcPr>
            <w:tcW w:w="1276" w:type="dxa"/>
            <w:tcBorders>
              <w:top w:val="nil"/>
              <w:left w:val="nil"/>
              <w:bottom w:val="single" w:color="auto" w:sz="4" w:space="0"/>
              <w:right w:val="single" w:color="auto" w:sz="4" w:space="0"/>
            </w:tcBorders>
            <w:vAlign w:val="center"/>
          </w:tcPr>
          <w:p w14:paraId="11C9A02A">
            <w:pPr>
              <w:jc w:val="center"/>
              <w:rPr>
                <w:rFonts w:hint="eastAsia" w:ascii="宋体" w:hAnsi="宋体" w:eastAsia="宋体" w:cs="宋体"/>
                <w:sz w:val="18"/>
                <w:szCs w:val="18"/>
              </w:rPr>
            </w:pPr>
            <w:r>
              <w:rPr>
                <w:rFonts w:hint="eastAsia" w:ascii="宋体" w:hAnsi="宋体" w:eastAsia="宋体" w:cs="宋体"/>
                <w:sz w:val="18"/>
                <w:szCs w:val="18"/>
              </w:rPr>
              <w:t>447.92</w:t>
            </w:r>
          </w:p>
        </w:tc>
        <w:tc>
          <w:tcPr>
            <w:tcW w:w="1701" w:type="dxa"/>
            <w:tcBorders>
              <w:top w:val="nil"/>
              <w:left w:val="nil"/>
              <w:bottom w:val="single" w:color="auto" w:sz="4" w:space="0"/>
              <w:right w:val="single" w:color="auto" w:sz="4" w:space="0"/>
            </w:tcBorders>
            <w:vAlign w:val="center"/>
          </w:tcPr>
          <w:p w14:paraId="7F122805">
            <w:pPr>
              <w:jc w:val="center"/>
              <w:rPr>
                <w:rFonts w:hint="eastAsia" w:ascii="宋体" w:hAnsi="宋体" w:eastAsia="宋体" w:cs="宋体"/>
                <w:sz w:val="18"/>
                <w:szCs w:val="18"/>
              </w:rPr>
            </w:pPr>
            <w:r>
              <w:rPr>
                <w:rFonts w:hint="eastAsia" w:ascii="宋体" w:hAnsi="宋体" w:eastAsia="宋体" w:cs="宋体"/>
                <w:sz w:val="18"/>
                <w:szCs w:val="18"/>
              </w:rPr>
              <w:t>434.42</w:t>
            </w:r>
          </w:p>
        </w:tc>
        <w:tc>
          <w:tcPr>
            <w:tcW w:w="1134" w:type="dxa"/>
            <w:tcBorders>
              <w:top w:val="nil"/>
              <w:left w:val="nil"/>
              <w:bottom w:val="single" w:color="auto" w:sz="4" w:space="0"/>
              <w:right w:val="single" w:color="auto" w:sz="4" w:space="0"/>
            </w:tcBorders>
            <w:vAlign w:val="center"/>
          </w:tcPr>
          <w:p w14:paraId="769653EE">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01EC514">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77B4E3B">
            <w:pPr>
              <w:jc w:val="center"/>
              <w:rPr>
                <w:rFonts w:hint="eastAsia" w:ascii="宋体" w:hAnsi="宋体" w:eastAsia="宋体" w:cs="宋体"/>
                <w:sz w:val="18"/>
                <w:szCs w:val="18"/>
              </w:rPr>
            </w:pPr>
            <w:r>
              <w:rPr>
                <w:rFonts w:hint="eastAsia" w:ascii="宋体" w:hAnsi="宋体" w:eastAsia="宋体"/>
                <w:sz w:val="18"/>
                <w:szCs w:val="18"/>
              </w:rPr>
              <w:t>-</w:t>
            </w:r>
          </w:p>
        </w:tc>
      </w:tr>
      <w:tr w14:paraId="6D52228B">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5E3FA2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5FFC1DE">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FBD417A">
            <w:pPr>
              <w:jc w:val="center"/>
              <w:rPr>
                <w:rFonts w:hint="eastAsia" w:ascii="宋体" w:hAnsi="宋体" w:eastAsia="宋体" w:cs="宋体"/>
                <w:sz w:val="18"/>
                <w:szCs w:val="18"/>
              </w:rPr>
            </w:pPr>
            <w:r>
              <w:rPr>
                <w:rFonts w:hint="eastAsia" w:ascii="宋体" w:hAnsi="宋体" w:eastAsia="宋体" w:cs="宋体"/>
                <w:sz w:val="18"/>
                <w:szCs w:val="18"/>
              </w:rPr>
              <w:t>17.00</w:t>
            </w:r>
          </w:p>
        </w:tc>
        <w:tc>
          <w:tcPr>
            <w:tcW w:w="1276" w:type="dxa"/>
            <w:tcBorders>
              <w:top w:val="nil"/>
              <w:left w:val="nil"/>
              <w:bottom w:val="single" w:color="auto" w:sz="4" w:space="0"/>
              <w:right w:val="single" w:color="auto" w:sz="4" w:space="0"/>
            </w:tcBorders>
            <w:vAlign w:val="center"/>
          </w:tcPr>
          <w:p w14:paraId="1A85F1BD">
            <w:pPr>
              <w:jc w:val="center"/>
              <w:rPr>
                <w:rFonts w:hint="eastAsia" w:ascii="宋体" w:hAnsi="宋体" w:eastAsia="宋体" w:cs="宋体"/>
                <w:sz w:val="18"/>
                <w:szCs w:val="18"/>
              </w:rPr>
            </w:pPr>
            <w:r>
              <w:rPr>
                <w:rFonts w:hint="eastAsia" w:ascii="宋体" w:hAnsi="宋体" w:eastAsia="宋体" w:cs="宋体"/>
                <w:sz w:val="18"/>
                <w:szCs w:val="18"/>
              </w:rPr>
              <w:t>42.92</w:t>
            </w:r>
          </w:p>
        </w:tc>
        <w:tc>
          <w:tcPr>
            <w:tcW w:w="1701" w:type="dxa"/>
            <w:tcBorders>
              <w:top w:val="nil"/>
              <w:left w:val="nil"/>
              <w:bottom w:val="single" w:color="auto" w:sz="4" w:space="0"/>
              <w:right w:val="single" w:color="auto" w:sz="4" w:space="0"/>
            </w:tcBorders>
            <w:vAlign w:val="center"/>
          </w:tcPr>
          <w:p w14:paraId="1F97A26C">
            <w:pPr>
              <w:jc w:val="center"/>
              <w:rPr>
                <w:rFonts w:hint="eastAsia" w:ascii="宋体" w:hAnsi="宋体" w:eastAsia="宋体" w:cs="宋体"/>
                <w:sz w:val="18"/>
                <w:szCs w:val="18"/>
              </w:rPr>
            </w:pPr>
            <w:r>
              <w:rPr>
                <w:rFonts w:hint="eastAsia" w:ascii="宋体" w:hAnsi="宋体" w:eastAsia="宋体" w:cs="宋体"/>
                <w:sz w:val="18"/>
                <w:szCs w:val="18"/>
              </w:rPr>
              <w:t>20.89</w:t>
            </w:r>
          </w:p>
        </w:tc>
        <w:tc>
          <w:tcPr>
            <w:tcW w:w="1134" w:type="dxa"/>
            <w:tcBorders>
              <w:top w:val="nil"/>
              <w:left w:val="nil"/>
              <w:bottom w:val="single" w:color="auto" w:sz="4" w:space="0"/>
              <w:right w:val="single" w:color="auto" w:sz="4" w:space="0"/>
            </w:tcBorders>
            <w:vAlign w:val="center"/>
          </w:tcPr>
          <w:p w14:paraId="173EDD02">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61B14C0C">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69BF5CA5">
            <w:pPr>
              <w:jc w:val="center"/>
              <w:rPr>
                <w:rFonts w:hint="eastAsia" w:ascii="宋体" w:hAnsi="宋体" w:eastAsia="宋体" w:cs="宋体"/>
                <w:sz w:val="18"/>
                <w:szCs w:val="18"/>
              </w:rPr>
            </w:pPr>
            <w:r>
              <w:rPr>
                <w:rFonts w:hint="eastAsia" w:ascii="宋体" w:hAnsi="宋体" w:eastAsia="宋体" w:cs="宋体"/>
                <w:sz w:val="18"/>
                <w:szCs w:val="18"/>
              </w:rPr>
              <w:t>-</w:t>
            </w:r>
          </w:p>
        </w:tc>
      </w:tr>
      <w:tr w14:paraId="5B42DEFA">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3043153">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2E4F652">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4CA9856">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1461A9FE">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F70FE74">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1CDE759E">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统计局紧紧围绕“信息、咨询、监督”的统计三大职能，从改进服务、强化调研和深入分析等“三点发力”，充分发挥统计职能作用，更好地服务经济社会发展，把统计分析转化为推进经济社会发展的动能，以高质量统计工作助推经济高质量发展；一、依据自治区统计局《关于推进全区地区生产总值统一核算改革工作的实施意见》文件要求，为实现地区生产总值核算方法规范化和科学化，地区生产总值统一由乌鲁木齐市统计局按季度核算下发至区县。米东区统计局将积极与市统计局对接，提供地区生产总值核算所需各项数据资料，在市统计建立的核算框架及指导下，开展完成好调度工作，同时围绕区委区政府中心工作，认真履行职责，做好主要经济指标行业的比对分析,提升统计解读能力，加大运行分析力度，全面准确客观反映全区经济运行态势，加强各部门沟通，充分发挥统计的参谋职能，为统筹推进经济社会法治提供坚实统计支撑,进一步提升统计服务质效；二、结合“转作风、走基层”活动，充分发挥统计职能，依法依规，实事求是开展统计工作。为杜绝或减少因统计人员理解错误引起的统计偏差，切实提高统计人员业务素质和工作能力，扎实做好统计基础工作，提高统计报表质量，确保统计数据应统尽统，应纳尽纳，通过“请上来”、“走下去”等多种方式，开展有针对性的业务培训，细致培训统计年报及统计定期报表业务规范和业务知识；三、全力做好第五次全国经济普查工作，摸清全区经济社会发展“家底”，真正了解区域经济运行状况和经济社会发展新变化、新特征，把准全区经济、服务宏观决策，全力以赴确保按时保质完成经济普查工作，真实反映2024年米东区经济发展情况。</w:t>
            </w:r>
          </w:p>
        </w:tc>
        <w:tc>
          <w:tcPr>
            <w:tcW w:w="4547" w:type="dxa"/>
            <w:gridSpan w:val="4"/>
            <w:tcBorders>
              <w:top w:val="single" w:color="auto" w:sz="4" w:space="0"/>
              <w:left w:val="nil"/>
              <w:bottom w:val="single" w:color="auto" w:sz="4" w:space="0"/>
              <w:right w:val="single" w:color="auto" w:sz="4" w:space="0"/>
            </w:tcBorders>
          </w:tcPr>
          <w:p w14:paraId="1D530132">
            <w:pPr>
              <w:rPr>
                <w:rFonts w:hint="eastAsia" w:ascii="宋体" w:hAnsi="宋体" w:eastAsia="宋体" w:cs="宋体"/>
                <w:sz w:val="18"/>
                <w:szCs w:val="18"/>
              </w:rPr>
            </w:pPr>
            <w:r>
              <w:rPr>
                <w:rFonts w:hint="eastAsia" w:ascii="宋体" w:hAnsi="宋体" w:eastAsia="宋体" w:cs="宋体"/>
                <w:sz w:val="18"/>
                <w:szCs w:val="18"/>
                <w:lang w:eastAsia="zh-CN"/>
              </w:rPr>
              <w:t>2024年，在区委、区政府的正确领导和上级统计部门的指导下。统计局领导班子以党的二十大和二十届三中全会、习近平新时代中国特色社会主义思想为指导，以提高数据质量为核心。紧紧围绕全区中心工作和统计重点工作，努力提升统计能力、统计数据质量，进一步夯实统计基层基础建设，扎实做好各项统计工作，圆满完成了区委、区政府交办的各项工作。一、加强统计分析，做好经济运行监测。全面落实政务公开制度，及时向党政主要领导和有关部门提供主要经济数据。通过米东区人民政府网站定期向社会公布米东区经济运行情况。全年撰写月度分析报告55篇。对外提供统计数据200余次，向社会公布统计公报及月度经济运行报告11篇；二、落实统计法进党校工作要求，在区委党校干部培训班，开展《统计法》专题讲座，已完成3次,累计培训150余人。对局机关、乡镇街道统计员、企业报表单位常态化开展《统计法》宣传教育；深入调查，抓实抓好“升规纳统”工作任务。一是加强与各行业主管部门及各乡镇街道升规纳统工作联系，专业人员做好业务指导和问题解答，保障升规纳统工作开展。二是积极核实市局下发的“准四上”企业名单，梳理出符合达规企业，上门核查，重点指导，在保证数据质量的同时，确保应统尽统，应纳尽纳；三、高质量完成全国经济普查工作。在市、区经济普查领导小组的统一领导下，从15个乡镇（街道）抽调普查指导员、普查员，与相关成员单位通力合作，共同努力，全面完成我区普查工作。共登记普查单位13579个、个体经营户样本1676个。5月我区经济普查工作高质量通过自治区事中质量抽查。6月代表自治区接受了国家数据质量验收，抽中的样本单位错报、虚报、漏报率为0，普查结果得到检查组一致认可，顺利通过国家事后质量抽查验收。</w:t>
            </w:r>
            <w:r>
              <w:rPr>
                <w:rFonts w:hint="eastAsia" w:ascii="宋体" w:hAnsi="宋体" w:eastAsia="宋体" w:cs="宋体"/>
                <w:sz w:val="18"/>
                <w:szCs w:val="18"/>
              </w:rPr>
              <w:t>目前，普查工作处于数据开发利用阶段。</w:t>
            </w:r>
          </w:p>
        </w:tc>
      </w:tr>
      <w:tr w14:paraId="282180B4">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01C32C0D">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77D99BB">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87F7ED0">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7E30E745">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35254FFB">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737A2B38">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30D8F7C9">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0EA697FD">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3BF8DCA">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8535149">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1F621378">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091B40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撰写米东区统计信息篇数</w:t>
            </w:r>
          </w:p>
        </w:tc>
        <w:tc>
          <w:tcPr>
            <w:tcW w:w="1276" w:type="dxa"/>
            <w:tcBorders>
              <w:top w:val="nil"/>
              <w:left w:val="nil"/>
              <w:bottom w:val="single" w:color="auto" w:sz="4" w:space="0"/>
              <w:right w:val="single" w:color="auto" w:sz="4" w:space="0"/>
            </w:tcBorders>
            <w:noWrap/>
            <w:vAlign w:val="center"/>
          </w:tcPr>
          <w:p w14:paraId="40B4CE7B">
            <w:pPr>
              <w:jc w:val="center"/>
              <w:rPr>
                <w:rFonts w:hint="eastAsia" w:ascii="宋体" w:hAnsi="宋体" w:eastAsia="宋体" w:cs="宋体"/>
                <w:sz w:val="18"/>
                <w:szCs w:val="18"/>
              </w:rPr>
            </w:pPr>
            <w:r>
              <w:rPr>
                <w:rFonts w:hint="eastAsia" w:ascii="宋体" w:hAnsi="宋体" w:eastAsia="宋体" w:cs="宋体"/>
                <w:sz w:val="18"/>
                <w:szCs w:val="18"/>
              </w:rPr>
              <w:t>&gt;=15篇</w:t>
            </w:r>
          </w:p>
        </w:tc>
        <w:tc>
          <w:tcPr>
            <w:tcW w:w="1701" w:type="dxa"/>
            <w:tcBorders>
              <w:top w:val="nil"/>
              <w:left w:val="nil"/>
              <w:bottom w:val="single" w:color="auto" w:sz="4" w:space="0"/>
              <w:right w:val="single" w:color="auto" w:sz="4" w:space="0"/>
            </w:tcBorders>
            <w:noWrap/>
            <w:vAlign w:val="center"/>
          </w:tcPr>
          <w:p w14:paraId="73621F45">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《米东区统计局2024年工作计划》</w:t>
            </w:r>
          </w:p>
        </w:tc>
        <w:tc>
          <w:tcPr>
            <w:tcW w:w="1134" w:type="dxa"/>
            <w:tcBorders>
              <w:top w:val="nil"/>
              <w:left w:val="nil"/>
              <w:bottom w:val="single" w:color="auto" w:sz="4" w:space="0"/>
              <w:right w:val="single" w:color="auto" w:sz="4" w:space="0"/>
            </w:tcBorders>
            <w:noWrap/>
            <w:vAlign w:val="center"/>
          </w:tcPr>
          <w:p w14:paraId="16568B10">
            <w:pPr>
              <w:jc w:val="center"/>
              <w:rPr>
                <w:rFonts w:hint="eastAsia" w:ascii="宋体" w:hAnsi="宋体" w:eastAsia="宋体" w:cs="宋体"/>
                <w:sz w:val="18"/>
                <w:szCs w:val="18"/>
              </w:rPr>
            </w:pPr>
            <w:r>
              <w:rPr>
                <w:rFonts w:hint="eastAsia" w:ascii="宋体" w:hAnsi="宋体" w:eastAsia="宋体" w:cs="宋体"/>
                <w:sz w:val="18"/>
                <w:szCs w:val="18"/>
              </w:rPr>
              <w:t>55篇</w:t>
            </w:r>
          </w:p>
        </w:tc>
        <w:tc>
          <w:tcPr>
            <w:tcW w:w="992" w:type="dxa"/>
            <w:tcBorders>
              <w:top w:val="nil"/>
              <w:left w:val="nil"/>
              <w:bottom w:val="single" w:color="auto" w:sz="4" w:space="0"/>
              <w:right w:val="single" w:color="auto" w:sz="4" w:space="0"/>
            </w:tcBorders>
            <w:noWrap/>
            <w:vAlign w:val="center"/>
          </w:tcPr>
          <w:p w14:paraId="112194F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505DA63F">
            <w:pPr>
              <w:jc w:val="center"/>
              <w:rPr>
                <w:rFonts w:hint="eastAsia" w:ascii="宋体" w:hAnsi="宋体" w:eastAsia="宋体" w:cs="宋体"/>
                <w:sz w:val="18"/>
                <w:szCs w:val="18"/>
              </w:rPr>
            </w:pPr>
            <w:r>
              <w:rPr>
                <w:rFonts w:hint="eastAsia" w:ascii="宋体" w:hAnsi="宋体" w:eastAsia="宋体" w:cs="宋体"/>
                <w:sz w:val="18"/>
                <w:szCs w:val="18"/>
              </w:rPr>
              <w:t>30</w:t>
            </w:r>
          </w:p>
        </w:tc>
      </w:tr>
      <w:tr w14:paraId="477DBA16">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56AF3C1F">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BA264E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004C9A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年报、定报等业务知识培训次数</w:t>
            </w:r>
          </w:p>
        </w:tc>
        <w:tc>
          <w:tcPr>
            <w:tcW w:w="1276" w:type="dxa"/>
            <w:tcBorders>
              <w:top w:val="nil"/>
              <w:left w:val="nil"/>
              <w:bottom w:val="single" w:color="auto" w:sz="4" w:space="0"/>
              <w:right w:val="single" w:color="auto" w:sz="4" w:space="0"/>
            </w:tcBorders>
            <w:noWrap/>
            <w:vAlign w:val="center"/>
          </w:tcPr>
          <w:p w14:paraId="12B800AE">
            <w:pPr>
              <w:jc w:val="center"/>
              <w:rPr>
                <w:rFonts w:hint="eastAsia" w:ascii="宋体" w:hAnsi="宋体" w:eastAsia="宋体" w:cs="宋体"/>
                <w:sz w:val="18"/>
                <w:szCs w:val="18"/>
              </w:rPr>
            </w:pPr>
            <w:r>
              <w:rPr>
                <w:rFonts w:hint="eastAsia" w:ascii="宋体" w:hAnsi="宋体" w:eastAsia="宋体" w:cs="宋体"/>
                <w:sz w:val="18"/>
                <w:szCs w:val="18"/>
              </w:rPr>
              <w:t>&gt;=6次</w:t>
            </w:r>
          </w:p>
        </w:tc>
        <w:tc>
          <w:tcPr>
            <w:tcW w:w="1701" w:type="dxa"/>
            <w:tcBorders>
              <w:top w:val="nil"/>
              <w:left w:val="nil"/>
              <w:bottom w:val="single" w:color="auto" w:sz="4" w:space="0"/>
              <w:right w:val="single" w:color="auto" w:sz="4" w:space="0"/>
            </w:tcBorders>
            <w:noWrap/>
            <w:vAlign w:val="center"/>
          </w:tcPr>
          <w:p w14:paraId="37FEC8DC">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《米东区统计局2024年工作计划》</w:t>
            </w:r>
          </w:p>
        </w:tc>
        <w:tc>
          <w:tcPr>
            <w:tcW w:w="1134" w:type="dxa"/>
            <w:tcBorders>
              <w:top w:val="nil"/>
              <w:left w:val="nil"/>
              <w:bottom w:val="single" w:color="auto" w:sz="4" w:space="0"/>
              <w:right w:val="single" w:color="auto" w:sz="4" w:space="0"/>
            </w:tcBorders>
            <w:noWrap/>
            <w:vAlign w:val="center"/>
          </w:tcPr>
          <w:p w14:paraId="446C7BDC">
            <w:pPr>
              <w:jc w:val="center"/>
              <w:rPr>
                <w:rFonts w:hint="eastAsia" w:ascii="宋体" w:hAnsi="宋体" w:eastAsia="宋体" w:cs="宋体"/>
                <w:sz w:val="18"/>
                <w:szCs w:val="18"/>
              </w:rPr>
            </w:pPr>
            <w:r>
              <w:rPr>
                <w:rFonts w:hint="eastAsia" w:ascii="宋体" w:hAnsi="宋体" w:eastAsia="宋体" w:cs="宋体"/>
                <w:sz w:val="18"/>
                <w:szCs w:val="18"/>
              </w:rPr>
              <w:t>33次</w:t>
            </w:r>
          </w:p>
        </w:tc>
        <w:tc>
          <w:tcPr>
            <w:tcW w:w="992" w:type="dxa"/>
            <w:tcBorders>
              <w:top w:val="nil"/>
              <w:left w:val="nil"/>
              <w:bottom w:val="single" w:color="auto" w:sz="4" w:space="0"/>
              <w:right w:val="single" w:color="auto" w:sz="4" w:space="0"/>
            </w:tcBorders>
            <w:noWrap/>
            <w:vAlign w:val="center"/>
          </w:tcPr>
          <w:p w14:paraId="10D87BE5">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5C15B2EB">
            <w:pPr>
              <w:jc w:val="center"/>
              <w:rPr>
                <w:rFonts w:hint="eastAsia" w:ascii="宋体" w:hAnsi="宋体" w:eastAsia="宋体" w:cs="宋体"/>
                <w:sz w:val="18"/>
                <w:szCs w:val="18"/>
              </w:rPr>
            </w:pPr>
            <w:r>
              <w:rPr>
                <w:rFonts w:hint="eastAsia" w:ascii="宋体" w:hAnsi="宋体" w:eastAsia="宋体" w:cs="宋体"/>
                <w:sz w:val="18"/>
                <w:szCs w:val="18"/>
              </w:rPr>
              <w:t>30</w:t>
            </w:r>
          </w:p>
        </w:tc>
      </w:tr>
      <w:tr w14:paraId="1D9BD2EA">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D58BA3B">
            <w:pPr>
              <w:jc w:val="center"/>
              <w:rPr>
                <w:rFonts w:hint="eastAsia" w:ascii="宋体" w:hAnsi="宋体" w:eastAsia="宋体" w:cs="宋体"/>
                <w:sz w:val="18"/>
                <w:szCs w:val="18"/>
              </w:rPr>
            </w:pPr>
          </w:p>
        </w:tc>
        <w:tc>
          <w:tcPr>
            <w:tcW w:w="1417" w:type="dxa"/>
            <w:tcBorders>
              <w:top w:val="single" w:color="auto" w:sz="4" w:space="0"/>
              <w:left w:val="nil"/>
              <w:bottom w:val="single" w:color="auto" w:sz="4" w:space="0"/>
              <w:right w:val="single" w:color="auto" w:sz="4" w:space="0"/>
            </w:tcBorders>
            <w:noWrap/>
            <w:vAlign w:val="center"/>
          </w:tcPr>
          <w:p w14:paraId="0FED33EA">
            <w:pPr>
              <w:jc w:val="center"/>
              <w:rPr>
                <w:rFonts w:hint="eastAsia" w:ascii="宋体" w:hAnsi="宋体" w:eastAsia="宋体" w:cs="宋体"/>
                <w:sz w:val="18"/>
                <w:szCs w:val="18"/>
              </w:rPr>
            </w:pPr>
            <w:r>
              <w:rPr>
                <w:rFonts w:hint="eastAsia" w:ascii="宋体" w:hAnsi="宋体" w:eastAsia="宋体" w:cs="宋体"/>
                <w:sz w:val="18"/>
                <w:szCs w:val="18"/>
              </w:rPr>
              <w:t>时效指标</w:t>
            </w:r>
          </w:p>
        </w:tc>
        <w:tc>
          <w:tcPr>
            <w:tcW w:w="1418" w:type="dxa"/>
            <w:tcBorders>
              <w:top w:val="single" w:color="auto" w:sz="4" w:space="0"/>
              <w:left w:val="nil"/>
              <w:bottom w:val="single" w:color="auto" w:sz="4" w:space="0"/>
              <w:right w:val="single" w:color="auto" w:sz="4" w:space="0"/>
            </w:tcBorders>
            <w:noWrap/>
            <w:vAlign w:val="center"/>
          </w:tcPr>
          <w:p w14:paraId="19ED609E">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完成第五次全国经济2024年阶段工作目标及时率</w:t>
            </w:r>
          </w:p>
        </w:tc>
        <w:tc>
          <w:tcPr>
            <w:tcW w:w="1276" w:type="dxa"/>
            <w:tcBorders>
              <w:top w:val="single" w:color="auto" w:sz="4" w:space="0"/>
              <w:left w:val="nil"/>
              <w:bottom w:val="single" w:color="auto" w:sz="4" w:space="0"/>
              <w:right w:val="single" w:color="auto" w:sz="4" w:space="0"/>
            </w:tcBorders>
            <w:noWrap/>
            <w:vAlign w:val="center"/>
          </w:tcPr>
          <w:p w14:paraId="42A04140">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single" w:color="auto" w:sz="4" w:space="0"/>
              <w:left w:val="nil"/>
              <w:bottom w:val="single" w:color="auto" w:sz="4" w:space="0"/>
              <w:right w:val="single" w:color="auto" w:sz="4" w:space="0"/>
            </w:tcBorders>
            <w:noWrap/>
            <w:vAlign w:val="center"/>
          </w:tcPr>
          <w:p w14:paraId="18F40267">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《米东区统计局2024年工作计划》、《第五次全国经济普查方案（第一册 单位清查和普查登记） 》</w:t>
            </w:r>
          </w:p>
        </w:tc>
        <w:tc>
          <w:tcPr>
            <w:tcW w:w="1134" w:type="dxa"/>
            <w:tcBorders>
              <w:top w:val="single" w:color="auto" w:sz="4" w:space="0"/>
              <w:left w:val="nil"/>
              <w:bottom w:val="single" w:color="auto" w:sz="4" w:space="0"/>
              <w:right w:val="single" w:color="auto" w:sz="4" w:space="0"/>
            </w:tcBorders>
            <w:noWrap/>
            <w:vAlign w:val="center"/>
          </w:tcPr>
          <w:p w14:paraId="640CEE33">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single" w:color="auto" w:sz="4" w:space="0"/>
              <w:left w:val="nil"/>
              <w:bottom w:val="single" w:color="auto" w:sz="4" w:space="0"/>
              <w:right w:val="single" w:color="auto" w:sz="4" w:space="0"/>
            </w:tcBorders>
            <w:noWrap/>
            <w:vAlign w:val="center"/>
          </w:tcPr>
          <w:p w14:paraId="5F1B10F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2C679A6B">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1D0E04C">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7DF71EE4">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C69006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33410E5D">
            <w:pPr>
              <w:jc w:val="center"/>
              <w:rPr>
                <w:rFonts w:hint="eastAsia" w:ascii="宋体" w:hAnsi="宋体" w:eastAsia="宋体" w:cs="宋体"/>
                <w:sz w:val="18"/>
                <w:szCs w:val="18"/>
              </w:rPr>
            </w:pPr>
            <w:r>
              <w:rPr>
                <w:rFonts w:hint="eastAsia" w:ascii="宋体" w:hAnsi="宋体" w:eastAsia="宋体" w:cs="宋体"/>
                <w:sz w:val="18"/>
                <w:szCs w:val="18"/>
              </w:rPr>
              <w:t>99.28</w:t>
            </w:r>
          </w:p>
        </w:tc>
      </w:tr>
    </w:tbl>
    <w:p w14:paraId="2539ADA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0C6FA8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A4CD64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C856B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57BD2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第五次全国经济普查</w:t>
            </w:r>
          </w:p>
        </w:tc>
      </w:tr>
      <w:tr w14:paraId="3C410ED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0C5A0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8A1F9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米东区统计局</w:t>
            </w:r>
          </w:p>
        </w:tc>
        <w:tc>
          <w:tcPr>
            <w:tcW w:w="1275" w:type="dxa"/>
            <w:gridSpan w:val="2"/>
            <w:tcBorders>
              <w:top w:val="nil"/>
              <w:left w:val="nil"/>
              <w:bottom w:val="single" w:color="auto" w:sz="4" w:space="0"/>
              <w:right w:val="single" w:color="000000" w:sz="4" w:space="0"/>
            </w:tcBorders>
            <w:vAlign w:val="center"/>
          </w:tcPr>
          <w:p w14:paraId="29003C0C">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90C69B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乌鲁木齐市米东区统计局</w:t>
            </w:r>
          </w:p>
        </w:tc>
      </w:tr>
      <w:tr w14:paraId="58C2410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6E220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BFCE7A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050FE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E4599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F29CD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1C7F4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EF32F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26C1D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F974A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46C8D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994E6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05AE3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27.58</w:t>
            </w:r>
          </w:p>
        </w:tc>
        <w:tc>
          <w:tcPr>
            <w:tcW w:w="1125" w:type="dxa"/>
            <w:tcBorders>
              <w:top w:val="nil"/>
              <w:left w:val="nil"/>
              <w:bottom w:val="single" w:color="auto" w:sz="4" w:space="0"/>
              <w:right w:val="single" w:color="auto" w:sz="4" w:space="0"/>
            </w:tcBorders>
            <w:noWrap/>
            <w:vAlign w:val="center"/>
          </w:tcPr>
          <w:p w14:paraId="69E44D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15.42</w:t>
            </w:r>
          </w:p>
        </w:tc>
        <w:tc>
          <w:tcPr>
            <w:tcW w:w="1275" w:type="dxa"/>
            <w:gridSpan w:val="2"/>
            <w:tcBorders>
              <w:top w:val="single" w:color="auto" w:sz="4" w:space="0"/>
              <w:left w:val="nil"/>
              <w:bottom w:val="single" w:color="auto" w:sz="4" w:space="0"/>
              <w:right w:val="single" w:color="000000" w:sz="4" w:space="0"/>
            </w:tcBorders>
            <w:noWrap/>
            <w:vAlign w:val="center"/>
          </w:tcPr>
          <w:p w14:paraId="76778A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15.42</w:t>
            </w:r>
          </w:p>
        </w:tc>
        <w:tc>
          <w:tcPr>
            <w:tcW w:w="1134" w:type="dxa"/>
            <w:gridSpan w:val="2"/>
            <w:tcBorders>
              <w:top w:val="single" w:color="auto" w:sz="4" w:space="0"/>
              <w:left w:val="nil"/>
              <w:bottom w:val="single" w:color="auto" w:sz="4" w:space="0"/>
              <w:right w:val="single" w:color="auto" w:sz="4" w:space="0"/>
            </w:tcBorders>
            <w:vAlign w:val="center"/>
          </w:tcPr>
          <w:p w14:paraId="630DE0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6631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43333C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E936D2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A15FD1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89C35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BBB56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27.58</w:t>
            </w:r>
          </w:p>
        </w:tc>
        <w:tc>
          <w:tcPr>
            <w:tcW w:w="1125" w:type="dxa"/>
            <w:tcBorders>
              <w:top w:val="nil"/>
              <w:left w:val="nil"/>
              <w:bottom w:val="single" w:color="auto" w:sz="4" w:space="0"/>
              <w:right w:val="single" w:color="auto" w:sz="4" w:space="0"/>
            </w:tcBorders>
            <w:noWrap/>
            <w:vAlign w:val="center"/>
          </w:tcPr>
          <w:p w14:paraId="0CF3DD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15.42</w:t>
            </w:r>
          </w:p>
        </w:tc>
        <w:tc>
          <w:tcPr>
            <w:tcW w:w="1275" w:type="dxa"/>
            <w:gridSpan w:val="2"/>
            <w:tcBorders>
              <w:top w:val="single" w:color="auto" w:sz="4" w:space="0"/>
              <w:left w:val="nil"/>
              <w:bottom w:val="single" w:color="auto" w:sz="4" w:space="0"/>
              <w:right w:val="single" w:color="000000" w:sz="4" w:space="0"/>
            </w:tcBorders>
            <w:noWrap/>
            <w:vAlign w:val="center"/>
          </w:tcPr>
          <w:p w14:paraId="0279CB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15.42</w:t>
            </w:r>
          </w:p>
        </w:tc>
        <w:tc>
          <w:tcPr>
            <w:tcW w:w="1134" w:type="dxa"/>
            <w:gridSpan w:val="2"/>
            <w:tcBorders>
              <w:top w:val="single" w:color="auto" w:sz="4" w:space="0"/>
              <w:left w:val="nil"/>
              <w:bottom w:val="single" w:color="auto" w:sz="4" w:space="0"/>
              <w:right w:val="single" w:color="auto" w:sz="4" w:space="0"/>
            </w:tcBorders>
            <w:vAlign w:val="center"/>
          </w:tcPr>
          <w:p w14:paraId="1571EC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E852A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5B15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3B435B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D09CC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61B96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B659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034D94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24EDC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6780C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674CA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9927C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4381C5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37E02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42192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702DF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14B052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7A3CD10">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1FE8CA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2024年计划要完成普查登记及数据审核、数据处理、质量评估与抽查、汇总上报，进行普查数据开发应用，开展总结表彰阶段。</w:t>
            </w:r>
          </w:p>
        </w:tc>
        <w:tc>
          <w:tcPr>
            <w:tcW w:w="4677" w:type="dxa"/>
            <w:gridSpan w:val="7"/>
            <w:tcBorders>
              <w:top w:val="single" w:color="auto" w:sz="4" w:space="0"/>
              <w:left w:val="nil"/>
              <w:bottom w:val="single" w:color="auto" w:sz="4" w:space="0"/>
              <w:right w:val="single" w:color="000000" w:sz="4" w:space="0"/>
            </w:tcBorders>
          </w:tcPr>
          <w:p w14:paraId="1D675C42">
            <w:pP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2024年1月1日第五次全国经济普查登记工作正式启动，全区多名普查指导员和普查员积极投身普查岗位，扎实有序开展入户登记工作，严格按照普查方案和普查登记工作流程，熟悉指标填报规范、收集必要佐证资料，依法规范开展入户登记；为保证普查数据质量，6-8月我区组织15个乡镇片区指导员在统计局进行集中联审；根据《自治区第五次全国经济普查数据检查工作实施办法》要求，自治区于5月16—5月17日对卡子湾街道佳园社区第1普查小区、西路街道明珠社区第7普查小区、盛达东路瑞园社区第2普查小区进行了事中数据质量检查；国家第五次全国经济普查事后质量验收检查组于2024年6月27日—6月28日对米东区卡子湾利民社区第1普查小区、南路兴业社区第1普查小区、永祥华丰社区第8普查小区、柏杨河和瑞社区第3普查小区共4个普查小区66家单位、13家个体经营户进行了检查，其中卡子湾利民社区第一普查小区作为迎接单位存续情况的普查小区，米东区五经普工作顺利通过国家事后质量抽查验收。</w:t>
            </w:r>
            <w:r>
              <w:rPr>
                <w:rFonts w:hint="eastAsia" w:ascii="宋体" w:hAnsi="宋体" w:eastAsia="宋体" w:cs="宋体"/>
                <w:color w:val="000000"/>
                <w:sz w:val="18"/>
                <w:szCs w:val="18"/>
              </w:rPr>
              <w:t>预计2025年3月进行数据开发应用及总结表彰。</w:t>
            </w:r>
          </w:p>
        </w:tc>
      </w:tr>
      <w:tr w14:paraId="144EDA4B">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56127ED7">
            <w:pPr>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1E98E2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A3F1D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26D54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741A0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BB81E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1733A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C9AD5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AF496E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5F8E0A7">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30191AC8">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E253296">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4128CB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6AD3BB8">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ED8E99E">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2874230">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A032BF0">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6B983CE">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6026C13">
            <w:pPr>
              <w:rPr>
                <w:rFonts w:hint="eastAsia" w:ascii="宋体" w:hAnsi="宋体" w:eastAsia="宋体" w:cs="宋体"/>
                <w:color w:val="000000"/>
                <w:sz w:val="18"/>
                <w:szCs w:val="18"/>
                <w:lang w:eastAsia="zh-CN"/>
              </w:rPr>
            </w:pPr>
          </w:p>
        </w:tc>
      </w:tr>
      <w:tr w14:paraId="3508EDB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7CF590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8968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111D6F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13F8072">
            <w:pPr>
              <w:rPr>
                <w:rFonts w:hint="eastAsia" w:ascii="宋体" w:hAnsi="宋体" w:eastAsia="宋体" w:cs="宋体"/>
                <w:color w:val="000000"/>
                <w:sz w:val="18"/>
                <w:szCs w:val="18"/>
              </w:rPr>
            </w:pPr>
            <w:r>
              <w:rPr>
                <w:rFonts w:hint="eastAsia" w:ascii="宋体" w:hAnsi="宋体" w:eastAsia="宋体" w:cs="宋体"/>
                <w:color w:val="000000"/>
                <w:sz w:val="18"/>
                <w:szCs w:val="18"/>
              </w:rPr>
              <w:t>普查涉及乡镇街道数</w:t>
            </w:r>
          </w:p>
        </w:tc>
        <w:tc>
          <w:tcPr>
            <w:tcW w:w="1125" w:type="dxa"/>
            <w:tcBorders>
              <w:top w:val="nil"/>
              <w:left w:val="nil"/>
              <w:bottom w:val="single" w:color="auto" w:sz="4" w:space="0"/>
              <w:right w:val="single" w:color="auto" w:sz="4" w:space="0"/>
            </w:tcBorders>
            <w:vAlign w:val="center"/>
          </w:tcPr>
          <w:p w14:paraId="6C2F60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=15个</w:t>
            </w:r>
          </w:p>
        </w:tc>
        <w:tc>
          <w:tcPr>
            <w:tcW w:w="1229" w:type="dxa"/>
            <w:tcBorders>
              <w:top w:val="nil"/>
              <w:left w:val="nil"/>
              <w:bottom w:val="single" w:color="auto" w:sz="4" w:space="0"/>
              <w:right w:val="single" w:color="auto" w:sz="4" w:space="0"/>
            </w:tcBorders>
            <w:vAlign w:val="center"/>
          </w:tcPr>
          <w:p w14:paraId="70959B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15个</w:t>
            </w:r>
          </w:p>
        </w:tc>
        <w:tc>
          <w:tcPr>
            <w:tcW w:w="755" w:type="dxa"/>
            <w:gridSpan w:val="2"/>
            <w:tcBorders>
              <w:top w:val="single" w:color="auto" w:sz="4" w:space="0"/>
              <w:left w:val="nil"/>
              <w:bottom w:val="single" w:color="auto" w:sz="4" w:space="0"/>
              <w:right w:val="single" w:color="000000" w:sz="4" w:space="0"/>
            </w:tcBorders>
            <w:vAlign w:val="center"/>
          </w:tcPr>
          <w:p w14:paraId="368567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E157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DF4D7D4">
            <w:pPr>
              <w:jc w:val="center"/>
              <w:rPr>
                <w:rFonts w:hint="eastAsia" w:ascii="宋体" w:hAnsi="宋体" w:eastAsia="宋体" w:cs="宋体"/>
                <w:color w:val="000000"/>
                <w:sz w:val="18"/>
                <w:szCs w:val="18"/>
              </w:rPr>
            </w:pPr>
          </w:p>
        </w:tc>
      </w:tr>
      <w:tr w14:paraId="191438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93FED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2A3450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C9C2B1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E2DA31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普查“两员”劳务费发放人数</w:t>
            </w:r>
          </w:p>
        </w:tc>
        <w:tc>
          <w:tcPr>
            <w:tcW w:w="1125" w:type="dxa"/>
            <w:tcBorders>
              <w:top w:val="nil"/>
              <w:left w:val="nil"/>
              <w:bottom w:val="single" w:color="auto" w:sz="4" w:space="0"/>
              <w:right w:val="single" w:color="auto" w:sz="4" w:space="0"/>
            </w:tcBorders>
            <w:vAlign w:val="center"/>
          </w:tcPr>
          <w:p w14:paraId="07D76B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&gt;=600人</w:t>
            </w:r>
          </w:p>
        </w:tc>
        <w:tc>
          <w:tcPr>
            <w:tcW w:w="1229" w:type="dxa"/>
            <w:tcBorders>
              <w:top w:val="nil"/>
              <w:left w:val="nil"/>
              <w:bottom w:val="single" w:color="auto" w:sz="4" w:space="0"/>
              <w:right w:val="single" w:color="auto" w:sz="4" w:space="0"/>
            </w:tcBorders>
            <w:vAlign w:val="center"/>
          </w:tcPr>
          <w:p w14:paraId="6E3D16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0人</w:t>
            </w:r>
          </w:p>
        </w:tc>
        <w:tc>
          <w:tcPr>
            <w:tcW w:w="755" w:type="dxa"/>
            <w:gridSpan w:val="2"/>
            <w:tcBorders>
              <w:top w:val="single" w:color="auto" w:sz="4" w:space="0"/>
              <w:left w:val="nil"/>
              <w:bottom w:val="single" w:color="auto" w:sz="4" w:space="0"/>
              <w:right w:val="single" w:color="000000" w:sz="4" w:space="0"/>
            </w:tcBorders>
            <w:vAlign w:val="center"/>
          </w:tcPr>
          <w:p w14:paraId="3888EA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7956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3AEFB58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因地方财政困难，“两员”劳务费当年未发放。</w:t>
            </w:r>
          </w:p>
        </w:tc>
      </w:tr>
      <w:tr w14:paraId="09F116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C7E69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AE5AD6F">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283B43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4A6FBCF">
            <w:pPr>
              <w:rPr>
                <w:rFonts w:hint="eastAsia" w:ascii="宋体" w:hAnsi="宋体" w:eastAsia="宋体" w:cs="宋体"/>
                <w:color w:val="000000"/>
                <w:sz w:val="18"/>
                <w:szCs w:val="18"/>
              </w:rPr>
            </w:pPr>
            <w:r>
              <w:rPr>
                <w:rFonts w:hint="eastAsia" w:ascii="宋体" w:hAnsi="宋体" w:eastAsia="宋体" w:cs="宋体"/>
                <w:color w:val="000000"/>
                <w:sz w:val="18"/>
                <w:szCs w:val="18"/>
              </w:rPr>
              <w:t>统计单位错报率</w:t>
            </w:r>
          </w:p>
        </w:tc>
        <w:tc>
          <w:tcPr>
            <w:tcW w:w="1125" w:type="dxa"/>
            <w:tcBorders>
              <w:top w:val="nil"/>
              <w:left w:val="nil"/>
              <w:bottom w:val="single" w:color="auto" w:sz="4" w:space="0"/>
              <w:right w:val="single" w:color="auto" w:sz="4" w:space="0"/>
            </w:tcBorders>
            <w:vAlign w:val="center"/>
          </w:tcPr>
          <w:p w14:paraId="1516E0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&lt;=0.50%</w:t>
            </w:r>
          </w:p>
        </w:tc>
        <w:tc>
          <w:tcPr>
            <w:tcW w:w="1229" w:type="dxa"/>
            <w:tcBorders>
              <w:top w:val="nil"/>
              <w:left w:val="nil"/>
              <w:bottom w:val="single" w:color="auto" w:sz="4" w:space="0"/>
              <w:right w:val="single" w:color="auto" w:sz="4" w:space="0"/>
            </w:tcBorders>
            <w:vAlign w:val="center"/>
          </w:tcPr>
          <w:p w14:paraId="29A056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55" w:type="dxa"/>
            <w:gridSpan w:val="2"/>
            <w:tcBorders>
              <w:top w:val="single" w:color="auto" w:sz="4" w:space="0"/>
              <w:left w:val="nil"/>
              <w:bottom w:val="single" w:color="auto" w:sz="4" w:space="0"/>
              <w:right w:val="single" w:color="000000" w:sz="4" w:space="0"/>
            </w:tcBorders>
            <w:vAlign w:val="center"/>
          </w:tcPr>
          <w:p w14:paraId="072665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71A45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75E915AA">
            <w:pPr>
              <w:jc w:val="center"/>
              <w:rPr>
                <w:rFonts w:hint="eastAsia" w:ascii="宋体" w:hAnsi="宋体" w:eastAsia="宋体" w:cs="宋体"/>
                <w:color w:val="000000"/>
                <w:sz w:val="18"/>
                <w:szCs w:val="18"/>
              </w:rPr>
            </w:pPr>
          </w:p>
        </w:tc>
      </w:tr>
      <w:tr w14:paraId="142973F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FD689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4A3383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4B1308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C9FDBD6">
            <w:pPr>
              <w:rPr>
                <w:rFonts w:hint="eastAsia" w:ascii="宋体" w:hAnsi="宋体" w:eastAsia="宋体" w:cs="宋体"/>
                <w:color w:val="000000"/>
                <w:sz w:val="18"/>
                <w:szCs w:val="18"/>
              </w:rPr>
            </w:pPr>
            <w:r>
              <w:rPr>
                <w:rFonts w:hint="eastAsia" w:ascii="宋体" w:hAnsi="宋体" w:eastAsia="宋体" w:cs="宋体"/>
                <w:color w:val="000000"/>
                <w:sz w:val="18"/>
                <w:szCs w:val="18"/>
              </w:rPr>
              <w:t>主要经济指标错报率</w:t>
            </w:r>
          </w:p>
        </w:tc>
        <w:tc>
          <w:tcPr>
            <w:tcW w:w="1125" w:type="dxa"/>
            <w:tcBorders>
              <w:top w:val="nil"/>
              <w:left w:val="nil"/>
              <w:bottom w:val="single" w:color="auto" w:sz="4" w:space="0"/>
              <w:right w:val="single" w:color="auto" w:sz="4" w:space="0"/>
            </w:tcBorders>
            <w:vAlign w:val="center"/>
          </w:tcPr>
          <w:p w14:paraId="0BC17D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w:t>
            </w:r>
          </w:p>
        </w:tc>
        <w:tc>
          <w:tcPr>
            <w:tcW w:w="1229" w:type="dxa"/>
            <w:tcBorders>
              <w:top w:val="nil"/>
              <w:left w:val="nil"/>
              <w:bottom w:val="single" w:color="auto" w:sz="4" w:space="0"/>
              <w:right w:val="single" w:color="auto" w:sz="4" w:space="0"/>
            </w:tcBorders>
            <w:vAlign w:val="center"/>
          </w:tcPr>
          <w:p w14:paraId="18FE52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55" w:type="dxa"/>
            <w:gridSpan w:val="2"/>
            <w:tcBorders>
              <w:top w:val="single" w:color="auto" w:sz="4" w:space="0"/>
              <w:left w:val="nil"/>
              <w:bottom w:val="single" w:color="auto" w:sz="4" w:space="0"/>
              <w:right w:val="single" w:color="000000" w:sz="4" w:space="0"/>
            </w:tcBorders>
            <w:vAlign w:val="center"/>
          </w:tcPr>
          <w:p w14:paraId="6FAFC2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4C0E0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367DD38C">
            <w:pPr>
              <w:jc w:val="center"/>
              <w:rPr>
                <w:rFonts w:hint="eastAsia" w:ascii="宋体" w:hAnsi="宋体" w:eastAsia="宋体" w:cs="宋体"/>
                <w:color w:val="000000"/>
                <w:sz w:val="18"/>
                <w:szCs w:val="18"/>
              </w:rPr>
            </w:pPr>
          </w:p>
        </w:tc>
      </w:tr>
      <w:tr w14:paraId="23B120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53410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5F238AE">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87539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420A9D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普查登记、数据检查和抽查、审核与验收完成时间</w:t>
            </w:r>
          </w:p>
        </w:tc>
        <w:tc>
          <w:tcPr>
            <w:tcW w:w="1125" w:type="dxa"/>
            <w:tcBorders>
              <w:top w:val="nil"/>
              <w:left w:val="nil"/>
              <w:bottom w:val="single" w:color="auto" w:sz="4" w:space="0"/>
              <w:right w:val="single" w:color="auto" w:sz="4" w:space="0"/>
            </w:tcBorders>
            <w:vAlign w:val="center"/>
          </w:tcPr>
          <w:p w14:paraId="642002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=8月底前</w:t>
            </w:r>
          </w:p>
        </w:tc>
        <w:tc>
          <w:tcPr>
            <w:tcW w:w="1229" w:type="dxa"/>
            <w:tcBorders>
              <w:top w:val="nil"/>
              <w:left w:val="nil"/>
              <w:bottom w:val="single" w:color="auto" w:sz="4" w:space="0"/>
              <w:right w:val="single" w:color="auto" w:sz="4" w:space="0"/>
            </w:tcBorders>
            <w:vAlign w:val="center"/>
          </w:tcPr>
          <w:p w14:paraId="3B073C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6月底前</w:t>
            </w:r>
          </w:p>
        </w:tc>
        <w:tc>
          <w:tcPr>
            <w:tcW w:w="755" w:type="dxa"/>
            <w:gridSpan w:val="2"/>
            <w:tcBorders>
              <w:top w:val="single" w:color="auto" w:sz="4" w:space="0"/>
              <w:left w:val="nil"/>
              <w:bottom w:val="single" w:color="auto" w:sz="4" w:space="0"/>
              <w:right w:val="single" w:color="000000" w:sz="4" w:space="0"/>
            </w:tcBorders>
            <w:vAlign w:val="center"/>
          </w:tcPr>
          <w:p w14:paraId="1FB4FD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D5B22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C53BE1D">
            <w:pPr>
              <w:jc w:val="center"/>
              <w:rPr>
                <w:rFonts w:hint="eastAsia" w:ascii="宋体" w:hAnsi="宋体" w:eastAsia="宋体" w:cs="宋体"/>
                <w:color w:val="000000"/>
                <w:sz w:val="18"/>
                <w:szCs w:val="18"/>
              </w:rPr>
            </w:pPr>
          </w:p>
        </w:tc>
      </w:tr>
      <w:tr w14:paraId="4116E88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40356A">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34DFA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619B55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F281C7A">
            <w:pPr>
              <w:rPr>
                <w:rFonts w:hint="eastAsia" w:ascii="宋体" w:hAnsi="宋体" w:eastAsia="宋体" w:cs="宋体"/>
                <w:color w:val="000000"/>
                <w:sz w:val="18"/>
                <w:szCs w:val="18"/>
              </w:rPr>
            </w:pPr>
            <w:r>
              <w:rPr>
                <w:rFonts w:hint="eastAsia" w:ascii="宋体" w:hAnsi="宋体" w:eastAsia="宋体" w:cs="宋体"/>
                <w:color w:val="000000"/>
                <w:sz w:val="18"/>
                <w:szCs w:val="18"/>
              </w:rPr>
              <w:t>设备购置费到位情况</w:t>
            </w:r>
          </w:p>
        </w:tc>
        <w:tc>
          <w:tcPr>
            <w:tcW w:w="1125" w:type="dxa"/>
            <w:tcBorders>
              <w:top w:val="nil"/>
              <w:left w:val="nil"/>
              <w:bottom w:val="single" w:color="auto" w:sz="4" w:space="0"/>
              <w:right w:val="single" w:color="auto" w:sz="4" w:space="0"/>
            </w:tcBorders>
            <w:vAlign w:val="center"/>
          </w:tcPr>
          <w:p w14:paraId="60D926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&lt;=1.70万元</w:t>
            </w:r>
          </w:p>
        </w:tc>
        <w:tc>
          <w:tcPr>
            <w:tcW w:w="1229" w:type="dxa"/>
            <w:tcBorders>
              <w:top w:val="nil"/>
              <w:left w:val="nil"/>
              <w:bottom w:val="single" w:color="auto" w:sz="4" w:space="0"/>
              <w:right w:val="single" w:color="auto" w:sz="4" w:space="0"/>
            </w:tcBorders>
            <w:vAlign w:val="center"/>
          </w:tcPr>
          <w:p w14:paraId="05A4D1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1.7万元</w:t>
            </w:r>
          </w:p>
        </w:tc>
        <w:tc>
          <w:tcPr>
            <w:tcW w:w="755" w:type="dxa"/>
            <w:gridSpan w:val="2"/>
            <w:tcBorders>
              <w:top w:val="single" w:color="auto" w:sz="4" w:space="0"/>
              <w:left w:val="nil"/>
              <w:bottom w:val="single" w:color="auto" w:sz="4" w:space="0"/>
              <w:right w:val="single" w:color="000000" w:sz="4" w:space="0"/>
            </w:tcBorders>
            <w:vAlign w:val="center"/>
          </w:tcPr>
          <w:p w14:paraId="1EF6F6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348BE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8D1BB9B">
            <w:pPr>
              <w:jc w:val="center"/>
              <w:rPr>
                <w:rFonts w:hint="eastAsia" w:ascii="宋体" w:hAnsi="宋体" w:eastAsia="宋体" w:cs="宋体"/>
                <w:color w:val="000000"/>
                <w:sz w:val="18"/>
                <w:szCs w:val="18"/>
              </w:rPr>
            </w:pPr>
          </w:p>
        </w:tc>
      </w:tr>
      <w:tr w14:paraId="1405501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E43F64">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D60B4D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205BFC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19BB0FA">
            <w:pPr>
              <w:rPr>
                <w:rFonts w:hint="eastAsia" w:ascii="宋体" w:hAnsi="宋体" w:eastAsia="宋体" w:cs="宋体"/>
                <w:color w:val="000000"/>
                <w:sz w:val="18"/>
                <w:szCs w:val="18"/>
              </w:rPr>
            </w:pPr>
            <w:r>
              <w:rPr>
                <w:rFonts w:hint="eastAsia" w:ascii="宋体" w:hAnsi="宋体" w:eastAsia="宋体" w:cs="宋体"/>
                <w:color w:val="000000"/>
                <w:sz w:val="18"/>
                <w:szCs w:val="18"/>
              </w:rPr>
              <w:t>委托业务费到位情况</w:t>
            </w:r>
          </w:p>
        </w:tc>
        <w:tc>
          <w:tcPr>
            <w:tcW w:w="1125" w:type="dxa"/>
            <w:tcBorders>
              <w:top w:val="nil"/>
              <w:left w:val="nil"/>
              <w:bottom w:val="single" w:color="auto" w:sz="4" w:space="0"/>
              <w:right w:val="single" w:color="auto" w:sz="4" w:space="0"/>
            </w:tcBorders>
            <w:vAlign w:val="center"/>
          </w:tcPr>
          <w:p w14:paraId="5CE145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&lt;=13.72万元</w:t>
            </w:r>
          </w:p>
        </w:tc>
        <w:tc>
          <w:tcPr>
            <w:tcW w:w="1229" w:type="dxa"/>
            <w:tcBorders>
              <w:top w:val="nil"/>
              <w:left w:val="nil"/>
              <w:bottom w:val="single" w:color="auto" w:sz="4" w:space="0"/>
              <w:right w:val="single" w:color="auto" w:sz="4" w:space="0"/>
            </w:tcBorders>
            <w:vAlign w:val="center"/>
          </w:tcPr>
          <w:p w14:paraId="493AFC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13.72万元</w:t>
            </w:r>
          </w:p>
        </w:tc>
        <w:tc>
          <w:tcPr>
            <w:tcW w:w="755" w:type="dxa"/>
            <w:gridSpan w:val="2"/>
            <w:tcBorders>
              <w:top w:val="single" w:color="auto" w:sz="4" w:space="0"/>
              <w:left w:val="nil"/>
              <w:bottom w:val="single" w:color="auto" w:sz="4" w:space="0"/>
              <w:right w:val="single" w:color="000000" w:sz="4" w:space="0"/>
            </w:tcBorders>
            <w:vAlign w:val="center"/>
          </w:tcPr>
          <w:p w14:paraId="76F1CD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55B84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2F67579">
            <w:pPr>
              <w:jc w:val="center"/>
              <w:rPr>
                <w:rFonts w:hint="eastAsia" w:ascii="宋体" w:hAnsi="宋体" w:eastAsia="宋体" w:cs="宋体"/>
                <w:color w:val="000000"/>
                <w:sz w:val="18"/>
                <w:szCs w:val="18"/>
              </w:rPr>
            </w:pPr>
          </w:p>
        </w:tc>
      </w:tr>
      <w:tr w14:paraId="3900F7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DD5CF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94534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3EF502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86F05F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为区委区政府、社会各界决策、分析提供依据</w:t>
            </w:r>
          </w:p>
        </w:tc>
        <w:tc>
          <w:tcPr>
            <w:tcW w:w="1125" w:type="dxa"/>
            <w:tcBorders>
              <w:top w:val="nil"/>
              <w:left w:val="nil"/>
              <w:bottom w:val="single" w:color="auto" w:sz="4" w:space="0"/>
              <w:right w:val="single" w:color="auto" w:sz="4" w:space="0"/>
            </w:tcBorders>
            <w:vAlign w:val="center"/>
          </w:tcPr>
          <w:p w14:paraId="364446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有效提供</w:t>
            </w:r>
          </w:p>
        </w:tc>
        <w:tc>
          <w:tcPr>
            <w:tcW w:w="1229" w:type="dxa"/>
            <w:tcBorders>
              <w:top w:val="nil"/>
              <w:left w:val="nil"/>
              <w:bottom w:val="single" w:color="auto" w:sz="4" w:space="0"/>
              <w:right w:val="single" w:color="auto" w:sz="4" w:space="0"/>
            </w:tcBorders>
            <w:vAlign w:val="center"/>
          </w:tcPr>
          <w:p w14:paraId="7459DB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6581B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D127B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9186C55">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第五次全国经济普查数据的对外公布遵循“国家-省级-市级”的层级推进原则，目前国家层面的核心数据已通过新闻发布会等形式公布，新疆维吾尔自治区统计局、乌鲁木齐市统计局均暂未公布数据，区县统计局待上一级公布后，对外提供相关数据。</w:t>
            </w:r>
            <w:r>
              <w:rPr>
                <w:rFonts w:hint="eastAsia" w:ascii="宋体" w:hAnsi="宋体" w:eastAsia="宋体" w:cs="宋体"/>
                <w:color w:val="000000"/>
                <w:sz w:val="18"/>
                <w:szCs w:val="18"/>
              </w:rPr>
              <w:t>因此指标存在偏差。</w:t>
            </w:r>
          </w:p>
        </w:tc>
      </w:tr>
      <w:tr w14:paraId="58B5F9A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5326E71">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AC3E0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379AE7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CBBB5E2">
            <w:pPr>
              <w:rPr>
                <w:rFonts w:hint="eastAsia" w:ascii="宋体" w:hAnsi="宋体" w:eastAsia="宋体" w:cs="宋体"/>
                <w:color w:val="000000"/>
                <w:sz w:val="18"/>
                <w:szCs w:val="18"/>
              </w:rPr>
            </w:pPr>
            <w:r>
              <w:rPr>
                <w:rFonts w:hint="eastAsia" w:ascii="宋体" w:hAnsi="宋体" w:eastAsia="宋体" w:cs="宋体"/>
                <w:color w:val="000000"/>
                <w:sz w:val="18"/>
                <w:szCs w:val="18"/>
              </w:rPr>
              <w:t>数据使用对象满意度</w:t>
            </w:r>
          </w:p>
        </w:tc>
        <w:tc>
          <w:tcPr>
            <w:tcW w:w="1125" w:type="dxa"/>
            <w:tcBorders>
              <w:top w:val="nil"/>
              <w:left w:val="nil"/>
              <w:bottom w:val="single" w:color="auto" w:sz="4" w:space="0"/>
              <w:right w:val="single" w:color="auto" w:sz="4" w:space="0"/>
            </w:tcBorders>
            <w:vAlign w:val="center"/>
          </w:tcPr>
          <w:p w14:paraId="583D76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8E84C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55" w:type="dxa"/>
            <w:gridSpan w:val="2"/>
            <w:tcBorders>
              <w:top w:val="single" w:color="auto" w:sz="4" w:space="0"/>
              <w:left w:val="nil"/>
              <w:bottom w:val="single" w:color="auto" w:sz="4" w:space="0"/>
              <w:right w:val="single" w:color="000000" w:sz="4" w:space="0"/>
            </w:tcBorders>
            <w:vAlign w:val="center"/>
          </w:tcPr>
          <w:p w14:paraId="12BDB7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32BF8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18ED0A6F">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第五次全国经济普查数据的对外公布遵循“国家-省级-市级”的层级推进原则，目前国家层面的核心数据已通过新闻发布会等形式公布，新疆维吾尔自治区统计局、乌鲁木齐市统计局均暂未公布数据，区县统计局待上一级公布后，对外提供相关数据。</w:t>
            </w:r>
            <w:r>
              <w:rPr>
                <w:rFonts w:hint="eastAsia" w:ascii="宋体" w:hAnsi="宋体" w:eastAsia="宋体" w:cs="宋体"/>
                <w:color w:val="000000"/>
                <w:sz w:val="18"/>
                <w:szCs w:val="18"/>
              </w:rPr>
              <w:t>因此指标存在偏差。</w:t>
            </w:r>
          </w:p>
        </w:tc>
      </w:tr>
      <w:tr w14:paraId="2C22525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83821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C79CD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7BE0F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80.00分</w:t>
            </w:r>
          </w:p>
        </w:tc>
        <w:tc>
          <w:tcPr>
            <w:tcW w:w="1984" w:type="dxa"/>
            <w:gridSpan w:val="2"/>
            <w:tcBorders>
              <w:top w:val="single" w:color="auto" w:sz="4" w:space="0"/>
              <w:left w:val="nil"/>
              <w:bottom w:val="single" w:color="auto" w:sz="4" w:space="0"/>
              <w:right w:val="single" w:color="auto" w:sz="4" w:space="0"/>
            </w:tcBorders>
            <w:vAlign w:val="center"/>
          </w:tcPr>
          <w:p w14:paraId="016C205D">
            <w:pPr>
              <w:jc w:val="center"/>
              <w:rPr>
                <w:rFonts w:hint="eastAsia" w:ascii="宋体" w:hAnsi="宋体" w:eastAsia="宋体" w:cs="宋体"/>
                <w:b/>
                <w:bCs/>
                <w:color w:val="000000"/>
                <w:sz w:val="18"/>
                <w:szCs w:val="18"/>
              </w:rPr>
            </w:pPr>
          </w:p>
        </w:tc>
      </w:tr>
    </w:tbl>
    <w:p w14:paraId="3BBCF905">
      <w:pPr>
        <w:spacing w:after="0" w:line="240" w:lineRule="auto"/>
        <w:ind w:firstLine="640" w:firstLineChars="200"/>
        <w:jc w:val="both"/>
        <w:rPr>
          <w:rFonts w:ascii="仿宋_GB2312" w:eastAsia="仿宋_GB2312"/>
          <w:sz w:val="32"/>
          <w:szCs w:val="32"/>
          <w:lang w:eastAsia="zh-CN"/>
        </w:rPr>
      </w:pPr>
    </w:p>
    <w:p w14:paraId="5BAA030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244218C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16BD54D9">
      <w:pPr>
        <w:spacing w:after="0" w:line="240" w:lineRule="auto"/>
        <w:ind w:firstLine="640" w:firstLineChars="200"/>
        <w:rPr>
          <w:rFonts w:ascii="仿宋_GB2312" w:eastAsia="仿宋_GB2312"/>
          <w:sz w:val="32"/>
          <w:szCs w:val="32"/>
          <w:lang w:eastAsia="zh-CN"/>
        </w:rPr>
      </w:pPr>
    </w:p>
    <w:p w14:paraId="786CD867">
      <w:pPr>
        <w:rPr>
          <w:lang w:eastAsia="zh-CN"/>
        </w:rPr>
      </w:pPr>
      <w:r>
        <w:rPr>
          <w:sz w:val="0"/>
          <w:szCs w:val="0"/>
          <w:lang w:eastAsia="zh-CN"/>
        </w:rPr>
        <w:br w:type="page"/>
      </w:r>
    </w:p>
    <w:p w14:paraId="02B6E3E1">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3D50D6F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153FD0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E1FD07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58D188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0F3E9C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85BA01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E18E89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CA0EEE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4FB124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EF9044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225495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B7B87F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D1CD8A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AFF35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717B390">
      <w:pPr>
        <w:rPr>
          <w:lang w:eastAsia="zh-CN"/>
        </w:rPr>
      </w:pPr>
      <w:r>
        <w:rPr>
          <w:sz w:val="0"/>
          <w:szCs w:val="0"/>
          <w:lang w:eastAsia="zh-CN"/>
        </w:rPr>
        <w:br w:type="page"/>
      </w:r>
    </w:p>
    <w:p w14:paraId="23507C6C">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61C1FE4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A4572E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555610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37783F5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B22680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1FDF80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721582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53F6C5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D2C2AD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8348AA"/>
    <w:rsid w:val="00125136"/>
    <w:rsid w:val="00154E2C"/>
    <w:rsid w:val="00220E33"/>
    <w:rsid w:val="00301826"/>
    <w:rsid w:val="003941A7"/>
    <w:rsid w:val="003D46FC"/>
    <w:rsid w:val="00430677"/>
    <w:rsid w:val="004958F1"/>
    <w:rsid w:val="005B4FC1"/>
    <w:rsid w:val="006E7298"/>
    <w:rsid w:val="006F2094"/>
    <w:rsid w:val="007C0C39"/>
    <w:rsid w:val="008348AA"/>
    <w:rsid w:val="009451D4"/>
    <w:rsid w:val="00BC05C9"/>
    <w:rsid w:val="00D6563E"/>
    <w:rsid w:val="00E17582"/>
    <w:rsid w:val="00FE220A"/>
    <w:rsid w:val="216F26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9428</Words>
  <Characters>10219</Characters>
  <Lines>394</Lines>
  <Paragraphs>322</Paragraphs>
  <TotalTime>89</TotalTime>
  <ScaleCrop>false</ScaleCrop>
  <LinksUpToDate>false</LinksUpToDate>
  <CharactersWithSpaces>10231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2025-09-29T08:20:00Z</dcterms:created>
  <dc:creator>ldan</dc:creator>
  <cp:lastModifiedBy>雨。</cp:lastModifiedBy>
  <dcterms:modified xsi:type="dcterms:W3CDTF">2025-10-15T03:34:35Z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145C703DF55F44AA8F0B82EB70DA51DD_12</vt:lpwstr>
  </property>
</Properties>
</file>