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1159FB9">
      <w:pPr>
        <w:spacing w:after="0" w:line="240" w:lineRule="auto"/>
        <w:rPr>
          <w:rFonts w:ascii="宋体" w:eastAsia="宋体"/>
          <w:sz w:val="32"/>
          <w:szCs w:val="32"/>
        </w:rPr>
      </w:pPr>
    </w:p>
    <w:p w14:paraId="359D36E0">
      <w:pPr>
        <w:spacing w:after="0" w:line="240" w:lineRule="auto"/>
        <w:rPr>
          <w:rFonts w:ascii="宋体" w:eastAsia="宋体"/>
          <w:sz w:val="44"/>
          <w:szCs w:val="44"/>
        </w:rPr>
      </w:pPr>
    </w:p>
    <w:p w14:paraId="6B4F11D4">
      <w:pPr>
        <w:spacing w:after="0" w:line="240" w:lineRule="auto"/>
        <w:rPr>
          <w:rFonts w:ascii="宋体" w:eastAsia="宋体"/>
          <w:sz w:val="44"/>
          <w:szCs w:val="44"/>
        </w:rPr>
      </w:pPr>
    </w:p>
    <w:p w14:paraId="536BF13E">
      <w:pPr>
        <w:spacing w:after="0" w:line="240" w:lineRule="auto"/>
        <w:rPr>
          <w:rFonts w:ascii="宋体" w:eastAsia="宋体"/>
          <w:sz w:val="44"/>
          <w:szCs w:val="44"/>
        </w:rPr>
      </w:pPr>
    </w:p>
    <w:p w14:paraId="6F12C1D8">
      <w:pPr>
        <w:spacing w:after="0" w:line="240" w:lineRule="auto"/>
        <w:jc w:val="center"/>
        <w:outlineLvl w:val="0"/>
        <w:rPr>
          <w:rFonts w:ascii="宋体" w:eastAsia="黑体"/>
          <w:sz w:val="44"/>
          <w:szCs w:val="44"/>
          <w:lang w:eastAsia="zh-CN"/>
        </w:rPr>
      </w:pPr>
      <w:r>
        <w:rPr>
          <w:rFonts w:ascii="宋体" w:eastAsia="黑体"/>
          <w:sz w:val="44"/>
          <w:szCs w:val="44"/>
          <w:lang w:eastAsia="zh-CN"/>
        </w:rPr>
        <w:t>中共乌鲁木齐市米东区委员会党校</w:t>
      </w:r>
    </w:p>
    <w:p w14:paraId="3DA37201">
      <w:pPr>
        <w:spacing w:after="0" w:line="240" w:lineRule="auto"/>
        <w:jc w:val="center"/>
        <w:outlineLvl w:val="0"/>
        <w:rPr>
          <w:rFonts w:ascii="黑体" w:eastAsia="黑体"/>
          <w:sz w:val="44"/>
          <w:szCs w:val="44"/>
          <w:lang w:eastAsia="zh-CN"/>
        </w:rPr>
      </w:pPr>
      <w:r>
        <w:rPr>
          <w:rFonts w:ascii="黑体" w:eastAsia="黑体"/>
          <w:sz w:val="44"/>
          <w:szCs w:val="44"/>
          <w:lang w:eastAsia="zh-CN"/>
        </w:rPr>
        <w:t>2024年度部门决算公开说明</w:t>
      </w:r>
    </w:p>
    <w:p w14:paraId="425977FD">
      <w:pPr>
        <w:rPr>
          <w:lang w:eastAsia="zh-CN"/>
        </w:rPr>
      </w:pPr>
      <w:r>
        <w:rPr>
          <w:sz w:val="0"/>
          <w:szCs w:val="0"/>
          <w:lang w:eastAsia="zh-CN"/>
        </w:rPr>
        <w:br w:type="page"/>
      </w:r>
    </w:p>
    <w:p w14:paraId="7D5D06C3">
      <w:pPr>
        <w:spacing w:after="0" w:line="240" w:lineRule="auto"/>
        <w:jc w:val="center"/>
        <w:rPr>
          <w:rFonts w:ascii="黑体" w:eastAsia="黑体"/>
          <w:sz w:val="32"/>
          <w:szCs w:val="32"/>
          <w:lang w:eastAsia="zh-CN"/>
        </w:rPr>
      </w:pPr>
      <w:r>
        <w:rPr>
          <w:rFonts w:ascii="黑体" w:eastAsia="黑体"/>
          <w:b/>
          <w:sz w:val="32"/>
          <w:szCs w:val="32"/>
          <w:lang w:eastAsia="zh-CN"/>
        </w:rPr>
        <w:t>目  录</w:t>
      </w:r>
    </w:p>
    <w:p w14:paraId="74D96F95">
      <w:pPr>
        <w:spacing w:after="0" w:line="240" w:lineRule="auto"/>
        <w:rPr>
          <w:rFonts w:ascii="仿宋_GB2312" w:eastAsia="仿宋_GB2312"/>
          <w:sz w:val="32"/>
          <w:szCs w:val="32"/>
          <w:lang w:eastAsia="zh-CN"/>
        </w:rPr>
      </w:pPr>
      <w:r>
        <w:rPr>
          <w:rFonts w:ascii="仿宋_GB2312" w:eastAsia="仿宋_GB2312"/>
          <w:b/>
          <w:sz w:val="32"/>
          <w:szCs w:val="32"/>
          <w:lang w:eastAsia="zh-CN"/>
        </w:rPr>
        <w:t>第一部分单位概况</w:t>
      </w:r>
    </w:p>
    <w:p w14:paraId="549A9400">
      <w:pPr>
        <w:spacing w:after="0" w:line="240" w:lineRule="auto"/>
        <w:rPr>
          <w:rFonts w:ascii="仿宋_GB2312" w:eastAsia="仿宋_GB2312"/>
          <w:sz w:val="32"/>
          <w:szCs w:val="32"/>
          <w:lang w:eastAsia="zh-CN"/>
        </w:rPr>
      </w:pPr>
      <w:r>
        <w:rPr>
          <w:rFonts w:ascii="仿宋_GB2312" w:eastAsia="仿宋_GB2312"/>
          <w:sz w:val="32"/>
          <w:szCs w:val="32"/>
          <w:lang w:eastAsia="zh-CN"/>
        </w:rPr>
        <w:t>一、主要职能</w:t>
      </w:r>
    </w:p>
    <w:p w14:paraId="492C9AFE">
      <w:pPr>
        <w:spacing w:after="0" w:line="240" w:lineRule="auto"/>
        <w:rPr>
          <w:rFonts w:ascii="仿宋_GB2312" w:eastAsia="仿宋_GB2312"/>
          <w:sz w:val="32"/>
          <w:szCs w:val="32"/>
          <w:lang w:eastAsia="zh-CN"/>
        </w:rPr>
      </w:pPr>
      <w:r>
        <w:rPr>
          <w:rFonts w:ascii="仿宋_GB2312" w:eastAsia="仿宋_GB2312"/>
          <w:sz w:val="32"/>
          <w:szCs w:val="32"/>
          <w:lang w:eastAsia="zh-CN"/>
        </w:rPr>
        <w:t>二、机构设置及人员情况</w:t>
      </w:r>
    </w:p>
    <w:p w14:paraId="4F42D7B1">
      <w:pPr>
        <w:spacing w:after="0" w:line="240" w:lineRule="auto"/>
        <w:rPr>
          <w:rFonts w:ascii="仿宋_GB2312" w:eastAsia="仿宋_GB2312"/>
          <w:sz w:val="32"/>
          <w:szCs w:val="32"/>
          <w:lang w:eastAsia="zh-CN"/>
        </w:rPr>
      </w:pPr>
      <w:r>
        <w:rPr>
          <w:rFonts w:ascii="仿宋_GB2312" w:eastAsia="仿宋_GB2312"/>
          <w:b/>
          <w:sz w:val="32"/>
          <w:szCs w:val="32"/>
          <w:lang w:eastAsia="zh-CN"/>
        </w:rPr>
        <w:t>第二部分 部门决算情况说明</w:t>
      </w:r>
    </w:p>
    <w:p w14:paraId="52597DD6">
      <w:pPr>
        <w:spacing w:after="0" w:line="240" w:lineRule="auto"/>
        <w:rPr>
          <w:rFonts w:ascii="仿宋_GB2312" w:eastAsia="仿宋_GB2312"/>
          <w:sz w:val="32"/>
          <w:szCs w:val="32"/>
          <w:lang w:eastAsia="zh-CN"/>
        </w:rPr>
      </w:pPr>
      <w:r>
        <w:rPr>
          <w:rFonts w:ascii="仿宋_GB2312" w:eastAsia="仿宋_GB2312"/>
          <w:sz w:val="32"/>
          <w:szCs w:val="32"/>
          <w:lang w:eastAsia="zh-CN"/>
        </w:rPr>
        <w:t>一、收入支出决算总体情况说明</w:t>
      </w:r>
    </w:p>
    <w:p w14:paraId="4E3D6118">
      <w:pPr>
        <w:spacing w:after="0" w:line="240" w:lineRule="auto"/>
        <w:rPr>
          <w:rFonts w:ascii="仿宋_GB2312" w:eastAsia="仿宋_GB2312"/>
          <w:sz w:val="32"/>
          <w:szCs w:val="32"/>
          <w:lang w:eastAsia="zh-CN"/>
        </w:rPr>
      </w:pPr>
      <w:r>
        <w:rPr>
          <w:rFonts w:ascii="仿宋_GB2312" w:eastAsia="仿宋_GB2312"/>
          <w:sz w:val="32"/>
          <w:szCs w:val="32"/>
          <w:lang w:eastAsia="zh-CN"/>
        </w:rPr>
        <w:t>二、收入决算情况说明</w:t>
      </w:r>
    </w:p>
    <w:p w14:paraId="23C2B435">
      <w:pPr>
        <w:spacing w:after="0" w:line="240" w:lineRule="auto"/>
        <w:rPr>
          <w:rFonts w:ascii="仿宋_GB2312" w:eastAsia="仿宋_GB2312"/>
          <w:sz w:val="32"/>
          <w:szCs w:val="32"/>
          <w:lang w:eastAsia="zh-CN"/>
        </w:rPr>
      </w:pPr>
      <w:r>
        <w:rPr>
          <w:rFonts w:ascii="仿宋_GB2312" w:eastAsia="仿宋_GB2312"/>
          <w:sz w:val="32"/>
          <w:szCs w:val="32"/>
          <w:lang w:eastAsia="zh-CN"/>
        </w:rPr>
        <w:t>三、支出决算情况说明</w:t>
      </w:r>
    </w:p>
    <w:p w14:paraId="7F880A99">
      <w:pPr>
        <w:spacing w:after="0" w:line="240" w:lineRule="auto"/>
        <w:rPr>
          <w:rFonts w:ascii="仿宋_GB2312" w:eastAsia="仿宋_GB2312"/>
          <w:sz w:val="32"/>
          <w:szCs w:val="32"/>
          <w:lang w:eastAsia="zh-CN"/>
        </w:rPr>
      </w:pPr>
      <w:r>
        <w:rPr>
          <w:rFonts w:ascii="仿宋_GB2312" w:eastAsia="仿宋_GB2312"/>
          <w:sz w:val="32"/>
          <w:szCs w:val="32"/>
          <w:lang w:eastAsia="zh-CN"/>
        </w:rPr>
        <w:t>四、财政拨款收入支出决算总体情况说明</w:t>
      </w:r>
    </w:p>
    <w:p w14:paraId="210B9C60">
      <w:pPr>
        <w:spacing w:after="0" w:line="240" w:lineRule="auto"/>
        <w:rPr>
          <w:rFonts w:ascii="仿宋_GB2312" w:eastAsia="仿宋_GB2312"/>
          <w:sz w:val="32"/>
          <w:szCs w:val="32"/>
          <w:lang w:eastAsia="zh-CN"/>
        </w:rPr>
      </w:pPr>
      <w:r>
        <w:rPr>
          <w:rFonts w:ascii="仿宋_GB2312" w:eastAsia="仿宋_GB2312"/>
          <w:sz w:val="32"/>
          <w:szCs w:val="32"/>
          <w:lang w:eastAsia="zh-CN"/>
        </w:rPr>
        <w:t>五、一般公共预算财政拨款支出决算情况说明</w:t>
      </w:r>
    </w:p>
    <w:p w14:paraId="557ACE0A">
      <w:pPr>
        <w:spacing w:after="0" w:line="240" w:lineRule="auto"/>
        <w:rPr>
          <w:rFonts w:ascii="仿宋_GB2312" w:eastAsia="仿宋_GB2312"/>
          <w:sz w:val="32"/>
          <w:szCs w:val="32"/>
          <w:lang w:eastAsia="zh-CN"/>
        </w:rPr>
      </w:pPr>
      <w:r>
        <w:rPr>
          <w:rFonts w:ascii="仿宋_GB2312" w:eastAsia="仿宋_GB2312"/>
          <w:sz w:val="32"/>
          <w:szCs w:val="32"/>
          <w:lang w:eastAsia="zh-CN"/>
        </w:rPr>
        <w:t>（一）一般公共预算财政拨款支出决算总体情况</w:t>
      </w:r>
    </w:p>
    <w:p w14:paraId="633F3431">
      <w:pPr>
        <w:spacing w:after="0" w:line="240" w:lineRule="auto"/>
        <w:rPr>
          <w:rFonts w:ascii="仿宋_GB2312" w:eastAsia="仿宋_GB2312"/>
          <w:sz w:val="32"/>
          <w:szCs w:val="32"/>
          <w:lang w:eastAsia="zh-CN"/>
        </w:rPr>
      </w:pPr>
      <w:r>
        <w:rPr>
          <w:rFonts w:ascii="仿宋_GB2312" w:eastAsia="仿宋_GB2312"/>
          <w:sz w:val="32"/>
          <w:szCs w:val="32"/>
          <w:lang w:eastAsia="zh-CN"/>
        </w:rPr>
        <w:t>（二）一般公共预算财政拨款支出决算结构情况</w:t>
      </w:r>
    </w:p>
    <w:p w14:paraId="0AC21E7C">
      <w:pPr>
        <w:spacing w:after="0" w:line="240" w:lineRule="auto"/>
        <w:rPr>
          <w:rFonts w:ascii="仿宋_GB2312" w:eastAsia="仿宋_GB2312"/>
          <w:sz w:val="32"/>
          <w:szCs w:val="32"/>
          <w:lang w:eastAsia="zh-CN"/>
        </w:rPr>
      </w:pPr>
      <w:r>
        <w:rPr>
          <w:rFonts w:ascii="仿宋_GB2312" w:eastAsia="仿宋_GB2312"/>
          <w:sz w:val="32"/>
          <w:szCs w:val="32"/>
          <w:lang w:eastAsia="zh-CN"/>
        </w:rPr>
        <w:t>（三）一般公共预算财政拨款支出决算具体情况</w:t>
      </w:r>
    </w:p>
    <w:p w14:paraId="541836FD">
      <w:pPr>
        <w:spacing w:after="0" w:line="240" w:lineRule="auto"/>
        <w:rPr>
          <w:rFonts w:ascii="仿宋_GB2312" w:eastAsia="仿宋_GB2312"/>
          <w:sz w:val="32"/>
          <w:szCs w:val="32"/>
          <w:lang w:eastAsia="zh-CN"/>
        </w:rPr>
      </w:pPr>
      <w:r>
        <w:rPr>
          <w:rFonts w:ascii="仿宋_GB2312" w:eastAsia="仿宋_GB2312"/>
          <w:sz w:val="32"/>
          <w:szCs w:val="32"/>
          <w:lang w:eastAsia="zh-CN"/>
        </w:rPr>
        <w:t>​六、一般公共预算财政拨款基本支出决算情况说明</w:t>
      </w:r>
    </w:p>
    <w:p w14:paraId="40026DBD">
      <w:pPr>
        <w:spacing w:after="0" w:line="240" w:lineRule="auto"/>
        <w:rPr>
          <w:rFonts w:ascii="仿宋_GB2312" w:eastAsia="仿宋_GB2312"/>
          <w:sz w:val="32"/>
          <w:szCs w:val="32"/>
          <w:lang w:eastAsia="zh-CN"/>
        </w:rPr>
      </w:pPr>
      <w:r>
        <w:rPr>
          <w:rFonts w:ascii="仿宋_GB2312" w:eastAsia="仿宋_GB2312"/>
          <w:sz w:val="32"/>
          <w:szCs w:val="32"/>
          <w:lang w:eastAsia="zh-CN"/>
        </w:rPr>
        <w:t>七、政府性基金预算财政拨款收入支出决算情况说明</w:t>
      </w:r>
    </w:p>
    <w:p w14:paraId="3838BFBB">
      <w:pPr>
        <w:spacing w:after="0" w:line="240" w:lineRule="auto"/>
        <w:rPr>
          <w:rFonts w:ascii="仿宋_GB2312" w:eastAsia="仿宋_GB2312"/>
          <w:sz w:val="32"/>
          <w:szCs w:val="32"/>
          <w:lang w:eastAsia="zh-CN"/>
        </w:rPr>
      </w:pPr>
      <w:r>
        <w:rPr>
          <w:rFonts w:ascii="仿宋_GB2312" w:eastAsia="仿宋_GB2312"/>
          <w:sz w:val="32"/>
          <w:szCs w:val="32"/>
          <w:lang w:eastAsia="zh-CN"/>
        </w:rPr>
        <w:t>八、国有资本经营预算财政拨款收入支出决算情况说明</w:t>
      </w:r>
    </w:p>
    <w:p w14:paraId="74203B21">
      <w:pPr>
        <w:spacing w:after="0" w:line="240" w:lineRule="auto"/>
        <w:rPr>
          <w:rFonts w:ascii="仿宋_GB2312" w:eastAsia="仿宋_GB2312"/>
          <w:sz w:val="32"/>
          <w:szCs w:val="32"/>
          <w:lang w:eastAsia="zh-CN"/>
        </w:rPr>
      </w:pPr>
      <w:r>
        <w:rPr>
          <w:rFonts w:ascii="仿宋_GB2312" w:eastAsia="仿宋_GB2312"/>
          <w:sz w:val="32"/>
          <w:szCs w:val="32"/>
          <w:lang w:eastAsia="zh-CN"/>
        </w:rPr>
        <w:t>九、财政拨款“三公”经费支出决算情况说明</w:t>
      </w:r>
    </w:p>
    <w:p w14:paraId="138944CC">
      <w:pPr>
        <w:spacing w:after="0" w:line="240" w:lineRule="auto"/>
        <w:rPr>
          <w:rFonts w:ascii="仿宋_GB2312" w:eastAsia="仿宋_GB2312"/>
          <w:sz w:val="32"/>
          <w:szCs w:val="32"/>
          <w:lang w:eastAsia="zh-CN"/>
        </w:rPr>
      </w:pPr>
      <w:r>
        <w:rPr>
          <w:rFonts w:ascii="仿宋_GB2312" w:eastAsia="仿宋_GB2312"/>
          <w:sz w:val="32"/>
          <w:szCs w:val="32"/>
          <w:lang w:eastAsia="zh-CN"/>
        </w:rPr>
        <w:t>​十、其他重要事项的情况说明</w:t>
      </w:r>
    </w:p>
    <w:p w14:paraId="1420F77D">
      <w:pPr>
        <w:spacing w:after="0" w:line="240" w:lineRule="auto"/>
        <w:rPr>
          <w:rFonts w:ascii="仿宋_GB2312" w:eastAsia="仿宋_GB2312"/>
          <w:sz w:val="32"/>
          <w:szCs w:val="32"/>
          <w:lang w:eastAsia="zh-CN"/>
        </w:rPr>
      </w:pPr>
      <w:r>
        <w:rPr>
          <w:rFonts w:ascii="仿宋_GB2312" w:eastAsia="仿宋_GB2312"/>
          <w:sz w:val="32"/>
          <w:szCs w:val="32"/>
          <w:lang w:eastAsia="zh-CN"/>
        </w:rPr>
        <w:t>（一）机关运行经费及公用经费支出情况</w:t>
      </w:r>
    </w:p>
    <w:p w14:paraId="4FC344C9">
      <w:pPr>
        <w:spacing w:after="0" w:line="240" w:lineRule="auto"/>
        <w:rPr>
          <w:rFonts w:ascii="仿宋_GB2312" w:eastAsia="仿宋_GB2312"/>
          <w:sz w:val="32"/>
          <w:szCs w:val="32"/>
          <w:lang w:eastAsia="zh-CN"/>
        </w:rPr>
      </w:pPr>
      <w:r>
        <w:rPr>
          <w:rFonts w:ascii="仿宋_GB2312" w:eastAsia="仿宋_GB2312"/>
          <w:sz w:val="32"/>
          <w:szCs w:val="32"/>
          <w:lang w:eastAsia="zh-CN"/>
        </w:rPr>
        <w:t>（二）政府采购情况</w:t>
      </w:r>
    </w:p>
    <w:p w14:paraId="1132ACB6">
      <w:pPr>
        <w:spacing w:after="0" w:line="240" w:lineRule="auto"/>
        <w:rPr>
          <w:rFonts w:ascii="仿宋_GB2312" w:eastAsia="仿宋_GB2312"/>
          <w:sz w:val="32"/>
          <w:szCs w:val="32"/>
          <w:lang w:eastAsia="zh-CN"/>
        </w:rPr>
      </w:pPr>
      <w:r>
        <w:rPr>
          <w:rFonts w:ascii="仿宋_GB2312" w:eastAsia="仿宋_GB2312"/>
          <w:sz w:val="32"/>
          <w:szCs w:val="32"/>
          <w:lang w:eastAsia="zh-CN"/>
        </w:rPr>
        <w:t>（三）国有资产占用情况说明</w:t>
      </w:r>
    </w:p>
    <w:p w14:paraId="601885DA">
      <w:pPr>
        <w:spacing w:after="0" w:line="240" w:lineRule="auto"/>
        <w:rPr>
          <w:rFonts w:ascii="仿宋_GB2312" w:eastAsia="仿宋_GB2312"/>
          <w:sz w:val="32"/>
          <w:szCs w:val="32"/>
          <w:lang w:eastAsia="zh-CN"/>
        </w:rPr>
      </w:pPr>
      <w:r>
        <w:rPr>
          <w:rFonts w:ascii="仿宋_GB2312" w:eastAsia="仿宋_GB2312"/>
          <w:sz w:val="32"/>
          <w:szCs w:val="32"/>
          <w:lang w:eastAsia="zh-CN"/>
        </w:rPr>
        <w:t>十一、预算绩效的情况说明</w:t>
      </w:r>
    </w:p>
    <w:p w14:paraId="27D3DDD4">
      <w:pPr>
        <w:spacing w:after="0" w:line="240" w:lineRule="auto"/>
        <w:rPr>
          <w:rFonts w:ascii="仿宋_GB2312" w:eastAsia="仿宋_GB2312"/>
          <w:sz w:val="32"/>
          <w:szCs w:val="32"/>
          <w:lang w:eastAsia="zh-CN"/>
        </w:rPr>
      </w:pPr>
      <w:r>
        <w:rPr>
          <w:rFonts w:ascii="仿宋_GB2312" w:eastAsia="仿宋_GB2312"/>
          <w:sz w:val="32"/>
          <w:szCs w:val="32"/>
          <w:lang w:eastAsia="zh-CN"/>
        </w:rPr>
        <w:t>十二、其他需说明的事项</w:t>
      </w:r>
    </w:p>
    <w:p w14:paraId="05F1DB7F">
      <w:pPr>
        <w:spacing w:after="0" w:line="240" w:lineRule="auto"/>
        <w:rPr>
          <w:rFonts w:ascii="仿宋_GB2312" w:eastAsia="仿宋_GB2312"/>
          <w:sz w:val="32"/>
          <w:szCs w:val="32"/>
          <w:lang w:eastAsia="zh-CN"/>
        </w:rPr>
      </w:pPr>
      <w:r>
        <w:rPr>
          <w:rFonts w:ascii="仿宋_GB2312" w:eastAsia="仿宋_GB2312"/>
          <w:b/>
          <w:sz w:val="32"/>
          <w:szCs w:val="32"/>
          <w:lang w:eastAsia="zh-CN"/>
        </w:rPr>
        <w:t>第三部分 专业名词解释</w:t>
      </w:r>
    </w:p>
    <w:p w14:paraId="2A7E4392">
      <w:pPr>
        <w:spacing w:after="0" w:line="240" w:lineRule="auto"/>
        <w:rPr>
          <w:rFonts w:ascii="仿宋_GB2312" w:eastAsia="仿宋_GB2312"/>
          <w:sz w:val="32"/>
          <w:szCs w:val="32"/>
          <w:lang w:eastAsia="zh-CN"/>
        </w:rPr>
      </w:pPr>
      <w:r>
        <w:rPr>
          <w:rFonts w:ascii="仿宋_GB2312" w:eastAsia="仿宋_GB2312"/>
          <w:b/>
          <w:sz w:val="32"/>
          <w:szCs w:val="32"/>
          <w:lang w:eastAsia="zh-CN"/>
        </w:rPr>
        <w:t>第四部分 部门决算报表（见附表）</w:t>
      </w:r>
    </w:p>
    <w:p w14:paraId="48F306DD">
      <w:pPr>
        <w:spacing w:after="0" w:line="240" w:lineRule="auto"/>
        <w:rPr>
          <w:rFonts w:ascii="仿宋_GB2312" w:eastAsia="仿宋_GB2312"/>
          <w:sz w:val="32"/>
          <w:szCs w:val="32"/>
          <w:lang w:eastAsia="zh-CN"/>
        </w:rPr>
      </w:pPr>
      <w:r>
        <w:rPr>
          <w:rFonts w:ascii="仿宋_GB2312" w:eastAsia="仿宋_GB2312"/>
          <w:sz w:val="32"/>
          <w:szCs w:val="32"/>
          <w:lang w:eastAsia="zh-CN"/>
        </w:rPr>
        <w:t>一、《收入支出决算总表》</w:t>
      </w:r>
    </w:p>
    <w:p w14:paraId="2E5B296C">
      <w:pPr>
        <w:spacing w:after="0" w:line="240" w:lineRule="auto"/>
        <w:rPr>
          <w:rFonts w:ascii="仿宋_GB2312" w:eastAsia="仿宋_GB2312"/>
          <w:sz w:val="32"/>
          <w:szCs w:val="32"/>
          <w:lang w:eastAsia="zh-CN"/>
        </w:rPr>
      </w:pPr>
      <w:r>
        <w:rPr>
          <w:rFonts w:ascii="仿宋_GB2312" w:eastAsia="仿宋_GB2312"/>
          <w:sz w:val="32"/>
          <w:szCs w:val="32"/>
          <w:lang w:eastAsia="zh-CN"/>
        </w:rPr>
        <w:t>二、《收入决算表》</w:t>
      </w:r>
    </w:p>
    <w:p w14:paraId="7A50E59A">
      <w:pPr>
        <w:spacing w:after="0" w:line="240" w:lineRule="auto"/>
        <w:rPr>
          <w:rFonts w:ascii="仿宋_GB2312" w:eastAsia="仿宋_GB2312"/>
          <w:sz w:val="32"/>
          <w:szCs w:val="32"/>
          <w:lang w:eastAsia="zh-CN"/>
        </w:rPr>
      </w:pPr>
      <w:r>
        <w:rPr>
          <w:rFonts w:ascii="仿宋_GB2312" w:eastAsia="仿宋_GB2312"/>
          <w:sz w:val="32"/>
          <w:szCs w:val="32"/>
          <w:lang w:eastAsia="zh-CN"/>
        </w:rPr>
        <w:t>三、《支出决算表》</w:t>
      </w:r>
    </w:p>
    <w:p w14:paraId="0C854F31">
      <w:pPr>
        <w:spacing w:after="0" w:line="240" w:lineRule="auto"/>
        <w:rPr>
          <w:rFonts w:ascii="仿宋_GB2312" w:eastAsia="仿宋_GB2312"/>
          <w:sz w:val="32"/>
          <w:szCs w:val="32"/>
          <w:lang w:eastAsia="zh-CN"/>
        </w:rPr>
      </w:pPr>
      <w:r>
        <w:rPr>
          <w:rFonts w:ascii="仿宋_GB2312" w:eastAsia="仿宋_GB2312"/>
          <w:sz w:val="32"/>
          <w:szCs w:val="32"/>
          <w:lang w:eastAsia="zh-CN"/>
        </w:rPr>
        <w:t>四、《财政拨款收入支出决算总表》</w:t>
      </w:r>
    </w:p>
    <w:p w14:paraId="713BC338">
      <w:pPr>
        <w:spacing w:after="0" w:line="240" w:lineRule="auto"/>
        <w:rPr>
          <w:rFonts w:ascii="仿宋_GB2312" w:eastAsia="仿宋_GB2312"/>
          <w:sz w:val="32"/>
          <w:szCs w:val="32"/>
          <w:lang w:eastAsia="zh-CN"/>
        </w:rPr>
      </w:pPr>
      <w:r>
        <w:rPr>
          <w:rFonts w:ascii="仿宋_GB2312" w:eastAsia="仿宋_GB2312"/>
          <w:sz w:val="32"/>
          <w:szCs w:val="32"/>
          <w:lang w:eastAsia="zh-CN"/>
        </w:rPr>
        <w:t>五、《一般公共预算财政拨款支出决算表》</w:t>
      </w:r>
    </w:p>
    <w:p w14:paraId="1CBD32EF">
      <w:pPr>
        <w:spacing w:after="0" w:line="240" w:lineRule="auto"/>
        <w:rPr>
          <w:rFonts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2157AA68">
      <w:pPr>
        <w:spacing w:after="0" w:line="240" w:lineRule="auto"/>
        <w:rPr>
          <w:rFonts w:ascii="仿宋_GB2312" w:eastAsia="仿宋_GB2312"/>
          <w:sz w:val="32"/>
          <w:szCs w:val="32"/>
          <w:lang w:eastAsia="zh-CN"/>
        </w:rPr>
      </w:pPr>
      <w:r>
        <w:rPr>
          <w:rFonts w:ascii="仿宋_GB2312" w:eastAsia="仿宋_GB2312"/>
          <w:sz w:val="32"/>
          <w:szCs w:val="32"/>
          <w:lang w:eastAsia="zh-CN"/>
        </w:rPr>
        <w:t>七、《政府性基金预算财政拨款收入支出决算表》</w:t>
      </w:r>
    </w:p>
    <w:p w14:paraId="3B31185F">
      <w:pPr>
        <w:spacing w:after="0" w:line="240" w:lineRule="auto"/>
        <w:rPr>
          <w:rFonts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6580BE04">
      <w:pPr>
        <w:spacing w:after="0" w:line="240" w:lineRule="auto"/>
        <w:rPr>
          <w:rFonts w:ascii="仿宋_GB2312" w:eastAsia="仿宋_GB2312"/>
          <w:sz w:val="32"/>
          <w:szCs w:val="32"/>
          <w:lang w:eastAsia="zh-CN"/>
        </w:rPr>
      </w:pPr>
      <w:r>
        <w:rPr>
          <w:rFonts w:ascii="仿宋_GB2312" w:eastAsia="仿宋_GB2312"/>
          <w:sz w:val="32"/>
          <w:szCs w:val="32"/>
          <w:lang w:eastAsia="zh-CN"/>
        </w:rPr>
        <w:t>九、《财政拨款“三公”经费支出决算表》</w:t>
      </w:r>
    </w:p>
    <w:p w14:paraId="17068090">
      <w:pPr>
        <w:rPr>
          <w:lang w:eastAsia="zh-CN"/>
        </w:rPr>
      </w:pPr>
      <w:r>
        <w:rPr>
          <w:sz w:val="0"/>
          <w:szCs w:val="0"/>
          <w:lang w:eastAsia="zh-CN"/>
        </w:rPr>
        <w:br w:type="page"/>
      </w:r>
    </w:p>
    <w:p w14:paraId="6F7ED75F">
      <w:pPr>
        <w:spacing w:after="0" w:line="240" w:lineRule="auto"/>
        <w:jc w:val="center"/>
        <w:outlineLvl w:val="0"/>
        <w:rPr>
          <w:rFonts w:ascii="黑体" w:eastAsia="黑体"/>
          <w:sz w:val="32"/>
          <w:szCs w:val="32"/>
          <w:lang w:eastAsia="zh-CN"/>
        </w:rPr>
      </w:pPr>
      <w:r>
        <w:rPr>
          <w:rFonts w:ascii="黑体" w:eastAsia="黑体"/>
          <w:sz w:val="32"/>
          <w:szCs w:val="32"/>
          <w:lang w:eastAsia="zh-CN"/>
        </w:rPr>
        <w:t>第一部分 单位概况</w:t>
      </w:r>
    </w:p>
    <w:p w14:paraId="70194727">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 一、主要职能</w:t>
      </w:r>
    </w:p>
    <w:p w14:paraId="14CB95E3">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1.学习、研究和宣传马克思列宁主义、毛泽东思想、邓小平理论、“三个代表”重要思想、科学发展观和习近平新时代中国特色社会主义思想以及党和国家的路线、方针、政策、法律、法规。</w:t>
      </w:r>
    </w:p>
    <w:p w14:paraId="6141DC89">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2.根据区委对干部队伍建设的要求，开展区属科级干部、党员干部、社区干部、发展对象、理论骨干及异地挂职干部的培训工作。</w:t>
      </w:r>
    </w:p>
    <w:p w14:paraId="36B66104">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3.在组织部的指导下，协助其他部门做好政治理论及业务培训工作。</w:t>
      </w:r>
    </w:p>
    <w:p w14:paraId="0DB4A9DA">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4.完成上级交办的其他工作。</w:t>
      </w:r>
    </w:p>
    <w:p w14:paraId="66E4CA0A">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二、机构设置及人员情况</w:t>
      </w:r>
    </w:p>
    <w:p w14:paraId="7227C429">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中共乌鲁木齐市米东区委员会党校2024年度，实有人数25人，其中：在职人员13人，较上年无变化；离休人员0人，较上年无变化；退休人员12人，增加1人。</w:t>
      </w:r>
    </w:p>
    <w:p w14:paraId="7A9D53A0">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中共乌鲁木齐市米东区委员会党校无下属预算单位，下设2个科室，分别是：办公室、教务处。</w:t>
      </w:r>
    </w:p>
    <w:p w14:paraId="009E0F59">
      <w:pPr>
        <w:rPr>
          <w:lang w:eastAsia="zh-CN"/>
        </w:rPr>
      </w:pPr>
      <w:r>
        <w:rPr>
          <w:sz w:val="0"/>
          <w:szCs w:val="0"/>
          <w:lang w:eastAsia="zh-CN"/>
        </w:rPr>
        <w:br w:type="page"/>
      </w:r>
    </w:p>
    <w:p w14:paraId="4ABF844D">
      <w:pPr>
        <w:spacing w:after="0" w:line="240" w:lineRule="auto"/>
        <w:jc w:val="center"/>
        <w:outlineLvl w:val="0"/>
        <w:rPr>
          <w:rFonts w:ascii="黑体" w:eastAsia="黑体"/>
          <w:sz w:val="32"/>
          <w:szCs w:val="32"/>
          <w:lang w:eastAsia="zh-CN"/>
        </w:rPr>
      </w:pPr>
      <w:r>
        <w:rPr>
          <w:rFonts w:ascii="黑体" w:eastAsia="黑体"/>
          <w:sz w:val="32"/>
          <w:szCs w:val="32"/>
          <w:lang w:eastAsia="zh-CN"/>
        </w:rPr>
        <w:t>第二部分 部门决算情况说明</w:t>
      </w:r>
    </w:p>
    <w:p w14:paraId="304355F1">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一、收入支出决算总体情况说明</w:t>
      </w:r>
    </w:p>
    <w:p w14:paraId="2244C6EF">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2024年度收入总计289.69万元，其中：本年收入合计238.09万元，使用非财政拨款结余（含专用结余）0.00万元，年初结转和结余51.61万元。</w:t>
      </w:r>
    </w:p>
    <w:p w14:paraId="43908422">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2024年度支出总计289.69万元，其中：本年支出合计236.64万元，结余分配0.00万元，年末结转和结余53.06万元。</w:t>
      </w:r>
    </w:p>
    <w:p w14:paraId="1A29E6DE">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收入支出总体与上年相比，增加1.19万元，增长0.41%，主要原因是：</w:t>
      </w:r>
      <w:bookmarkStart w:id="0" w:name="_Hlk210990829"/>
      <w:r>
        <w:rPr>
          <w:rFonts w:hint="eastAsia" w:ascii="仿宋_GB2312" w:eastAsia="仿宋_GB2312"/>
          <w:sz w:val="32"/>
          <w:szCs w:val="32"/>
          <w:lang w:eastAsia="zh-CN"/>
        </w:rPr>
        <w:t>单位本年</w:t>
      </w:r>
      <w:bookmarkEnd w:id="0"/>
      <w:r>
        <w:rPr>
          <w:rFonts w:hint="eastAsia" w:ascii="仿宋_GB2312" w:eastAsia="仿宋_GB2312"/>
          <w:sz w:val="32"/>
          <w:szCs w:val="32"/>
          <w:lang w:eastAsia="zh-CN"/>
        </w:rPr>
        <w:t>在职人员工资调增，人员工资、津贴补贴、奖金等经费增加</w:t>
      </w:r>
      <w:r>
        <w:rPr>
          <w:rFonts w:ascii="仿宋_GB2312" w:eastAsia="仿宋_GB2312"/>
          <w:sz w:val="32"/>
          <w:szCs w:val="32"/>
          <w:lang w:eastAsia="zh-CN"/>
        </w:rPr>
        <w:t>。</w:t>
      </w:r>
    </w:p>
    <w:p w14:paraId="548A964F">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二、收入决算情况说明</w:t>
      </w:r>
    </w:p>
    <w:p w14:paraId="63B52F5C">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本年收入238.09万元，其中：财政拨款收入222.12万元,占93.29%；上级补助收入0.00万元,占0.00%；事业收入0.00万元，占0.00%；经营收入0.00万元,占0.00%；附属单位上缴收入0.00万元，占0.00%；其他收入15.97万元，占6.71%。</w:t>
      </w:r>
    </w:p>
    <w:p w14:paraId="38E6D462">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三、支出决算情况说明</w:t>
      </w:r>
    </w:p>
    <w:p w14:paraId="0A6E8607">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本年支出236.64万元，其中：基本支出236.64万元，占100.00%；项目支出0.00万元，占0.00%；上缴上级支出0.00万元，占0.00%；经营支出0.00万元，占0.00%；对附属单位补助支出0.00万元，占0.00%。</w:t>
      </w:r>
    </w:p>
    <w:p w14:paraId="4D186687">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四、财政拨款收入支出决算总体情况说明</w:t>
      </w:r>
    </w:p>
    <w:p w14:paraId="3C22146C">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2024年度财政拨款收入总计225.61万元，其中：年初财政拨款结转和结余3.49万元，本年财政拨款收入222.12万元。财政拨款支出总计225.61万元，其中：年末财政拨款结转和结余0.00万元，本年财政拨款支出225.61万元。</w:t>
      </w:r>
    </w:p>
    <w:p w14:paraId="027642BD">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财政拨款收入支出总体与上年相比，减少0.10万元，下降0.04%，主要原因是：</w:t>
      </w:r>
      <w:r>
        <w:rPr>
          <w:rFonts w:hint="eastAsia" w:ascii="仿宋_GB2312" w:eastAsia="仿宋_GB2312"/>
          <w:sz w:val="32"/>
          <w:szCs w:val="32"/>
          <w:lang w:eastAsia="zh-CN"/>
        </w:rPr>
        <w:t>单位</w:t>
      </w:r>
      <w:r>
        <w:rPr>
          <w:rFonts w:ascii="仿宋_GB2312" w:eastAsia="仿宋_GB2312"/>
          <w:sz w:val="32"/>
          <w:szCs w:val="32"/>
          <w:lang w:eastAsia="zh-CN"/>
        </w:rPr>
        <w:t>本年</w:t>
      </w:r>
      <w:r>
        <w:rPr>
          <w:rFonts w:hint="eastAsia" w:ascii="仿宋_GB2312" w:eastAsia="仿宋_GB2312"/>
          <w:sz w:val="32"/>
          <w:szCs w:val="32"/>
          <w:lang w:eastAsia="zh-CN"/>
        </w:rPr>
        <w:t>老干部活动费、组织部培训经费减少</w:t>
      </w:r>
      <w:r>
        <w:rPr>
          <w:rFonts w:ascii="仿宋_GB2312" w:eastAsia="仿宋_GB2312"/>
          <w:sz w:val="32"/>
          <w:szCs w:val="32"/>
          <w:lang w:eastAsia="zh-CN"/>
        </w:rPr>
        <w:t>。与年初预算相比，年初预算数221.58万元，决算数225.61万元，预决算差异率1.82%，主要原因是：</w:t>
      </w:r>
      <w:r>
        <w:rPr>
          <w:rFonts w:hint="eastAsia" w:ascii="仿宋_GB2312" w:eastAsia="仿宋_GB2312"/>
          <w:sz w:val="32"/>
          <w:szCs w:val="32"/>
          <w:lang w:eastAsia="zh-CN"/>
        </w:rPr>
        <w:t>年中追加人员工资、津贴补贴、奖金等经费</w:t>
      </w:r>
      <w:r>
        <w:rPr>
          <w:rFonts w:ascii="仿宋_GB2312" w:eastAsia="仿宋_GB2312"/>
          <w:sz w:val="32"/>
          <w:szCs w:val="32"/>
          <w:lang w:eastAsia="zh-CN"/>
        </w:rPr>
        <w:t>。</w:t>
      </w:r>
    </w:p>
    <w:p w14:paraId="0DEAF56D">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五、一般公共预算财政拨款支出决算情况说明</w:t>
      </w:r>
    </w:p>
    <w:p w14:paraId="09D602E3">
      <w:pPr>
        <w:spacing w:after="0" w:line="240" w:lineRule="auto"/>
        <w:ind w:firstLine="640" w:firstLineChars="200"/>
        <w:outlineLvl w:val="2"/>
        <w:rPr>
          <w:rFonts w:ascii="黑体" w:eastAsia="黑体"/>
          <w:sz w:val="32"/>
          <w:szCs w:val="32"/>
          <w:lang w:eastAsia="zh-CN"/>
        </w:rPr>
      </w:pPr>
      <w:r>
        <w:rPr>
          <w:rFonts w:ascii="黑体" w:eastAsia="黑体"/>
          <w:sz w:val="32"/>
          <w:szCs w:val="32"/>
          <w:lang w:eastAsia="zh-CN"/>
        </w:rPr>
        <w:t>（一）一般公共预算财政拨款支出决算总体情况</w:t>
      </w:r>
    </w:p>
    <w:p w14:paraId="72396FFD">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2024年度一般公共预算财政拨款支出225.61万元，占本年支出合计的95.34%。与上年相比，增加3.40万元，增长1.53%，主要原因是：</w:t>
      </w:r>
      <w:r>
        <w:rPr>
          <w:rFonts w:hint="eastAsia" w:ascii="仿宋_GB2312" w:eastAsia="仿宋_GB2312"/>
          <w:sz w:val="32"/>
          <w:szCs w:val="32"/>
          <w:lang w:eastAsia="zh-CN"/>
        </w:rPr>
        <w:t>单位本年在职人员工资调增，人员工资、津贴补贴、奖金等经费增加</w:t>
      </w:r>
      <w:r>
        <w:rPr>
          <w:rFonts w:ascii="仿宋_GB2312" w:eastAsia="仿宋_GB2312"/>
          <w:sz w:val="32"/>
          <w:szCs w:val="32"/>
          <w:lang w:eastAsia="zh-CN"/>
        </w:rPr>
        <w:t>。与年初预算相比，年初预算数221.58万元，决算数225.61万元，预决算差异率1.82%，主要原因是：</w:t>
      </w:r>
      <w:r>
        <w:rPr>
          <w:rFonts w:hint="eastAsia" w:ascii="仿宋_GB2312" w:eastAsia="仿宋_GB2312"/>
          <w:sz w:val="32"/>
          <w:szCs w:val="32"/>
          <w:lang w:eastAsia="zh-CN"/>
        </w:rPr>
        <w:t>年中追加人员工资、津贴补贴、奖金等经费</w:t>
      </w:r>
      <w:r>
        <w:rPr>
          <w:rFonts w:ascii="仿宋_GB2312" w:eastAsia="仿宋_GB2312"/>
          <w:sz w:val="32"/>
          <w:szCs w:val="32"/>
          <w:lang w:eastAsia="zh-CN"/>
        </w:rPr>
        <w:t>。</w:t>
      </w:r>
    </w:p>
    <w:p w14:paraId="208A3F96">
      <w:pPr>
        <w:spacing w:after="0" w:line="240" w:lineRule="auto"/>
        <w:ind w:firstLine="640" w:firstLineChars="200"/>
        <w:outlineLvl w:val="2"/>
        <w:rPr>
          <w:rFonts w:ascii="黑体" w:eastAsia="黑体"/>
          <w:sz w:val="32"/>
          <w:szCs w:val="32"/>
          <w:lang w:eastAsia="zh-CN"/>
        </w:rPr>
      </w:pPr>
      <w:r>
        <w:rPr>
          <w:rFonts w:ascii="黑体" w:eastAsia="黑体"/>
          <w:sz w:val="32"/>
          <w:szCs w:val="32"/>
          <w:lang w:eastAsia="zh-CN"/>
        </w:rPr>
        <w:t>（二）一般公共预算财政拨款支出决算结构情况</w:t>
      </w:r>
    </w:p>
    <w:p w14:paraId="72B62EF0">
      <w:pPr>
        <w:spacing w:after="0" w:line="240" w:lineRule="auto"/>
        <w:ind w:firstLine="640" w:firstLineChars="200"/>
        <w:jc w:val="both"/>
        <w:rPr>
          <w:rFonts w:ascii="仿宋_GB2312" w:eastAsia="仿宋_GB2312"/>
          <w:sz w:val="32"/>
          <w:szCs w:val="32"/>
          <w:lang w:eastAsia="zh-CN"/>
        </w:rPr>
      </w:pPr>
      <w:r>
        <w:rPr>
          <w:rFonts w:hint="eastAsia" w:ascii="仿宋_GB2312" w:eastAsia="仿宋_GB2312"/>
          <w:sz w:val="32"/>
          <w:szCs w:val="32"/>
          <w:lang w:eastAsia="zh-CN"/>
        </w:rPr>
        <w:t>1</w:t>
      </w:r>
      <w:r>
        <w:rPr>
          <w:rFonts w:ascii="仿宋_GB2312" w:eastAsia="仿宋_GB2312"/>
          <w:sz w:val="32"/>
          <w:szCs w:val="32"/>
          <w:lang w:eastAsia="zh-CN"/>
        </w:rPr>
        <w:t>.教育支出（类）187.81万元，占83.25%。</w:t>
      </w:r>
    </w:p>
    <w:p w14:paraId="52339809">
      <w:pPr>
        <w:spacing w:after="0" w:line="240" w:lineRule="auto"/>
        <w:ind w:firstLine="640" w:firstLineChars="200"/>
        <w:jc w:val="both"/>
        <w:rPr>
          <w:rFonts w:ascii="仿宋_GB2312" w:eastAsia="仿宋_GB2312"/>
          <w:sz w:val="32"/>
          <w:szCs w:val="32"/>
          <w:lang w:eastAsia="zh-CN"/>
        </w:rPr>
      </w:pPr>
      <w:r>
        <w:rPr>
          <w:rFonts w:hint="eastAsia" w:ascii="仿宋_GB2312" w:eastAsia="仿宋_GB2312"/>
          <w:sz w:val="32"/>
          <w:szCs w:val="32"/>
          <w:lang w:eastAsia="zh-CN"/>
        </w:rPr>
        <w:t>2</w:t>
      </w:r>
      <w:r>
        <w:rPr>
          <w:rFonts w:ascii="仿宋_GB2312" w:eastAsia="仿宋_GB2312"/>
          <w:sz w:val="32"/>
          <w:szCs w:val="32"/>
          <w:lang w:eastAsia="zh-CN"/>
        </w:rPr>
        <w:t>.社会保障和就业支出（类）37.80万元，占16.75%。</w:t>
      </w:r>
    </w:p>
    <w:p w14:paraId="205C6C03">
      <w:pPr>
        <w:spacing w:after="0" w:line="240" w:lineRule="auto"/>
        <w:ind w:firstLine="640" w:firstLineChars="200"/>
        <w:outlineLvl w:val="2"/>
        <w:rPr>
          <w:rFonts w:ascii="黑体" w:eastAsia="黑体"/>
          <w:sz w:val="32"/>
          <w:szCs w:val="32"/>
          <w:lang w:eastAsia="zh-CN"/>
        </w:rPr>
      </w:pPr>
      <w:r>
        <w:rPr>
          <w:rFonts w:ascii="黑体" w:eastAsia="黑体"/>
          <w:sz w:val="32"/>
          <w:szCs w:val="32"/>
          <w:lang w:eastAsia="zh-CN"/>
        </w:rPr>
        <w:t>（三）一般公共预算财政拨款支出决算具体情况</w:t>
      </w:r>
    </w:p>
    <w:p w14:paraId="14A8614B">
      <w:pPr>
        <w:spacing w:after="0" w:line="240" w:lineRule="auto"/>
        <w:ind w:firstLine="640" w:firstLineChars="200"/>
        <w:rPr>
          <w:rFonts w:ascii="仿宋_GB2312" w:eastAsia="仿宋_GB2312"/>
          <w:sz w:val="32"/>
          <w:szCs w:val="32"/>
          <w:lang w:eastAsia="zh-CN"/>
        </w:rPr>
      </w:pPr>
      <w:r>
        <w:rPr>
          <w:rFonts w:ascii="仿宋_GB2312" w:eastAsia="仿宋_GB2312"/>
          <w:sz w:val="32"/>
          <w:szCs w:val="32"/>
          <w:lang w:eastAsia="zh-CN"/>
        </w:rPr>
        <w:t>1、教育支出（类）进修及培训（款）干部教育（项）：支出决算数为187.81万元，比上年决算减少13.58万元，下降6.74%，主要原因是：</w:t>
      </w:r>
      <w:r>
        <w:rPr>
          <w:rFonts w:hint="eastAsia" w:ascii="仿宋_GB2312" w:eastAsia="仿宋_GB2312"/>
          <w:sz w:val="32"/>
          <w:szCs w:val="32"/>
          <w:lang w:eastAsia="zh-CN"/>
        </w:rPr>
        <w:t>单位本年老干部活动费、组织部培训经费减少</w:t>
      </w:r>
      <w:r>
        <w:rPr>
          <w:rFonts w:ascii="仿宋_GB2312" w:eastAsia="仿宋_GB2312"/>
          <w:sz w:val="32"/>
          <w:szCs w:val="32"/>
          <w:lang w:eastAsia="zh-CN"/>
        </w:rPr>
        <w:t>。</w:t>
      </w:r>
    </w:p>
    <w:p w14:paraId="1AA9488C">
      <w:pPr>
        <w:spacing w:after="0" w:line="240" w:lineRule="auto"/>
        <w:ind w:firstLine="640" w:firstLineChars="200"/>
        <w:rPr>
          <w:rFonts w:ascii="仿宋_GB2312" w:eastAsia="仿宋_GB2312"/>
          <w:sz w:val="32"/>
          <w:szCs w:val="32"/>
          <w:lang w:eastAsia="zh-CN"/>
        </w:rPr>
      </w:pPr>
      <w:r>
        <w:rPr>
          <w:rFonts w:ascii="仿宋_GB2312" w:eastAsia="仿宋_GB2312"/>
          <w:sz w:val="32"/>
          <w:szCs w:val="32"/>
          <w:lang w:eastAsia="zh-CN"/>
        </w:rPr>
        <w:t>2、社会保障和就业支出（类）行政事业单位养老支出（款）机关事业单位基本养老保险缴费支出（项）：支出决算数为29.46万元，比上年决算增加14.61万元，增长98.38%，主要原因是：</w:t>
      </w:r>
      <w:r>
        <w:rPr>
          <w:rFonts w:hint="eastAsia" w:ascii="仿宋_GB2312" w:eastAsia="仿宋_GB2312"/>
          <w:sz w:val="32"/>
          <w:szCs w:val="32"/>
          <w:lang w:eastAsia="zh-CN"/>
        </w:rPr>
        <w:t>单位本年社保基数调增，人员养老保险缴费增加</w:t>
      </w:r>
      <w:r>
        <w:rPr>
          <w:rFonts w:ascii="仿宋_GB2312" w:eastAsia="仿宋_GB2312"/>
          <w:sz w:val="32"/>
          <w:szCs w:val="32"/>
          <w:lang w:eastAsia="zh-CN"/>
        </w:rPr>
        <w:t>。</w:t>
      </w:r>
    </w:p>
    <w:p w14:paraId="6B50F594">
      <w:pPr>
        <w:spacing w:after="0" w:line="240" w:lineRule="auto"/>
        <w:ind w:firstLine="640" w:firstLineChars="200"/>
        <w:rPr>
          <w:rFonts w:ascii="仿宋_GB2312" w:eastAsia="仿宋_GB2312"/>
          <w:sz w:val="32"/>
          <w:szCs w:val="32"/>
          <w:lang w:eastAsia="zh-CN"/>
        </w:rPr>
      </w:pPr>
      <w:r>
        <w:rPr>
          <w:rFonts w:ascii="仿宋_GB2312" w:eastAsia="仿宋_GB2312"/>
          <w:sz w:val="32"/>
          <w:szCs w:val="32"/>
          <w:lang w:eastAsia="zh-CN"/>
        </w:rPr>
        <w:t>3、社会保障和就业支出（类）行政事业单位养老支出（款）机关事业单位职业年金缴费支出（项）：支出决算数为8.34万元，比上年决算增加2.36万元，增长39.46%，主要原因是：</w:t>
      </w:r>
      <w:r>
        <w:rPr>
          <w:rFonts w:hint="eastAsia" w:ascii="仿宋_GB2312" w:eastAsia="仿宋_GB2312"/>
          <w:sz w:val="32"/>
          <w:szCs w:val="32"/>
          <w:lang w:eastAsia="zh-CN"/>
        </w:rPr>
        <w:t>单位本年人员一次性职业年金缴费增加</w:t>
      </w:r>
      <w:r>
        <w:rPr>
          <w:rFonts w:ascii="仿宋_GB2312" w:eastAsia="仿宋_GB2312"/>
          <w:sz w:val="32"/>
          <w:szCs w:val="32"/>
          <w:lang w:eastAsia="zh-CN"/>
        </w:rPr>
        <w:t>。</w:t>
      </w:r>
    </w:p>
    <w:p w14:paraId="1BEA1CFD">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六、一般公共预算财政拨款基本支出决算情况说明</w:t>
      </w:r>
    </w:p>
    <w:p w14:paraId="7F66D0E0">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一般公共预算财政拨款基本支出225.61万元，其中：人员经费218.46万元，包括：基本工资、津贴补贴、奖金、绩效工资、机关事业单位基本养老保险缴费、职业年金缴费、职工基本医疗保险缴费、公务员医疗补助缴费、其他社会保障缴费、住房公积金和其他工资福利支出。</w:t>
      </w:r>
    </w:p>
    <w:p w14:paraId="26681FB5">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公用经费7.15万元，包括：</w:t>
      </w:r>
      <w:bookmarkStart w:id="1" w:name="_Hlk210990612"/>
      <w:r>
        <w:rPr>
          <w:rFonts w:ascii="仿宋_GB2312" w:eastAsia="仿宋_GB2312"/>
          <w:sz w:val="32"/>
          <w:szCs w:val="32"/>
          <w:lang w:eastAsia="zh-CN"/>
        </w:rPr>
        <w:t>办公费、手续费、邮电费、工会经费、福利费、公务用车运行维护费</w:t>
      </w:r>
      <w:bookmarkEnd w:id="1"/>
      <w:r>
        <w:rPr>
          <w:rFonts w:ascii="仿宋_GB2312" w:eastAsia="仿宋_GB2312"/>
          <w:sz w:val="32"/>
          <w:szCs w:val="32"/>
          <w:lang w:eastAsia="zh-CN"/>
        </w:rPr>
        <w:t>和其他商品和服务支出。</w:t>
      </w:r>
    </w:p>
    <w:p w14:paraId="03951FD3">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七、政府性基金预算财政拨款收入支出决算情况说明</w:t>
      </w:r>
    </w:p>
    <w:p w14:paraId="0AF2968E">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本单位本年度无政府性基金预算财政拨款收入、支出及结转和结余，政府性基金预算财政拨款收入支出决算表为空表。</w:t>
      </w:r>
    </w:p>
    <w:p w14:paraId="17868235">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八、国有资本经营预算财政拨款收入支出决算情况说明</w:t>
      </w:r>
    </w:p>
    <w:p w14:paraId="1E3DDCB5">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本单位本年度无国有资本经营预算财政拨款收入、支出及结转和结余，国有资本经营预算财政拨款收入支出决算表为空表。</w:t>
      </w:r>
    </w:p>
    <w:p w14:paraId="4648E119">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九、财政拨款“三公”经费支出决算情况说明</w:t>
      </w:r>
    </w:p>
    <w:p w14:paraId="74F051A6">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2024年度财政拨款“三公”经费支出1.86万元，比上年增加0.03万元，增长1.64%，主要原因是：</w:t>
      </w:r>
      <w:r>
        <w:rPr>
          <w:rFonts w:hint="eastAsia" w:ascii="仿宋_GB2312" w:eastAsia="仿宋_GB2312"/>
          <w:sz w:val="32"/>
          <w:szCs w:val="32"/>
          <w:lang w:eastAsia="zh-CN"/>
        </w:rPr>
        <w:t>单位本年车辆出行次数增加，车辆燃油费、维修费增加</w:t>
      </w:r>
      <w:r>
        <w:rPr>
          <w:rFonts w:ascii="仿宋_GB2312" w:eastAsia="仿宋_GB2312"/>
          <w:sz w:val="32"/>
          <w:szCs w:val="32"/>
          <w:lang w:eastAsia="zh-CN"/>
        </w:rPr>
        <w:t>。其中：因公出国（境）费支出0.00万元,占0.00%，与上年相比无变化，主要原因是：</w:t>
      </w:r>
      <w:r>
        <w:rPr>
          <w:rFonts w:hint="eastAsia" w:ascii="仿宋_GB2312" w:eastAsia="仿宋_GB2312"/>
          <w:sz w:val="32"/>
          <w:szCs w:val="32"/>
          <w:lang w:eastAsia="zh-CN"/>
        </w:rPr>
        <w:t>我单位上年度与本年度均无此项经费</w:t>
      </w:r>
      <w:r>
        <w:rPr>
          <w:rFonts w:ascii="仿宋_GB2312" w:eastAsia="仿宋_GB2312"/>
          <w:sz w:val="32"/>
          <w:szCs w:val="32"/>
          <w:lang w:eastAsia="zh-CN"/>
        </w:rPr>
        <w:t>；公务用车购置及运行维护费支出1.86万元，占100.00%，比上年增加0.03万元，增长1.64%，主要原因是：</w:t>
      </w:r>
      <w:r>
        <w:rPr>
          <w:rFonts w:hint="eastAsia" w:ascii="仿宋_GB2312" w:eastAsia="仿宋_GB2312"/>
          <w:sz w:val="32"/>
          <w:szCs w:val="32"/>
          <w:lang w:eastAsia="zh-CN"/>
        </w:rPr>
        <w:t>单位本年车辆出行次数增加，车辆燃油费、维修费增加</w:t>
      </w:r>
      <w:r>
        <w:rPr>
          <w:rFonts w:ascii="仿宋_GB2312" w:eastAsia="仿宋_GB2312"/>
          <w:sz w:val="32"/>
          <w:szCs w:val="32"/>
          <w:lang w:eastAsia="zh-CN"/>
        </w:rPr>
        <w:t>；公务接待费支出0.00万元，占0.00%，与上年相比无变化，主要原因是：</w:t>
      </w:r>
      <w:r>
        <w:rPr>
          <w:rFonts w:hint="eastAsia" w:ascii="仿宋_GB2312" w:eastAsia="仿宋_GB2312"/>
          <w:sz w:val="32"/>
          <w:szCs w:val="32"/>
          <w:lang w:eastAsia="zh-CN"/>
        </w:rPr>
        <w:t>我单位上年度与本年度均无此项经费</w:t>
      </w:r>
      <w:r>
        <w:rPr>
          <w:rFonts w:ascii="仿宋_GB2312" w:eastAsia="仿宋_GB2312"/>
          <w:sz w:val="32"/>
          <w:szCs w:val="32"/>
          <w:lang w:eastAsia="zh-CN"/>
        </w:rPr>
        <w:t>。</w:t>
      </w:r>
    </w:p>
    <w:p w14:paraId="427937C7">
      <w:pPr>
        <w:spacing w:after="0" w:line="240" w:lineRule="auto"/>
        <w:ind w:firstLine="640" w:firstLineChars="200"/>
        <w:rPr>
          <w:rFonts w:ascii="仿宋_GB2312" w:eastAsia="仿宋_GB2312"/>
          <w:sz w:val="32"/>
          <w:szCs w:val="32"/>
          <w:lang w:eastAsia="zh-CN"/>
        </w:rPr>
      </w:pPr>
      <w:r>
        <w:rPr>
          <w:rFonts w:ascii="仿宋_GB2312" w:eastAsia="仿宋_GB2312"/>
          <w:sz w:val="32"/>
          <w:szCs w:val="32"/>
          <w:lang w:eastAsia="zh-CN"/>
        </w:rPr>
        <w:t>具体情况如下：</w:t>
      </w:r>
    </w:p>
    <w:p w14:paraId="3F5DAB7A">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因公出国（境）费支出0.00万元，开支内容包括</w:t>
      </w:r>
      <w:r>
        <w:rPr>
          <w:rFonts w:hint="eastAsia" w:ascii="仿宋_GB2312" w:eastAsia="仿宋_GB2312"/>
          <w:sz w:val="32"/>
          <w:szCs w:val="32"/>
          <w:lang w:eastAsia="zh-CN"/>
        </w:rPr>
        <w:t>本单位本年无因公出国（境）费支出</w:t>
      </w:r>
      <w:r>
        <w:rPr>
          <w:rFonts w:ascii="仿宋_GB2312" w:eastAsia="仿宋_GB2312"/>
          <w:sz w:val="32"/>
          <w:szCs w:val="32"/>
          <w:lang w:eastAsia="zh-CN"/>
        </w:rPr>
        <w:t>。单位全年安排的因公出国（境）团组0个，因公出国（境）0人次。</w:t>
      </w:r>
    </w:p>
    <w:p w14:paraId="07884D87">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公务用车购置及运行维护费1.86万元，其中：公务用车购置费0.00万元，公务用车运行维护费1.86万元。公务用车运行维护费开支内容包括</w:t>
      </w:r>
      <w:r>
        <w:rPr>
          <w:rFonts w:hint="eastAsia" w:ascii="仿宋_GB2312" w:eastAsia="仿宋_GB2312"/>
          <w:sz w:val="32"/>
          <w:szCs w:val="32"/>
          <w:lang w:eastAsia="zh-CN"/>
        </w:rPr>
        <w:t>公务用车维修维护费、燃油费、保险费、过路费等</w:t>
      </w:r>
      <w:r>
        <w:rPr>
          <w:rFonts w:ascii="仿宋_GB2312" w:eastAsia="仿宋_GB2312"/>
          <w:sz w:val="32"/>
          <w:szCs w:val="32"/>
          <w:lang w:eastAsia="zh-CN"/>
        </w:rPr>
        <w:t>。公务用车购置数0辆，公务用车保有量2辆。国有资产占用情况中固定资产车辆2辆，与公务用车保有量差异原因是：</w:t>
      </w:r>
      <w:r>
        <w:rPr>
          <w:rFonts w:hint="eastAsia" w:ascii="仿宋_GB2312" w:eastAsia="仿宋_GB2312"/>
          <w:sz w:val="32"/>
          <w:szCs w:val="32"/>
          <w:lang w:eastAsia="zh-CN"/>
        </w:rPr>
        <w:t>本单位固定资产车辆与公务用车保有量一致无差异</w:t>
      </w:r>
      <w:r>
        <w:rPr>
          <w:rFonts w:ascii="仿宋_GB2312" w:eastAsia="仿宋_GB2312"/>
          <w:sz w:val="32"/>
          <w:szCs w:val="32"/>
          <w:lang w:eastAsia="zh-CN"/>
        </w:rPr>
        <w:t>。</w:t>
      </w:r>
    </w:p>
    <w:p w14:paraId="1312DE3B">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公务接待费0.00万元，开支内容包括</w:t>
      </w:r>
      <w:r>
        <w:rPr>
          <w:rFonts w:hint="eastAsia" w:ascii="仿宋_GB2312" w:eastAsia="仿宋_GB2312"/>
          <w:sz w:val="32"/>
          <w:szCs w:val="32"/>
          <w:lang w:eastAsia="zh-CN"/>
        </w:rPr>
        <w:t>本单位本年无公务接待费支出</w:t>
      </w:r>
      <w:r>
        <w:rPr>
          <w:rFonts w:ascii="仿宋_GB2312" w:eastAsia="仿宋_GB2312"/>
          <w:sz w:val="32"/>
          <w:szCs w:val="32"/>
          <w:lang w:eastAsia="zh-CN"/>
        </w:rPr>
        <w:t>。单位全年安排的国内公务接待0批次，0人次。</w:t>
      </w:r>
    </w:p>
    <w:p w14:paraId="55E43B06">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与全年预算相比，财政拨款“三公”经费支出全年预算数1.86万元，决算数1.86万元，预决算差异率0.00%，主要原因是：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。其中：因公出国（境）费全年预算数0.00万元，决算数0.00万元，预决算差异率0.00%，主要原因是：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；公务用车购置费全年预算数0.00万元，决算数0.00万元，预决算差异率0.00%，主要原因是：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；公务用车运行维护费全年预算数1.86万元，决算数1.86万元，预决算差异率0.00%，主要原因是：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；公务接待费全年预算数0.00万元，决算数0.00万元，预决算差异率0.00%，主要原因是：</w:t>
      </w:r>
      <w:r>
        <w:rPr>
          <w:rFonts w:hint="eastAsia" w:ascii="仿宋_GB2312" w:eastAsia="仿宋_GB2312"/>
          <w:sz w:val="32"/>
          <w:szCs w:val="32"/>
          <w:lang w:eastAsia="zh-CN"/>
        </w:rPr>
        <w:t>严格按照预算执行，预决算对比无差异</w:t>
      </w:r>
      <w:r>
        <w:rPr>
          <w:rFonts w:ascii="仿宋_GB2312" w:eastAsia="仿宋_GB2312"/>
          <w:sz w:val="32"/>
          <w:szCs w:val="32"/>
          <w:lang w:eastAsia="zh-CN"/>
        </w:rPr>
        <w:t>。</w:t>
      </w:r>
    </w:p>
    <w:p w14:paraId="2FB93ADC">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十、其他重要事项的情况说明</w:t>
      </w:r>
    </w:p>
    <w:p w14:paraId="7013D00D">
      <w:pPr>
        <w:spacing w:after="0" w:line="240" w:lineRule="auto"/>
        <w:ind w:firstLine="640" w:firstLineChars="200"/>
        <w:outlineLvl w:val="2"/>
        <w:rPr>
          <w:rFonts w:ascii="黑体" w:eastAsia="黑体"/>
          <w:sz w:val="32"/>
          <w:szCs w:val="32"/>
          <w:lang w:eastAsia="zh-CN"/>
        </w:rPr>
      </w:pPr>
      <w:r>
        <w:rPr>
          <w:rFonts w:ascii="黑体" w:eastAsia="黑体"/>
          <w:sz w:val="32"/>
          <w:szCs w:val="32"/>
          <w:lang w:eastAsia="zh-CN"/>
        </w:rPr>
        <w:t>（一）机关运行经费及公用经费支出情况</w:t>
      </w:r>
    </w:p>
    <w:p w14:paraId="43218386">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2024年度中共乌鲁木齐市米东区委员会党校单位（事业单位）公用经费支出7.15万元，比上年增加7.15万元，增长100%，主要原因是：单位本年</w:t>
      </w:r>
      <w:r>
        <w:rPr>
          <w:rFonts w:hint="eastAsia" w:ascii="仿宋_GB2312" w:eastAsia="仿宋_GB2312"/>
          <w:sz w:val="32"/>
          <w:szCs w:val="32"/>
          <w:lang w:eastAsia="zh-CN"/>
        </w:rPr>
        <w:t>手续费、邮电费、</w:t>
      </w:r>
      <w:r>
        <w:rPr>
          <w:rFonts w:ascii="仿宋_GB2312" w:eastAsia="仿宋_GB2312"/>
          <w:sz w:val="32"/>
          <w:szCs w:val="32"/>
          <w:lang w:eastAsia="zh-CN"/>
        </w:rPr>
        <w:t>公务用车运行维护费增加。</w:t>
      </w:r>
    </w:p>
    <w:p w14:paraId="77BF8ECF">
      <w:pPr>
        <w:spacing w:after="0" w:line="240" w:lineRule="auto"/>
        <w:ind w:firstLine="640" w:firstLineChars="200"/>
        <w:outlineLvl w:val="2"/>
        <w:rPr>
          <w:rFonts w:ascii="黑体" w:eastAsia="黑体"/>
          <w:sz w:val="32"/>
          <w:szCs w:val="32"/>
          <w:lang w:eastAsia="zh-CN"/>
        </w:rPr>
      </w:pPr>
      <w:r>
        <w:rPr>
          <w:rFonts w:ascii="黑体" w:eastAsia="黑体"/>
          <w:sz w:val="32"/>
          <w:szCs w:val="32"/>
          <w:lang w:eastAsia="zh-CN"/>
        </w:rPr>
        <w:t>（二）政府采购情况</w:t>
      </w:r>
    </w:p>
    <w:p w14:paraId="0AD680F5">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2024年度政府采购支出总额0.44万元，其中：政府采购货物支出0.14万元、政府采购工程支出0.00万元、政府采购服务支出0.30万元。</w:t>
      </w:r>
    </w:p>
    <w:p w14:paraId="621DDDE4">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授予中小企业合同金额0.00万元，占政府采购支出总额的0.00%，其中：授予小微企业合同金额0.00万元，占政府采购支出总额的0.00%。</w:t>
      </w:r>
    </w:p>
    <w:p w14:paraId="2ED65815">
      <w:pPr>
        <w:spacing w:after="0" w:line="240" w:lineRule="auto"/>
        <w:ind w:firstLine="640" w:firstLineChars="200"/>
        <w:outlineLvl w:val="2"/>
        <w:rPr>
          <w:rFonts w:ascii="黑体" w:eastAsia="黑体"/>
          <w:sz w:val="32"/>
          <w:szCs w:val="32"/>
          <w:lang w:eastAsia="zh-CN"/>
        </w:rPr>
      </w:pPr>
      <w:r>
        <w:rPr>
          <w:rFonts w:ascii="黑体" w:eastAsia="黑体"/>
          <w:sz w:val="32"/>
          <w:szCs w:val="32"/>
          <w:lang w:eastAsia="zh-CN"/>
        </w:rPr>
        <w:t>（三）国有资产占用情况说明</w:t>
      </w:r>
    </w:p>
    <w:p w14:paraId="6FFDF8D0">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rPr>
        <w:t>截至2024年12月31日，房屋3,014.00平方米，价值343.73万元。</w:t>
      </w:r>
      <w:r>
        <w:rPr>
          <w:rFonts w:ascii="仿宋_GB2312" w:eastAsia="仿宋_GB2312"/>
          <w:sz w:val="32"/>
          <w:szCs w:val="32"/>
          <w:lang w:eastAsia="zh-CN"/>
        </w:rPr>
        <w:t>车辆2辆，价值28.26万元，其中：副部（省）级及以上领导用车0辆、主要负责人用车0辆、机要通信用车0辆、应急保障用车0辆、执法执勤用车0辆、特种专业技术用车0辆、离退休干部服务用车0辆、其他用车2辆，其他用车主要是：业务用车;单价100万元（含）以上设备（不含车辆）0台（套）。</w:t>
      </w:r>
    </w:p>
    <w:p w14:paraId="7D3F45EF">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十一、预算绩效的情况说明</w:t>
      </w:r>
    </w:p>
    <w:p w14:paraId="7F6AE41F">
      <w:pPr>
        <w:spacing w:after="0" w:line="240" w:lineRule="auto"/>
        <w:ind w:firstLine="640" w:firstLineChars="200"/>
        <w:jc w:val="both"/>
        <w:rPr>
          <w:rFonts w:ascii="仿宋_GB2312" w:eastAsia="仿宋_GB2312"/>
          <w:sz w:val="32"/>
          <w:szCs w:val="32"/>
          <w:lang w:eastAsia="zh-CN"/>
        </w:rPr>
      </w:pPr>
      <w:r>
        <w:rPr>
          <w:rFonts w:ascii="仿宋_GB2312" w:eastAsia="仿宋_GB2312"/>
          <w:sz w:val="32"/>
          <w:szCs w:val="32"/>
          <w:lang w:eastAsia="zh-CN"/>
        </w:rPr>
        <w:t>根据预算绩效管理要求，本单位2024年度预算绩效管理形成整体支出绩效自评表1个，全年预算总额289.69万元，实际执行总额236.63万元；预算绩效评价项目0个，全年预算数0.00万元，全年执行数0.00万元。预算绩效管理取得的成效：一是通过对项目设立的背景、意义、项目内容、项目现状及绩效目标、资金投入、资金管理、组织实施、数量指标、质量指标、时效指标、成本指标和效益指标等进行深入调</w:t>
      </w:r>
      <w:bookmarkStart w:id="2" w:name="_GoBack"/>
      <w:bookmarkEnd w:id="2"/>
      <w:r>
        <w:rPr>
          <w:rFonts w:ascii="仿宋_GB2312" w:eastAsia="仿宋_GB2312"/>
          <w:sz w:val="32"/>
          <w:szCs w:val="32"/>
          <w:lang w:eastAsia="zh-CN"/>
        </w:rPr>
        <w:t>研和分析，进一步了解项目实施情况，并考察项目实施过程和效果；二是通过评价，客观公正反映项目立项科学性、项目管理规范性、项目实施有效性和项目效果，总结项目实施的经验，发现项目实施过程中存在的问题，提出合理化建议，为完善项目管理和相关部门决策提供参考依据，并提高财政资金使用效益。发现的问题及原因：一是内部沟通协作机制不畅。部门间信息传递不及时、不准确，跨部门项目推进困难，存在工作推诿现象，严重影响工作效率与整体协同效果；二是项目执行进度把控不力。资源调配不合理，</w:t>
      </w:r>
      <w:r>
        <w:rPr>
          <w:rFonts w:hint="eastAsia" w:ascii="仿宋_GB2312" w:eastAsia="仿宋_GB2312"/>
          <w:sz w:val="32"/>
          <w:szCs w:val="32"/>
          <w:lang w:eastAsia="zh-CN"/>
        </w:rPr>
        <w:t>项目执行过程中</w:t>
      </w:r>
      <w:r>
        <w:rPr>
          <w:rFonts w:ascii="仿宋_GB2312" w:eastAsia="仿宋_GB2312"/>
          <w:sz w:val="32"/>
          <w:szCs w:val="32"/>
          <w:lang w:eastAsia="zh-CN"/>
        </w:rPr>
        <w:t>频繁出现资源调配不合理问题。资源涵盖人力、物力、财力等多个方面。以人力为例，可能存在某些岗位人员冗余，而关键环节却人手不足的情况；在物力方面，用品采购可能出现提前过多或滞后，导致用品闲置浪费或影响施工进度；财力上，资金分配不合理，前期投入过多，后期资金短缺，影响项目连续性。这些不合理的资源调配，使得项目在推进过程中效率低下，资源未能得到有效利用；三是绩效评价结果应用不充分。主要问题：绩效评价结果仅作为形式上的报告内容，未真正与部门资源分配、人员奖惩、工作改进等实际工作挂钩，无法有效发挥绩效评价的激励与导向作用。下一步改进措施：一是强化绩效评价指标体系的科学性与动态性。紧密结合行业特性和部门职能开展深度调研。不同行业有着独特的业务模式、发展规律和价值创造方式，部门职能也各有侧重；二是提高部门整体支出绩效目标设定的合理性。部门设定的绩效目标要与部门的职能有相关性，这样便于后续的评价部门的履职情况，在运用预算资金时，部门工作人员也能时刻以职能为指引，避免资金使用偏离。具体附部门整体支出绩效自评表。</w:t>
      </w:r>
    </w:p>
    <w:p w14:paraId="3DFAA1AD">
      <w:pPr>
        <w:rPr>
          <w:rFonts w:hint="eastAsia" w:ascii="宋体" w:hAnsi="宋体" w:eastAsia="宋体" w:cs="宋体"/>
          <w:b/>
          <w:bCs/>
          <w:sz w:val="28"/>
          <w:szCs w:val="28"/>
          <w:lang w:eastAsia="zh-CN"/>
        </w:rPr>
      </w:pPr>
      <w:r>
        <w:rPr>
          <w:rFonts w:hint="eastAsia" w:ascii="宋体" w:hAnsi="宋体" w:eastAsia="宋体" w:cs="宋体"/>
          <w:b/>
          <w:bCs/>
          <w:sz w:val="28"/>
          <w:szCs w:val="28"/>
          <w:lang w:eastAsia="zh-CN"/>
        </w:rPr>
        <w:br w:type="page"/>
      </w:r>
    </w:p>
    <w:p w14:paraId="42BE74AB">
      <w:pPr>
        <w:jc w:val="center"/>
        <w:rPr>
          <w:rFonts w:hint="eastAsia" w:ascii="宋体" w:hAnsi="宋体" w:eastAsia="宋体" w:cs="宋体"/>
          <w:b/>
          <w:bCs/>
          <w:sz w:val="28"/>
          <w:szCs w:val="28"/>
          <w:lang w:eastAsia="zh-CN"/>
        </w:rPr>
      </w:pPr>
      <w:r>
        <w:rPr>
          <w:rFonts w:hint="eastAsia" w:ascii="宋体" w:hAnsi="宋体" w:eastAsia="宋体" w:cs="宋体"/>
          <w:b/>
          <w:bCs/>
          <w:sz w:val="28"/>
          <w:szCs w:val="28"/>
          <w:lang w:eastAsia="zh-CN"/>
        </w:rPr>
        <w:t>部门（单位）整体支出绩效目标自评表</w:t>
      </w:r>
    </w:p>
    <w:p w14:paraId="1F8EA442">
      <w:pPr>
        <w:jc w:val="center"/>
        <w:rPr>
          <w:rFonts w:hint="eastAsia" w:ascii="宋体" w:hAnsi="宋体" w:eastAsia="宋体" w:cs="宋体"/>
          <w:b/>
          <w:bCs/>
          <w:sz w:val="18"/>
          <w:szCs w:val="18"/>
        </w:rPr>
      </w:pPr>
      <w:r>
        <w:rPr>
          <w:rFonts w:hint="eastAsia" w:ascii="宋体" w:hAnsi="宋体" w:eastAsia="宋体" w:cs="宋体"/>
          <w:b/>
          <w:bCs/>
          <w:sz w:val="18"/>
          <w:szCs w:val="18"/>
        </w:rPr>
        <w:t>（2024年度）</w:t>
      </w:r>
    </w:p>
    <w:tbl>
      <w:tblPr>
        <w:tblStyle w:val="12"/>
        <w:tblW w:w="9651" w:type="dxa"/>
        <w:tblInd w:w="-601" w:type="dxa"/>
        <w:tblLayout w:type="fixed"/>
        <w:tblCellMar>
          <w:top w:w="0" w:type="dxa"/>
          <w:left w:w="108" w:type="dxa"/>
          <w:bottom w:w="0" w:type="dxa"/>
          <w:right w:w="108" w:type="dxa"/>
        </w:tblCellMar>
      </w:tblPr>
      <w:tblGrid>
        <w:gridCol w:w="993"/>
        <w:gridCol w:w="1417"/>
        <w:gridCol w:w="1418"/>
        <w:gridCol w:w="1276"/>
        <w:gridCol w:w="1701"/>
        <w:gridCol w:w="1134"/>
        <w:gridCol w:w="992"/>
        <w:gridCol w:w="720"/>
      </w:tblGrid>
      <w:tr w14:paraId="2E2AD270">
        <w:tblPrEx>
          <w:tblCellMar>
            <w:top w:w="0" w:type="dxa"/>
            <w:left w:w="108" w:type="dxa"/>
            <w:bottom w:w="0" w:type="dxa"/>
            <w:right w:w="108" w:type="dxa"/>
          </w:tblCellMar>
        </w:tblPrEx>
        <w:trPr>
          <w:trHeight w:val="660" w:hRule="atLeast"/>
        </w:trPr>
        <w:tc>
          <w:tcPr>
            <w:tcW w:w="993" w:type="dxa"/>
            <w:tcBorders>
              <w:top w:val="single" w:color="auto" w:sz="4" w:space="0"/>
              <w:left w:val="single" w:color="auto" w:sz="4" w:space="0"/>
              <w:bottom w:val="single" w:color="auto" w:sz="4" w:space="0"/>
              <w:right w:val="single" w:color="auto" w:sz="4" w:space="0"/>
            </w:tcBorders>
            <w:noWrap/>
            <w:vAlign w:val="center"/>
          </w:tcPr>
          <w:p w14:paraId="3E402D2D">
            <w:pPr>
              <w:jc w:val="center"/>
              <w:rPr>
                <w:rFonts w:hint="eastAsia" w:ascii="宋体" w:hAnsi="宋体" w:eastAsia="宋体" w:cs="宋体"/>
                <w:b/>
                <w:bCs/>
                <w:sz w:val="18"/>
                <w:szCs w:val="18"/>
              </w:rPr>
            </w:pPr>
            <w:r>
              <w:rPr>
                <w:rFonts w:hint="eastAsia" w:ascii="宋体" w:hAnsi="宋体" w:eastAsia="宋体" w:cs="宋体"/>
                <w:b/>
                <w:bCs/>
                <w:sz w:val="18"/>
                <w:szCs w:val="18"/>
              </w:rPr>
              <w:t>部门（单位）名称</w:t>
            </w:r>
          </w:p>
        </w:tc>
        <w:tc>
          <w:tcPr>
            <w:tcW w:w="8658" w:type="dxa"/>
            <w:gridSpan w:val="7"/>
            <w:tcBorders>
              <w:top w:val="single" w:color="auto" w:sz="4" w:space="0"/>
              <w:left w:val="nil"/>
              <w:bottom w:val="single" w:color="auto" w:sz="4" w:space="0"/>
              <w:right w:val="single" w:color="auto" w:sz="4" w:space="0"/>
            </w:tcBorders>
            <w:noWrap/>
            <w:vAlign w:val="center"/>
          </w:tcPr>
          <w:p w14:paraId="3F11EFD7">
            <w:pPr>
              <w:jc w:val="center"/>
              <w:rPr>
                <w:rFonts w:hint="eastAsia" w:ascii="宋体" w:hAnsi="宋体" w:eastAsia="宋体" w:cs="宋体"/>
                <w:b/>
                <w:bCs/>
                <w:sz w:val="18"/>
                <w:szCs w:val="18"/>
                <w:lang w:eastAsia="zh-CN"/>
              </w:rPr>
            </w:pPr>
            <w:r>
              <w:rPr>
                <w:rFonts w:hint="eastAsia" w:ascii="宋体" w:hAnsi="宋体" w:eastAsia="宋体" w:cs="宋体"/>
                <w:b/>
                <w:bCs/>
                <w:sz w:val="18"/>
                <w:szCs w:val="18"/>
                <w:lang w:eastAsia="zh-CN"/>
              </w:rPr>
              <w:t>中共乌鲁木齐市米东区委员会党校</w:t>
            </w:r>
          </w:p>
        </w:tc>
      </w:tr>
      <w:tr w14:paraId="091FD59F">
        <w:tblPrEx>
          <w:tblCellMar>
            <w:top w:w="0" w:type="dxa"/>
            <w:left w:w="108" w:type="dxa"/>
            <w:bottom w:w="0" w:type="dxa"/>
            <w:right w:w="108" w:type="dxa"/>
          </w:tblCellMar>
        </w:tblPrEx>
        <w:trPr>
          <w:trHeight w:val="570" w:hRule="atLeast"/>
        </w:trPr>
        <w:tc>
          <w:tcPr>
            <w:tcW w:w="993" w:type="dxa"/>
            <w:vMerge w:val="restart"/>
            <w:tcBorders>
              <w:top w:val="single" w:color="auto" w:sz="4" w:space="0"/>
              <w:left w:val="single" w:color="auto" w:sz="4" w:space="0"/>
              <w:bottom w:val="single" w:color="auto" w:sz="4" w:space="0"/>
              <w:right w:val="single" w:color="auto" w:sz="4" w:space="0"/>
            </w:tcBorders>
            <w:vAlign w:val="center"/>
          </w:tcPr>
          <w:p w14:paraId="3BD7E988">
            <w:pPr>
              <w:jc w:val="center"/>
              <w:rPr>
                <w:rFonts w:hint="eastAsia" w:ascii="宋体" w:hAnsi="宋体" w:eastAsia="宋体" w:cs="宋体"/>
                <w:b/>
                <w:bCs/>
                <w:sz w:val="18"/>
                <w:szCs w:val="18"/>
              </w:rPr>
            </w:pPr>
            <w:r>
              <w:rPr>
                <w:rFonts w:hint="eastAsia" w:ascii="宋体" w:hAnsi="宋体" w:eastAsia="宋体" w:cs="宋体"/>
                <w:b/>
                <w:bCs/>
                <w:sz w:val="18"/>
                <w:szCs w:val="18"/>
              </w:rPr>
              <w:t>部门资金（万元）</w:t>
            </w:r>
          </w:p>
        </w:tc>
        <w:tc>
          <w:tcPr>
            <w:tcW w:w="1417" w:type="dxa"/>
            <w:tcBorders>
              <w:top w:val="nil"/>
              <w:left w:val="nil"/>
              <w:bottom w:val="single" w:color="auto" w:sz="4" w:space="0"/>
              <w:right w:val="single" w:color="auto" w:sz="4" w:space="0"/>
            </w:tcBorders>
            <w:vAlign w:val="center"/>
          </w:tcPr>
          <w:p w14:paraId="6526CDE3">
            <w:pPr>
              <w:jc w:val="center"/>
              <w:rPr>
                <w:rFonts w:hint="eastAsia" w:ascii="宋体" w:hAnsi="宋体" w:eastAsia="宋体" w:cs="宋体"/>
                <w:b/>
                <w:bCs/>
                <w:sz w:val="18"/>
                <w:szCs w:val="18"/>
              </w:rPr>
            </w:pPr>
            <w:r>
              <w:rPr>
                <w:rFonts w:hint="eastAsia" w:ascii="宋体" w:hAnsi="宋体" w:eastAsia="宋体" w:cs="宋体"/>
                <w:b/>
                <w:bCs/>
                <w:sz w:val="18"/>
                <w:szCs w:val="18"/>
              </w:rPr>
              <w:t>资金来源</w:t>
            </w:r>
          </w:p>
        </w:tc>
        <w:tc>
          <w:tcPr>
            <w:tcW w:w="1418" w:type="dxa"/>
            <w:tcBorders>
              <w:top w:val="nil"/>
              <w:left w:val="nil"/>
              <w:bottom w:val="single" w:color="auto" w:sz="4" w:space="0"/>
              <w:right w:val="single" w:color="auto" w:sz="4" w:space="0"/>
            </w:tcBorders>
            <w:vAlign w:val="center"/>
          </w:tcPr>
          <w:p w14:paraId="1CB5623F">
            <w:pPr>
              <w:jc w:val="center"/>
              <w:rPr>
                <w:rFonts w:hint="eastAsia" w:ascii="宋体" w:hAnsi="宋体" w:eastAsia="宋体" w:cs="宋体"/>
                <w:b/>
                <w:bCs/>
                <w:sz w:val="18"/>
                <w:szCs w:val="18"/>
              </w:rPr>
            </w:pPr>
            <w:r>
              <w:rPr>
                <w:rFonts w:hint="eastAsia" w:ascii="宋体" w:hAnsi="宋体" w:eastAsia="宋体" w:cs="宋体"/>
                <w:b/>
                <w:bCs/>
                <w:sz w:val="18"/>
                <w:szCs w:val="18"/>
              </w:rPr>
              <w:t>年初预算数</w:t>
            </w:r>
          </w:p>
        </w:tc>
        <w:tc>
          <w:tcPr>
            <w:tcW w:w="1276" w:type="dxa"/>
            <w:tcBorders>
              <w:top w:val="nil"/>
              <w:left w:val="nil"/>
              <w:bottom w:val="single" w:color="auto" w:sz="4" w:space="0"/>
              <w:right w:val="single" w:color="auto" w:sz="4" w:space="0"/>
            </w:tcBorders>
            <w:vAlign w:val="center"/>
          </w:tcPr>
          <w:p w14:paraId="7586CA20">
            <w:pPr>
              <w:jc w:val="center"/>
              <w:rPr>
                <w:rFonts w:hint="eastAsia" w:ascii="宋体" w:hAnsi="宋体" w:eastAsia="宋体" w:cs="宋体"/>
                <w:b/>
                <w:bCs/>
                <w:sz w:val="18"/>
                <w:szCs w:val="18"/>
              </w:rPr>
            </w:pPr>
            <w:r>
              <w:rPr>
                <w:rFonts w:hint="eastAsia" w:ascii="宋体" w:hAnsi="宋体" w:eastAsia="宋体" w:cs="宋体"/>
                <w:b/>
                <w:bCs/>
                <w:sz w:val="18"/>
                <w:szCs w:val="18"/>
              </w:rPr>
              <w:t>全年预算数</w:t>
            </w:r>
          </w:p>
        </w:tc>
        <w:tc>
          <w:tcPr>
            <w:tcW w:w="1701" w:type="dxa"/>
            <w:tcBorders>
              <w:top w:val="nil"/>
              <w:left w:val="nil"/>
              <w:bottom w:val="single" w:color="auto" w:sz="4" w:space="0"/>
              <w:right w:val="single" w:color="auto" w:sz="4" w:space="0"/>
            </w:tcBorders>
            <w:vAlign w:val="center"/>
          </w:tcPr>
          <w:p w14:paraId="4F051327">
            <w:pPr>
              <w:jc w:val="center"/>
              <w:rPr>
                <w:rFonts w:hint="eastAsia" w:ascii="宋体" w:hAnsi="宋体" w:eastAsia="宋体" w:cs="宋体"/>
                <w:b/>
                <w:bCs/>
                <w:sz w:val="18"/>
                <w:szCs w:val="18"/>
              </w:rPr>
            </w:pPr>
            <w:r>
              <w:rPr>
                <w:rFonts w:hint="eastAsia" w:ascii="宋体" w:hAnsi="宋体" w:eastAsia="宋体" w:cs="宋体"/>
                <w:b/>
                <w:bCs/>
                <w:sz w:val="18"/>
                <w:szCs w:val="18"/>
              </w:rPr>
              <w:t>全年执行数</w:t>
            </w:r>
          </w:p>
        </w:tc>
        <w:tc>
          <w:tcPr>
            <w:tcW w:w="1134" w:type="dxa"/>
            <w:tcBorders>
              <w:top w:val="nil"/>
              <w:left w:val="nil"/>
              <w:bottom w:val="single" w:color="auto" w:sz="4" w:space="0"/>
              <w:right w:val="single" w:color="auto" w:sz="4" w:space="0"/>
            </w:tcBorders>
            <w:vAlign w:val="center"/>
          </w:tcPr>
          <w:p w14:paraId="10BC9DCE">
            <w:pPr>
              <w:jc w:val="center"/>
              <w:rPr>
                <w:rFonts w:hint="eastAsia" w:ascii="宋体" w:hAnsi="宋体" w:eastAsia="宋体" w:cs="宋体"/>
                <w:b/>
                <w:bCs/>
                <w:sz w:val="18"/>
                <w:szCs w:val="18"/>
              </w:rPr>
            </w:pPr>
            <w:r>
              <w:rPr>
                <w:rFonts w:hint="eastAsia" w:ascii="宋体" w:hAnsi="宋体" w:eastAsia="宋体" w:cs="宋体"/>
                <w:b/>
                <w:bCs/>
                <w:sz w:val="18"/>
                <w:szCs w:val="18"/>
              </w:rPr>
              <w:t>分值权重</w:t>
            </w:r>
          </w:p>
        </w:tc>
        <w:tc>
          <w:tcPr>
            <w:tcW w:w="992" w:type="dxa"/>
            <w:tcBorders>
              <w:top w:val="nil"/>
              <w:left w:val="nil"/>
              <w:bottom w:val="single" w:color="auto" w:sz="4" w:space="0"/>
              <w:right w:val="single" w:color="auto" w:sz="4" w:space="0"/>
            </w:tcBorders>
            <w:vAlign w:val="center"/>
          </w:tcPr>
          <w:p w14:paraId="2EFEAB1F">
            <w:pPr>
              <w:jc w:val="center"/>
              <w:rPr>
                <w:rFonts w:hint="eastAsia" w:ascii="宋体" w:hAnsi="宋体" w:eastAsia="宋体" w:cs="宋体"/>
                <w:b/>
                <w:bCs/>
                <w:sz w:val="18"/>
                <w:szCs w:val="18"/>
              </w:rPr>
            </w:pPr>
            <w:r>
              <w:rPr>
                <w:rFonts w:hint="eastAsia" w:ascii="宋体" w:hAnsi="宋体" w:eastAsia="宋体" w:cs="宋体"/>
                <w:b/>
                <w:bCs/>
                <w:sz w:val="18"/>
                <w:szCs w:val="18"/>
              </w:rPr>
              <w:t>执行率</w:t>
            </w:r>
          </w:p>
        </w:tc>
        <w:tc>
          <w:tcPr>
            <w:tcW w:w="720" w:type="dxa"/>
            <w:tcBorders>
              <w:top w:val="nil"/>
              <w:left w:val="nil"/>
              <w:bottom w:val="single" w:color="auto" w:sz="4" w:space="0"/>
              <w:right w:val="single" w:color="auto" w:sz="4" w:space="0"/>
            </w:tcBorders>
            <w:vAlign w:val="center"/>
          </w:tcPr>
          <w:p w14:paraId="7AF7A271">
            <w:pPr>
              <w:jc w:val="center"/>
              <w:rPr>
                <w:rFonts w:hint="eastAsia" w:ascii="宋体" w:hAnsi="宋体" w:eastAsia="宋体" w:cs="宋体"/>
                <w:b/>
                <w:bCs/>
                <w:sz w:val="18"/>
                <w:szCs w:val="18"/>
              </w:rPr>
            </w:pPr>
            <w:r>
              <w:rPr>
                <w:rFonts w:hint="eastAsia" w:ascii="宋体" w:hAnsi="宋体" w:eastAsia="宋体" w:cs="宋体"/>
                <w:b/>
                <w:bCs/>
                <w:sz w:val="18"/>
                <w:szCs w:val="18"/>
              </w:rPr>
              <w:t>得分</w:t>
            </w:r>
          </w:p>
        </w:tc>
      </w:tr>
      <w:tr w14:paraId="76BE4A39">
        <w:tblPrEx>
          <w:tblCellMar>
            <w:top w:w="0" w:type="dxa"/>
            <w:left w:w="108" w:type="dxa"/>
            <w:bottom w:w="0" w:type="dxa"/>
            <w:right w:w="108" w:type="dxa"/>
          </w:tblCellMar>
        </w:tblPrEx>
        <w:trPr>
          <w:trHeight w:val="489"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2552DEF3">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noWrap/>
            <w:vAlign w:val="center"/>
          </w:tcPr>
          <w:p w14:paraId="773FCDDE">
            <w:pPr>
              <w:jc w:val="center"/>
              <w:rPr>
                <w:rFonts w:hint="eastAsia" w:ascii="宋体" w:hAnsi="宋体" w:eastAsia="宋体" w:cs="宋体"/>
                <w:b/>
                <w:bCs/>
                <w:sz w:val="18"/>
                <w:szCs w:val="18"/>
              </w:rPr>
            </w:pPr>
            <w:r>
              <w:rPr>
                <w:rFonts w:hint="eastAsia" w:ascii="宋体" w:hAnsi="宋体" w:eastAsia="宋体" w:cs="宋体"/>
                <w:b/>
                <w:bCs/>
                <w:sz w:val="18"/>
                <w:szCs w:val="18"/>
              </w:rPr>
              <w:t>年度总资金</w:t>
            </w:r>
          </w:p>
        </w:tc>
        <w:tc>
          <w:tcPr>
            <w:tcW w:w="1418" w:type="dxa"/>
            <w:tcBorders>
              <w:top w:val="nil"/>
              <w:left w:val="nil"/>
              <w:bottom w:val="single" w:color="auto" w:sz="4" w:space="0"/>
              <w:right w:val="single" w:color="auto" w:sz="4" w:space="0"/>
            </w:tcBorders>
            <w:vAlign w:val="center"/>
          </w:tcPr>
          <w:p w14:paraId="65C9A353">
            <w:pPr>
              <w:jc w:val="center"/>
              <w:rPr>
                <w:rFonts w:hint="eastAsia" w:ascii="宋体" w:hAnsi="宋体" w:eastAsia="宋体" w:cs="宋体"/>
                <w:sz w:val="18"/>
                <w:szCs w:val="18"/>
              </w:rPr>
            </w:pPr>
            <w:r>
              <w:rPr>
                <w:rFonts w:hint="eastAsia" w:ascii="宋体" w:hAnsi="宋体" w:eastAsia="宋体" w:cs="宋体"/>
                <w:sz w:val="18"/>
                <w:szCs w:val="18"/>
              </w:rPr>
              <w:t>221.57</w:t>
            </w:r>
          </w:p>
        </w:tc>
        <w:tc>
          <w:tcPr>
            <w:tcW w:w="1276" w:type="dxa"/>
            <w:tcBorders>
              <w:top w:val="nil"/>
              <w:left w:val="nil"/>
              <w:bottom w:val="single" w:color="auto" w:sz="4" w:space="0"/>
              <w:right w:val="single" w:color="auto" w:sz="4" w:space="0"/>
            </w:tcBorders>
            <w:vAlign w:val="center"/>
          </w:tcPr>
          <w:p w14:paraId="038B93BA">
            <w:pPr>
              <w:jc w:val="center"/>
              <w:rPr>
                <w:rFonts w:hint="eastAsia" w:ascii="宋体" w:hAnsi="宋体" w:eastAsia="宋体" w:cs="宋体"/>
                <w:sz w:val="18"/>
                <w:szCs w:val="18"/>
              </w:rPr>
            </w:pPr>
            <w:r>
              <w:rPr>
                <w:rFonts w:hint="eastAsia" w:ascii="宋体" w:hAnsi="宋体" w:eastAsia="宋体" w:cs="宋体"/>
                <w:sz w:val="18"/>
                <w:szCs w:val="18"/>
              </w:rPr>
              <w:t>289.69</w:t>
            </w:r>
          </w:p>
        </w:tc>
        <w:tc>
          <w:tcPr>
            <w:tcW w:w="1701" w:type="dxa"/>
            <w:tcBorders>
              <w:top w:val="nil"/>
              <w:left w:val="nil"/>
              <w:bottom w:val="single" w:color="auto" w:sz="4" w:space="0"/>
              <w:right w:val="single" w:color="auto" w:sz="4" w:space="0"/>
            </w:tcBorders>
            <w:vAlign w:val="center"/>
          </w:tcPr>
          <w:p w14:paraId="1CAF019E">
            <w:pPr>
              <w:jc w:val="center"/>
              <w:rPr>
                <w:rFonts w:hint="eastAsia" w:ascii="宋体" w:hAnsi="宋体" w:eastAsia="宋体" w:cs="宋体"/>
                <w:sz w:val="18"/>
                <w:szCs w:val="18"/>
              </w:rPr>
            </w:pPr>
            <w:r>
              <w:rPr>
                <w:rFonts w:hint="eastAsia" w:ascii="宋体" w:hAnsi="宋体" w:eastAsia="宋体" w:cs="宋体"/>
                <w:sz w:val="18"/>
                <w:szCs w:val="18"/>
              </w:rPr>
              <w:t>236.63</w:t>
            </w:r>
          </w:p>
        </w:tc>
        <w:tc>
          <w:tcPr>
            <w:tcW w:w="1134" w:type="dxa"/>
            <w:tcBorders>
              <w:top w:val="nil"/>
              <w:left w:val="nil"/>
              <w:bottom w:val="single" w:color="auto" w:sz="4" w:space="0"/>
              <w:right w:val="single" w:color="auto" w:sz="4" w:space="0"/>
            </w:tcBorders>
            <w:vAlign w:val="center"/>
          </w:tcPr>
          <w:p w14:paraId="00DDC2F9">
            <w:pPr>
              <w:jc w:val="center"/>
              <w:rPr>
                <w:rFonts w:hint="eastAsia" w:ascii="宋体" w:hAnsi="宋体" w:eastAsia="宋体" w:cs="宋体"/>
                <w:sz w:val="18"/>
                <w:szCs w:val="18"/>
              </w:rPr>
            </w:pPr>
            <w:r>
              <w:rPr>
                <w:rFonts w:hint="eastAsia" w:ascii="宋体" w:hAnsi="宋体" w:eastAsia="宋体" w:cs="宋体"/>
                <w:sz w:val="18"/>
                <w:szCs w:val="18"/>
              </w:rPr>
              <w:t>10</w:t>
            </w:r>
          </w:p>
        </w:tc>
        <w:tc>
          <w:tcPr>
            <w:tcW w:w="992" w:type="dxa"/>
            <w:tcBorders>
              <w:top w:val="nil"/>
              <w:left w:val="nil"/>
              <w:bottom w:val="single" w:color="auto" w:sz="4" w:space="0"/>
              <w:right w:val="single" w:color="auto" w:sz="4" w:space="0"/>
            </w:tcBorders>
            <w:vAlign w:val="center"/>
          </w:tcPr>
          <w:p w14:paraId="568D8340">
            <w:pPr>
              <w:jc w:val="center"/>
              <w:rPr>
                <w:rFonts w:hint="eastAsia" w:ascii="宋体" w:hAnsi="宋体" w:eastAsia="宋体" w:cs="宋体"/>
                <w:sz w:val="18"/>
                <w:szCs w:val="18"/>
              </w:rPr>
            </w:pPr>
            <w:r>
              <w:rPr>
                <w:rFonts w:hint="eastAsia" w:ascii="宋体" w:hAnsi="宋体" w:eastAsia="宋体" w:cs="宋体"/>
                <w:sz w:val="18"/>
                <w:szCs w:val="18"/>
              </w:rPr>
              <w:t>81.68%</w:t>
            </w:r>
          </w:p>
        </w:tc>
        <w:tc>
          <w:tcPr>
            <w:tcW w:w="720" w:type="dxa"/>
            <w:tcBorders>
              <w:top w:val="nil"/>
              <w:left w:val="nil"/>
              <w:bottom w:val="single" w:color="auto" w:sz="4" w:space="0"/>
              <w:right w:val="single" w:color="auto" w:sz="4" w:space="0"/>
            </w:tcBorders>
            <w:vAlign w:val="center"/>
          </w:tcPr>
          <w:p w14:paraId="0DF12252">
            <w:pPr>
              <w:jc w:val="center"/>
              <w:rPr>
                <w:rFonts w:hint="eastAsia" w:ascii="宋体" w:hAnsi="宋体" w:eastAsia="宋体" w:cs="宋体"/>
                <w:sz w:val="18"/>
                <w:szCs w:val="18"/>
              </w:rPr>
            </w:pPr>
            <w:r>
              <w:rPr>
                <w:rFonts w:hint="eastAsia" w:ascii="宋体" w:hAnsi="宋体" w:eastAsia="宋体" w:cs="宋体"/>
                <w:sz w:val="18"/>
                <w:szCs w:val="18"/>
              </w:rPr>
              <w:t>8.16</w:t>
            </w:r>
          </w:p>
        </w:tc>
      </w:tr>
      <w:tr w14:paraId="1F7B1650">
        <w:tblPrEx>
          <w:tblCellMar>
            <w:top w:w="0" w:type="dxa"/>
            <w:left w:w="108" w:type="dxa"/>
            <w:bottom w:w="0" w:type="dxa"/>
            <w:right w:w="108" w:type="dxa"/>
          </w:tblCellMar>
        </w:tblPrEx>
        <w:trPr>
          <w:trHeight w:val="42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7D3273E0">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vAlign w:val="center"/>
          </w:tcPr>
          <w:p w14:paraId="13944C4B">
            <w:pPr>
              <w:jc w:val="center"/>
              <w:rPr>
                <w:rFonts w:hint="eastAsia" w:ascii="宋体" w:hAnsi="宋体" w:eastAsia="宋体" w:cs="宋体"/>
                <w:b/>
                <w:bCs/>
                <w:sz w:val="18"/>
                <w:szCs w:val="18"/>
                <w:lang w:eastAsia="zh-CN"/>
              </w:rPr>
            </w:pPr>
            <w:r>
              <w:rPr>
                <w:rFonts w:hint="eastAsia" w:ascii="宋体" w:hAnsi="宋体" w:eastAsia="宋体" w:cs="宋体"/>
                <w:b/>
                <w:bCs/>
                <w:sz w:val="18"/>
                <w:szCs w:val="18"/>
                <w:lang w:eastAsia="zh-CN"/>
              </w:rPr>
              <w:t>其中:上级资金（万元）</w:t>
            </w:r>
          </w:p>
        </w:tc>
        <w:tc>
          <w:tcPr>
            <w:tcW w:w="1418" w:type="dxa"/>
            <w:tcBorders>
              <w:top w:val="nil"/>
              <w:left w:val="nil"/>
              <w:bottom w:val="single" w:color="auto" w:sz="4" w:space="0"/>
              <w:right w:val="single" w:color="auto" w:sz="4" w:space="0"/>
            </w:tcBorders>
            <w:vAlign w:val="center"/>
          </w:tcPr>
          <w:p w14:paraId="3B3F8CB9">
            <w:pPr>
              <w:jc w:val="center"/>
              <w:rPr>
                <w:rFonts w:hint="eastAsia" w:ascii="宋体" w:hAnsi="宋体" w:eastAsia="宋体" w:cs="宋体"/>
                <w:sz w:val="18"/>
                <w:szCs w:val="18"/>
              </w:rPr>
            </w:pPr>
            <w:r>
              <w:rPr>
                <w:rFonts w:hint="eastAsia" w:ascii="宋体" w:hAnsi="宋体" w:eastAsia="宋体" w:cs="宋体"/>
                <w:sz w:val="18"/>
                <w:szCs w:val="18"/>
              </w:rPr>
              <w:t>0.00</w:t>
            </w:r>
          </w:p>
        </w:tc>
        <w:tc>
          <w:tcPr>
            <w:tcW w:w="1276" w:type="dxa"/>
            <w:tcBorders>
              <w:top w:val="nil"/>
              <w:left w:val="nil"/>
              <w:bottom w:val="single" w:color="auto" w:sz="4" w:space="0"/>
              <w:right w:val="single" w:color="auto" w:sz="4" w:space="0"/>
            </w:tcBorders>
            <w:vAlign w:val="center"/>
          </w:tcPr>
          <w:p w14:paraId="100666E2">
            <w:pPr>
              <w:jc w:val="center"/>
              <w:rPr>
                <w:rFonts w:hint="eastAsia" w:ascii="宋体" w:hAnsi="宋体" w:eastAsia="宋体" w:cs="宋体"/>
                <w:sz w:val="18"/>
                <w:szCs w:val="18"/>
              </w:rPr>
            </w:pPr>
            <w:r>
              <w:rPr>
                <w:rFonts w:hint="eastAsia" w:ascii="宋体" w:hAnsi="宋体" w:eastAsia="宋体" w:cs="宋体"/>
                <w:sz w:val="18"/>
                <w:szCs w:val="18"/>
              </w:rPr>
              <w:t>0.00</w:t>
            </w:r>
          </w:p>
        </w:tc>
        <w:tc>
          <w:tcPr>
            <w:tcW w:w="1701" w:type="dxa"/>
            <w:tcBorders>
              <w:top w:val="nil"/>
              <w:left w:val="nil"/>
              <w:bottom w:val="single" w:color="auto" w:sz="4" w:space="0"/>
              <w:right w:val="single" w:color="auto" w:sz="4" w:space="0"/>
            </w:tcBorders>
            <w:vAlign w:val="center"/>
          </w:tcPr>
          <w:p w14:paraId="60A59F20">
            <w:pPr>
              <w:jc w:val="center"/>
              <w:rPr>
                <w:rFonts w:hint="eastAsia" w:ascii="宋体" w:hAnsi="宋体" w:eastAsia="宋体" w:cs="宋体"/>
                <w:sz w:val="18"/>
                <w:szCs w:val="18"/>
              </w:rPr>
            </w:pPr>
            <w:r>
              <w:rPr>
                <w:rFonts w:hint="eastAsia" w:ascii="宋体" w:hAnsi="宋体" w:eastAsia="宋体" w:cs="宋体"/>
                <w:sz w:val="18"/>
                <w:szCs w:val="18"/>
              </w:rPr>
              <w:t>0.00</w:t>
            </w:r>
          </w:p>
        </w:tc>
        <w:tc>
          <w:tcPr>
            <w:tcW w:w="1134" w:type="dxa"/>
            <w:tcBorders>
              <w:top w:val="nil"/>
              <w:left w:val="nil"/>
              <w:bottom w:val="single" w:color="auto" w:sz="4" w:space="0"/>
              <w:right w:val="single" w:color="auto" w:sz="4" w:space="0"/>
            </w:tcBorders>
            <w:vAlign w:val="center"/>
          </w:tcPr>
          <w:p w14:paraId="4CD68337">
            <w:pPr>
              <w:jc w:val="center"/>
              <w:rPr>
                <w:rFonts w:hint="eastAsia" w:ascii="宋体" w:hAnsi="宋体" w:eastAsia="宋体" w:cs="宋体"/>
                <w:sz w:val="18"/>
                <w:szCs w:val="18"/>
              </w:rPr>
            </w:pPr>
            <w:r>
              <w:rPr>
                <w:rFonts w:hint="eastAsia" w:ascii="宋体" w:hAnsi="宋体" w:eastAsia="宋体"/>
                <w:sz w:val="18"/>
                <w:szCs w:val="18"/>
              </w:rPr>
              <w:t>-</w:t>
            </w:r>
          </w:p>
        </w:tc>
        <w:tc>
          <w:tcPr>
            <w:tcW w:w="992" w:type="dxa"/>
            <w:tcBorders>
              <w:top w:val="nil"/>
              <w:left w:val="nil"/>
              <w:bottom w:val="single" w:color="auto" w:sz="4" w:space="0"/>
              <w:right w:val="single" w:color="auto" w:sz="4" w:space="0"/>
            </w:tcBorders>
            <w:vAlign w:val="center"/>
          </w:tcPr>
          <w:p w14:paraId="5C74A0BB">
            <w:pPr>
              <w:jc w:val="center"/>
              <w:rPr>
                <w:rFonts w:hint="eastAsia" w:ascii="宋体" w:hAnsi="宋体" w:eastAsia="宋体" w:cs="宋体"/>
                <w:sz w:val="18"/>
                <w:szCs w:val="18"/>
              </w:rPr>
            </w:pPr>
            <w:r>
              <w:rPr>
                <w:rFonts w:hint="eastAsia" w:ascii="宋体" w:hAnsi="宋体" w:eastAsia="宋体"/>
                <w:sz w:val="18"/>
                <w:szCs w:val="18"/>
              </w:rPr>
              <w:t>-</w:t>
            </w:r>
          </w:p>
        </w:tc>
        <w:tc>
          <w:tcPr>
            <w:tcW w:w="720" w:type="dxa"/>
            <w:tcBorders>
              <w:top w:val="nil"/>
              <w:left w:val="nil"/>
              <w:bottom w:val="single" w:color="auto" w:sz="4" w:space="0"/>
              <w:right w:val="single" w:color="auto" w:sz="4" w:space="0"/>
            </w:tcBorders>
            <w:vAlign w:val="center"/>
          </w:tcPr>
          <w:p w14:paraId="01471847">
            <w:pPr>
              <w:jc w:val="center"/>
              <w:rPr>
                <w:rFonts w:hint="eastAsia" w:ascii="宋体" w:hAnsi="宋体" w:eastAsia="宋体" w:cs="宋体"/>
                <w:sz w:val="18"/>
                <w:szCs w:val="18"/>
              </w:rPr>
            </w:pPr>
            <w:r>
              <w:rPr>
                <w:rFonts w:hint="eastAsia" w:ascii="宋体" w:hAnsi="宋体" w:eastAsia="宋体"/>
                <w:sz w:val="18"/>
                <w:szCs w:val="18"/>
              </w:rPr>
              <w:t>-</w:t>
            </w:r>
          </w:p>
        </w:tc>
      </w:tr>
      <w:tr w14:paraId="412265D4">
        <w:tblPrEx>
          <w:tblCellMar>
            <w:top w:w="0" w:type="dxa"/>
            <w:left w:w="108" w:type="dxa"/>
            <w:bottom w:w="0" w:type="dxa"/>
            <w:right w:w="108" w:type="dxa"/>
          </w:tblCellMar>
        </w:tblPrEx>
        <w:trPr>
          <w:trHeight w:val="281"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5013CF95">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vAlign w:val="center"/>
          </w:tcPr>
          <w:p w14:paraId="230F6847">
            <w:pPr>
              <w:jc w:val="center"/>
              <w:rPr>
                <w:rFonts w:hint="eastAsia" w:ascii="宋体" w:hAnsi="宋体" w:eastAsia="宋体" w:cs="宋体"/>
                <w:b/>
                <w:bCs/>
                <w:sz w:val="18"/>
                <w:szCs w:val="18"/>
              </w:rPr>
            </w:pPr>
            <w:r>
              <w:rPr>
                <w:rFonts w:hint="eastAsia" w:ascii="宋体" w:hAnsi="宋体" w:eastAsia="宋体" w:cs="宋体"/>
                <w:b/>
                <w:bCs/>
                <w:sz w:val="18"/>
                <w:szCs w:val="18"/>
              </w:rPr>
              <w:t>本级资金（万元）</w:t>
            </w:r>
          </w:p>
        </w:tc>
        <w:tc>
          <w:tcPr>
            <w:tcW w:w="1418" w:type="dxa"/>
            <w:tcBorders>
              <w:top w:val="nil"/>
              <w:left w:val="nil"/>
              <w:bottom w:val="single" w:color="auto" w:sz="4" w:space="0"/>
              <w:right w:val="single" w:color="auto" w:sz="4" w:space="0"/>
            </w:tcBorders>
            <w:vAlign w:val="center"/>
          </w:tcPr>
          <w:p w14:paraId="21201F32">
            <w:pPr>
              <w:jc w:val="center"/>
              <w:rPr>
                <w:rFonts w:hint="eastAsia" w:ascii="宋体" w:hAnsi="宋体" w:eastAsia="宋体" w:cs="宋体"/>
                <w:sz w:val="18"/>
                <w:szCs w:val="18"/>
              </w:rPr>
            </w:pPr>
            <w:r>
              <w:rPr>
                <w:rFonts w:hint="eastAsia" w:ascii="宋体" w:hAnsi="宋体" w:eastAsia="宋体" w:cs="宋体"/>
                <w:sz w:val="18"/>
                <w:szCs w:val="18"/>
              </w:rPr>
              <w:t>221.57</w:t>
            </w:r>
          </w:p>
        </w:tc>
        <w:tc>
          <w:tcPr>
            <w:tcW w:w="1276" w:type="dxa"/>
            <w:tcBorders>
              <w:top w:val="nil"/>
              <w:left w:val="nil"/>
              <w:bottom w:val="single" w:color="auto" w:sz="4" w:space="0"/>
              <w:right w:val="single" w:color="auto" w:sz="4" w:space="0"/>
            </w:tcBorders>
            <w:vAlign w:val="center"/>
          </w:tcPr>
          <w:p w14:paraId="68598BDE">
            <w:pPr>
              <w:jc w:val="center"/>
              <w:rPr>
                <w:rFonts w:hint="eastAsia" w:ascii="宋体" w:hAnsi="宋体" w:eastAsia="宋体" w:cs="宋体"/>
                <w:sz w:val="18"/>
                <w:szCs w:val="18"/>
              </w:rPr>
            </w:pPr>
            <w:r>
              <w:rPr>
                <w:rFonts w:hint="eastAsia" w:ascii="宋体" w:hAnsi="宋体" w:eastAsia="宋体" w:cs="宋体"/>
                <w:sz w:val="18"/>
                <w:szCs w:val="18"/>
              </w:rPr>
              <w:t>289.69</w:t>
            </w:r>
          </w:p>
        </w:tc>
        <w:tc>
          <w:tcPr>
            <w:tcW w:w="1701" w:type="dxa"/>
            <w:tcBorders>
              <w:top w:val="nil"/>
              <w:left w:val="nil"/>
              <w:bottom w:val="single" w:color="auto" w:sz="4" w:space="0"/>
              <w:right w:val="single" w:color="auto" w:sz="4" w:space="0"/>
            </w:tcBorders>
            <w:vAlign w:val="center"/>
          </w:tcPr>
          <w:p w14:paraId="4E57A129">
            <w:pPr>
              <w:jc w:val="center"/>
              <w:rPr>
                <w:rFonts w:hint="eastAsia" w:ascii="宋体" w:hAnsi="宋体" w:eastAsia="宋体" w:cs="宋体"/>
                <w:sz w:val="18"/>
                <w:szCs w:val="18"/>
              </w:rPr>
            </w:pPr>
            <w:r>
              <w:rPr>
                <w:rFonts w:hint="eastAsia" w:ascii="宋体" w:hAnsi="宋体" w:eastAsia="宋体" w:cs="宋体"/>
                <w:sz w:val="18"/>
                <w:szCs w:val="18"/>
              </w:rPr>
              <w:t>236.63</w:t>
            </w:r>
          </w:p>
        </w:tc>
        <w:tc>
          <w:tcPr>
            <w:tcW w:w="1134" w:type="dxa"/>
            <w:tcBorders>
              <w:top w:val="nil"/>
              <w:left w:val="nil"/>
              <w:bottom w:val="single" w:color="auto" w:sz="4" w:space="0"/>
              <w:right w:val="single" w:color="auto" w:sz="4" w:space="0"/>
            </w:tcBorders>
            <w:vAlign w:val="center"/>
          </w:tcPr>
          <w:p w14:paraId="12CE6FC0">
            <w:pPr>
              <w:jc w:val="center"/>
              <w:rPr>
                <w:rFonts w:hint="eastAsia" w:ascii="宋体" w:hAnsi="宋体" w:eastAsia="宋体" w:cs="宋体"/>
                <w:sz w:val="18"/>
                <w:szCs w:val="18"/>
              </w:rPr>
            </w:pPr>
            <w:r>
              <w:rPr>
                <w:rFonts w:hint="eastAsia" w:ascii="宋体" w:hAnsi="宋体" w:eastAsia="宋体"/>
                <w:sz w:val="18"/>
                <w:szCs w:val="18"/>
              </w:rPr>
              <w:t>-</w:t>
            </w:r>
          </w:p>
        </w:tc>
        <w:tc>
          <w:tcPr>
            <w:tcW w:w="992" w:type="dxa"/>
            <w:tcBorders>
              <w:top w:val="nil"/>
              <w:left w:val="nil"/>
              <w:bottom w:val="single" w:color="auto" w:sz="4" w:space="0"/>
              <w:right w:val="single" w:color="auto" w:sz="4" w:space="0"/>
            </w:tcBorders>
            <w:vAlign w:val="center"/>
          </w:tcPr>
          <w:p w14:paraId="14A1C1AA">
            <w:pPr>
              <w:jc w:val="center"/>
              <w:rPr>
                <w:rFonts w:hint="eastAsia" w:ascii="宋体" w:hAnsi="宋体" w:eastAsia="宋体" w:cs="宋体"/>
                <w:sz w:val="18"/>
                <w:szCs w:val="18"/>
              </w:rPr>
            </w:pPr>
            <w:r>
              <w:rPr>
                <w:rFonts w:hint="eastAsia" w:ascii="宋体" w:hAnsi="宋体" w:eastAsia="宋体"/>
                <w:sz w:val="18"/>
                <w:szCs w:val="18"/>
              </w:rPr>
              <w:t>-</w:t>
            </w:r>
          </w:p>
        </w:tc>
        <w:tc>
          <w:tcPr>
            <w:tcW w:w="720" w:type="dxa"/>
            <w:tcBorders>
              <w:top w:val="nil"/>
              <w:left w:val="nil"/>
              <w:bottom w:val="single" w:color="auto" w:sz="4" w:space="0"/>
              <w:right w:val="single" w:color="auto" w:sz="4" w:space="0"/>
            </w:tcBorders>
            <w:vAlign w:val="center"/>
          </w:tcPr>
          <w:p w14:paraId="1C8F50FB">
            <w:pPr>
              <w:jc w:val="center"/>
              <w:rPr>
                <w:rFonts w:hint="eastAsia" w:ascii="宋体" w:hAnsi="宋体" w:eastAsia="宋体" w:cs="宋体"/>
                <w:sz w:val="18"/>
                <w:szCs w:val="18"/>
              </w:rPr>
            </w:pPr>
            <w:r>
              <w:rPr>
                <w:rFonts w:hint="eastAsia" w:ascii="宋体" w:hAnsi="宋体" w:eastAsia="宋体"/>
                <w:sz w:val="18"/>
                <w:szCs w:val="18"/>
              </w:rPr>
              <w:t>-</w:t>
            </w:r>
          </w:p>
        </w:tc>
      </w:tr>
      <w:tr w14:paraId="2596F626">
        <w:tblPrEx>
          <w:tblCellMar>
            <w:top w:w="0" w:type="dxa"/>
            <w:left w:w="108" w:type="dxa"/>
            <w:bottom w:w="0" w:type="dxa"/>
            <w:right w:w="108" w:type="dxa"/>
          </w:tblCellMar>
        </w:tblPrEx>
        <w:trPr>
          <w:trHeight w:val="373"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5FA95C24">
            <w:pPr>
              <w:jc w:val="center"/>
              <w:rPr>
                <w:rFonts w:hint="eastAsia" w:ascii="宋体" w:hAnsi="宋体" w:eastAsia="宋体" w:cs="宋体"/>
                <w:b/>
                <w:bCs/>
                <w:sz w:val="18"/>
                <w:szCs w:val="18"/>
              </w:rPr>
            </w:pPr>
          </w:p>
        </w:tc>
        <w:tc>
          <w:tcPr>
            <w:tcW w:w="1417" w:type="dxa"/>
            <w:tcBorders>
              <w:top w:val="nil"/>
              <w:left w:val="nil"/>
              <w:bottom w:val="single" w:color="auto" w:sz="4" w:space="0"/>
              <w:right w:val="single" w:color="auto" w:sz="4" w:space="0"/>
            </w:tcBorders>
            <w:vAlign w:val="center"/>
          </w:tcPr>
          <w:p w14:paraId="7F40C104">
            <w:pPr>
              <w:jc w:val="center"/>
              <w:rPr>
                <w:rFonts w:hint="eastAsia" w:ascii="宋体" w:hAnsi="宋体" w:eastAsia="宋体" w:cs="宋体"/>
                <w:b/>
                <w:bCs/>
                <w:sz w:val="18"/>
                <w:szCs w:val="18"/>
              </w:rPr>
            </w:pPr>
            <w:r>
              <w:rPr>
                <w:rFonts w:hint="eastAsia" w:ascii="宋体" w:hAnsi="宋体" w:eastAsia="宋体" w:cs="宋体"/>
                <w:b/>
                <w:bCs/>
                <w:sz w:val="18"/>
                <w:szCs w:val="18"/>
              </w:rPr>
              <w:t>其他资金（万元）</w:t>
            </w:r>
          </w:p>
        </w:tc>
        <w:tc>
          <w:tcPr>
            <w:tcW w:w="1418" w:type="dxa"/>
            <w:tcBorders>
              <w:top w:val="nil"/>
              <w:left w:val="nil"/>
              <w:bottom w:val="single" w:color="auto" w:sz="4" w:space="0"/>
              <w:right w:val="single" w:color="auto" w:sz="4" w:space="0"/>
            </w:tcBorders>
            <w:vAlign w:val="center"/>
          </w:tcPr>
          <w:p w14:paraId="7239C4E4">
            <w:pPr>
              <w:jc w:val="center"/>
              <w:rPr>
                <w:rFonts w:hint="eastAsia" w:ascii="宋体" w:hAnsi="宋体" w:eastAsia="宋体" w:cs="宋体"/>
                <w:sz w:val="18"/>
                <w:szCs w:val="18"/>
              </w:rPr>
            </w:pPr>
            <w:r>
              <w:rPr>
                <w:rFonts w:hint="eastAsia" w:ascii="宋体" w:hAnsi="宋体" w:eastAsia="宋体" w:cs="宋体"/>
                <w:sz w:val="18"/>
                <w:szCs w:val="18"/>
              </w:rPr>
              <w:t>0.00</w:t>
            </w:r>
          </w:p>
        </w:tc>
        <w:tc>
          <w:tcPr>
            <w:tcW w:w="1276" w:type="dxa"/>
            <w:tcBorders>
              <w:top w:val="nil"/>
              <w:left w:val="nil"/>
              <w:bottom w:val="single" w:color="auto" w:sz="4" w:space="0"/>
              <w:right w:val="single" w:color="auto" w:sz="4" w:space="0"/>
            </w:tcBorders>
            <w:vAlign w:val="center"/>
          </w:tcPr>
          <w:p w14:paraId="2D434435">
            <w:pPr>
              <w:jc w:val="center"/>
              <w:rPr>
                <w:rFonts w:hint="eastAsia" w:ascii="宋体" w:hAnsi="宋体" w:eastAsia="宋体" w:cs="宋体"/>
                <w:sz w:val="18"/>
                <w:szCs w:val="18"/>
              </w:rPr>
            </w:pPr>
            <w:r>
              <w:rPr>
                <w:rFonts w:hint="eastAsia" w:ascii="宋体" w:hAnsi="宋体" w:eastAsia="宋体" w:cs="宋体"/>
                <w:sz w:val="18"/>
                <w:szCs w:val="18"/>
              </w:rPr>
              <w:t>0.00</w:t>
            </w:r>
          </w:p>
        </w:tc>
        <w:tc>
          <w:tcPr>
            <w:tcW w:w="1701" w:type="dxa"/>
            <w:tcBorders>
              <w:top w:val="nil"/>
              <w:left w:val="nil"/>
              <w:bottom w:val="single" w:color="auto" w:sz="4" w:space="0"/>
              <w:right w:val="single" w:color="auto" w:sz="4" w:space="0"/>
            </w:tcBorders>
            <w:vAlign w:val="center"/>
          </w:tcPr>
          <w:p w14:paraId="089C75F5">
            <w:pPr>
              <w:jc w:val="center"/>
              <w:rPr>
                <w:rFonts w:hint="eastAsia" w:ascii="宋体" w:hAnsi="宋体" w:eastAsia="宋体" w:cs="宋体"/>
                <w:sz w:val="18"/>
                <w:szCs w:val="18"/>
              </w:rPr>
            </w:pPr>
            <w:r>
              <w:rPr>
                <w:rFonts w:hint="eastAsia" w:ascii="宋体" w:hAnsi="宋体" w:eastAsia="宋体" w:cs="宋体"/>
                <w:sz w:val="18"/>
                <w:szCs w:val="18"/>
              </w:rPr>
              <w:t>0.00</w:t>
            </w:r>
          </w:p>
        </w:tc>
        <w:tc>
          <w:tcPr>
            <w:tcW w:w="1134" w:type="dxa"/>
            <w:tcBorders>
              <w:top w:val="nil"/>
              <w:left w:val="nil"/>
              <w:bottom w:val="single" w:color="auto" w:sz="4" w:space="0"/>
              <w:right w:val="single" w:color="auto" w:sz="4" w:space="0"/>
            </w:tcBorders>
            <w:vAlign w:val="center"/>
          </w:tcPr>
          <w:p w14:paraId="7565DD2A">
            <w:pPr>
              <w:jc w:val="center"/>
              <w:rPr>
                <w:rFonts w:hint="eastAsia" w:ascii="宋体" w:hAnsi="宋体" w:eastAsia="宋体" w:cs="宋体"/>
                <w:sz w:val="18"/>
                <w:szCs w:val="18"/>
              </w:rPr>
            </w:pPr>
            <w:r>
              <w:rPr>
                <w:rFonts w:hint="eastAsia" w:ascii="宋体" w:hAnsi="宋体" w:eastAsia="宋体" w:cs="宋体"/>
                <w:sz w:val="18"/>
                <w:szCs w:val="18"/>
              </w:rPr>
              <w:t>-</w:t>
            </w:r>
          </w:p>
        </w:tc>
        <w:tc>
          <w:tcPr>
            <w:tcW w:w="992" w:type="dxa"/>
            <w:tcBorders>
              <w:top w:val="nil"/>
              <w:left w:val="nil"/>
              <w:bottom w:val="single" w:color="auto" w:sz="4" w:space="0"/>
              <w:right w:val="single" w:color="auto" w:sz="4" w:space="0"/>
            </w:tcBorders>
            <w:vAlign w:val="center"/>
          </w:tcPr>
          <w:p w14:paraId="5FE2980E">
            <w:pPr>
              <w:jc w:val="center"/>
              <w:rPr>
                <w:rFonts w:hint="eastAsia" w:ascii="宋体" w:hAnsi="宋体" w:eastAsia="宋体" w:cs="宋体"/>
                <w:sz w:val="18"/>
                <w:szCs w:val="18"/>
              </w:rPr>
            </w:pPr>
            <w:r>
              <w:rPr>
                <w:rFonts w:hint="eastAsia" w:ascii="宋体" w:hAnsi="宋体" w:eastAsia="宋体" w:cs="宋体"/>
                <w:sz w:val="18"/>
                <w:szCs w:val="18"/>
              </w:rPr>
              <w:t>-</w:t>
            </w:r>
          </w:p>
        </w:tc>
        <w:tc>
          <w:tcPr>
            <w:tcW w:w="720" w:type="dxa"/>
            <w:tcBorders>
              <w:top w:val="nil"/>
              <w:left w:val="nil"/>
              <w:bottom w:val="single" w:color="auto" w:sz="4" w:space="0"/>
              <w:right w:val="single" w:color="auto" w:sz="4" w:space="0"/>
            </w:tcBorders>
            <w:vAlign w:val="center"/>
          </w:tcPr>
          <w:p w14:paraId="12F03E69">
            <w:pPr>
              <w:jc w:val="center"/>
              <w:rPr>
                <w:rFonts w:hint="eastAsia" w:ascii="宋体" w:hAnsi="宋体" w:eastAsia="宋体" w:cs="宋体"/>
                <w:sz w:val="18"/>
                <w:szCs w:val="18"/>
              </w:rPr>
            </w:pPr>
            <w:r>
              <w:rPr>
                <w:rFonts w:hint="eastAsia" w:ascii="宋体" w:hAnsi="宋体" w:eastAsia="宋体" w:cs="宋体"/>
                <w:sz w:val="18"/>
                <w:szCs w:val="18"/>
              </w:rPr>
              <w:t>-</w:t>
            </w:r>
          </w:p>
        </w:tc>
      </w:tr>
      <w:tr w14:paraId="272BB217">
        <w:tblPrEx>
          <w:tblCellMar>
            <w:top w:w="0" w:type="dxa"/>
            <w:left w:w="108" w:type="dxa"/>
            <w:bottom w:w="0" w:type="dxa"/>
            <w:right w:w="108" w:type="dxa"/>
          </w:tblCellMar>
        </w:tblPrEx>
        <w:trPr>
          <w:trHeight w:val="341" w:hRule="atLeast"/>
        </w:trPr>
        <w:tc>
          <w:tcPr>
            <w:tcW w:w="993" w:type="dxa"/>
            <w:vMerge w:val="restart"/>
            <w:tcBorders>
              <w:top w:val="single" w:color="auto" w:sz="4" w:space="0"/>
              <w:left w:val="single" w:color="auto" w:sz="4" w:space="0"/>
              <w:bottom w:val="single" w:color="auto" w:sz="4" w:space="0"/>
              <w:right w:val="single" w:color="auto" w:sz="4" w:space="0"/>
            </w:tcBorders>
            <w:vAlign w:val="center"/>
          </w:tcPr>
          <w:p w14:paraId="2B6DC588">
            <w:pPr>
              <w:jc w:val="center"/>
              <w:rPr>
                <w:rFonts w:hint="eastAsia" w:ascii="宋体" w:hAnsi="宋体" w:eastAsia="宋体" w:cs="宋体"/>
                <w:b/>
                <w:bCs/>
                <w:sz w:val="18"/>
                <w:szCs w:val="18"/>
              </w:rPr>
            </w:pPr>
            <w:r>
              <w:rPr>
                <w:rFonts w:hint="eastAsia" w:ascii="宋体" w:hAnsi="宋体" w:eastAsia="宋体" w:cs="宋体"/>
                <w:b/>
                <w:bCs/>
                <w:sz w:val="18"/>
                <w:szCs w:val="18"/>
              </w:rPr>
              <w:t>年度总体目标</w:t>
            </w:r>
          </w:p>
        </w:tc>
        <w:tc>
          <w:tcPr>
            <w:tcW w:w="4111" w:type="dxa"/>
            <w:gridSpan w:val="3"/>
            <w:tcBorders>
              <w:top w:val="single" w:color="auto" w:sz="4" w:space="0"/>
              <w:left w:val="nil"/>
              <w:bottom w:val="single" w:color="auto" w:sz="4" w:space="0"/>
              <w:right w:val="single" w:color="auto" w:sz="4" w:space="0"/>
            </w:tcBorders>
            <w:noWrap/>
            <w:vAlign w:val="center"/>
          </w:tcPr>
          <w:p w14:paraId="2D3FAEF3">
            <w:pPr>
              <w:jc w:val="center"/>
              <w:rPr>
                <w:rFonts w:hint="eastAsia" w:ascii="宋体" w:hAnsi="宋体" w:eastAsia="宋体" w:cs="宋体"/>
                <w:b/>
                <w:bCs/>
                <w:sz w:val="18"/>
                <w:szCs w:val="18"/>
              </w:rPr>
            </w:pPr>
            <w:r>
              <w:rPr>
                <w:rFonts w:hint="eastAsia" w:ascii="宋体" w:hAnsi="宋体" w:eastAsia="宋体" w:cs="宋体"/>
                <w:b/>
                <w:bCs/>
                <w:sz w:val="18"/>
                <w:szCs w:val="18"/>
              </w:rPr>
              <w:t>预期目标</w:t>
            </w:r>
          </w:p>
        </w:tc>
        <w:tc>
          <w:tcPr>
            <w:tcW w:w="4547" w:type="dxa"/>
            <w:gridSpan w:val="4"/>
            <w:tcBorders>
              <w:top w:val="single" w:color="auto" w:sz="4" w:space="0"/>
              <w:left w:val="nil"/>
              <w:bottom w:val="single" w:color="auto" w:sz="4" w:space="0"/>
              <w:right w:val="single" w:color="auto" w:sz="4" w:space="0"/>
            </w:tcBorders>
            <w:noWrap/>
            <w:vAlign w:val="center"/>
          </w:tcPr>
          <w:p w14:paraId="7F27711F">
            <w:pPr>
              <w:jc w:val="center"/>
              <w:rPr>
                <w:rFonts w:hint="eastAsia" w:ascii="宋体" w:hAnsi="宋体" w:eastAsia="宋体" w:cs="宋体"/>
                <w:b/>
                <w:bCs/>
                <w:sz w:val="18"/>
                <w:szCs w:val="18"/>
              </w:rPr>
            </w:pPr>
            <w:r>
              <w:rPr>
                <w:rFonts w:hint="eastAsia" w:ascii="宋体" w:hAnsi="宋体" w:eastAsia="宋体" w:cs="宋体"/>
                <w:b/>
                <w:bCs/>
                <w:sz w:val="18"/>
                <w:szCs w:val="18"/>
              </w:rPr>
              <w:t>实际完成情况</w:t>
            </w:r>
          </w:p>
        </w:tc>
      </w:tr>
      <w:tr w14:paraId="47A34E69">
        <w:tblPrEx>
          <w:tblCellMar>
            <w:top w:w="0" w:type="dxa"/>
            <w:left w:w="108" w:type="dxa"/>
            <w:bottom w:w="0" w:type="dxa"/>
            <w:right w:w="108" w:type="dxa"/>
          </w:tblCellMar>
        </w:tblPrEx>
        <w:trPr>
          <w:trHeight w:val="705" w:hRule="atLeast"/>
        </w:trPr>
        <w:tc>
          <w:tcPr>
            <w:tcW w:w="993" w:type="dxa"/>
            <w:vMerge w:val="continue"/>
            <w:tcBorders>
              <w:top w:val="single" w:color="auto" w:sz="4" w:space="0"/>
              <w:left w:val="single" w:color="auto" w:sz="4" w:space="0"/>
              <w:bottom w:val="single" w:color="auto" w:sz="4" w:space="0"/>
              <w:right w:val="single" w:color="auto" w:sz="4" w:space="0"/>
            </w:tcBorders>
            <w:vAlign w:val="center"/>
          </w:tcPr>
          <w:p w14:paraId="525BF1B3">
            <w:pPr>
              <w:rPr>
                <w:rFonts w:hint="eastAsia" w:ascii="宋体" w:hAnsi="宋体" w:eastAsia="宋体" w:cs="宋体"/>
                <w:b/>
                <w:bCs/>
                <w:sz w:val="18"/>
                <w:szCs w:val="18"/>
              </w:rPr>
            </w:pPr>
          </w:p>
        </w:tc>
        <w:tc>
          <w:tcPr>
            <w:tcW w:w="4111" w:type="dxa"/>
            <w:gridSpan w:val="3"/>
            <w:tcBorders>
              <w:top w:val="single" w:color="auto" w:sz="4" w:space="0"/>
              <w:left w:val="nil"/>
              <w:bottom w:val="single" w:color="auto" w:sz="4" w:space="0"/>
              <w:right w:val="single" w:color="auto" w:sz="4" w:space="0"/>
            </w:tcBorders>
          </w:tcPr>
          <w:p w14:paraId="2C543599">
            <w:pPr>
              <w:rPr>
                <w:rFonts w:hint="eastAsia" w:ascii="宋体" w:hAnsi="宋体" w:eastAsia="宋体" w:cs="宋体"/>
                <w:sz w:val="18"/>
                <w:szCs w:val="18"/>
                <w:lang w:eastAsia="zh-CN"/>
              </w:rPr>
            </w:pPr>
            <w:r>
              <w:rPr>
                <w:rFonts w:hint="eastAsia" w:ascii="宋体" w:hAnsi="宋体" w:eastAsia="宋体" w:cs="宋体"/>
                <w:sz w:val="18"/>
                <w:szCs w:val="18"/>
                <w:lang w:eastAsia="zh-CN"/>
              </w:rPr>
              <w:t>中共乌鲁木齐市米东区委员会党校（简称“区委党校”）为米东区委下属的正科级全额拨款事业单位，于2006年在米东区成立机构。部门主要职责为：1、坚持理论联系实际，培养忠诚于马克思主义德才兼备的党员领导干部和理论人才。轮训各级领导干部，培训意识形态部门的领导干部和理论骨干，协同组织人事部门对学员在校期间进行考核、考察；2、做好上级部门下达的宣传及培训任务及相关项目的业务开展，按时完成对各级各类培训班的主办及协办工作。主要职能：坚持理论联系实际，培养忠诚于马克思主义德才兼备的党员领导干部和理论人才。轮训各级领导干部，培训意识形态部门的领导干部和理论骨干，协同组织人事部门对学员在校期间进行考核、考察；围绕国际、国内出现的新情况、新问题开展科学研究；宣传马列主义、毛泽东思想、邓小平理论和党的路线、方针、政策。工作目标：1、完成区委下达的培训任务；2、完成主体班次的培训目标；3、做好科研决策咨询；4、完成区委安排的其他工作任务。</w:t>
            </w:r>
          </w:p>
        </w:tc>
        <w:tc>
          <w:tcPr>
            <w:tcW w:w="4547" w:type="dxa"/>
            <w:gridSpan w:val="4"/>
            <w:tcBorders>
              <w:top w:val="single" w:color="auto" w:sz="4" w:space="0"/>
              <w:left w:val="nil"/>
              <w:bottom w:val="single" w:color="auto" w:sz="4" w:space="0"/>
              <w:right w:val="single" w:color="auto" w:sz="4" w:space="0"/>
            </w:tcBorders>
          </w:tcPr>
          <w:p w14:paraId="3598F2B1">
            <w:pPr>
              <w:rPr>
                <w:rFonts w:hint="eastAsia" w:ascii="宋体" w:hAnsi="宋体" w:eastAsia="宋体" w:cs="宋体"/>
                <w:sz w:val="18"/>
                <w:szCs w:val="18"/>
                <w:lang w:eastAsia="zh-CN"/>
              </w:rPr>
            </w:pPr>
            <w:r>
              <w:rPr>
                <w:rFonts w:hint="eastAsia" w:ascii="宋体" w:hAnsi="宋体" w:eastAsia="宋体" w:cs="宋体"/>
                <w:sz w:val="18"/>
                <w:szCs w:val="18"/>
                <w:lang w:eastAsia="zh-CN"/>
              </w:rPr>
              <w:t>1、全年完成主体班次培训5类；2、全年已完成上级安排的培训目标任务；3、完成科研决策报告一篇。</w:t>
            </w:r>
          </w:p>
        </w:tc>
      </w:tr>
      <w:tr w14:paraId="6AAD7F4B">
        <w:tblPrEx>
          <w:tblCellMar>
            <w:top w:w="0" w:type="dxa"/>
            <w:left w:w="108" w:type="dxa"/>
            <w:bottom w:w="0" w:type="dxa"/>
            <w:right w:w="108" w:type="dxa"/>
          </w:tblCellMar>
        </w:tblPrEx>
        <w:trPr>
          <w:trHeight w:val="716" w:hRule="atLeast"/>
        </w:trPr>
        <w:tc>
          <w:tcPr>
            <w:tcW w:w="993" w:type="dxa"/>
            <w:tcBorders>
              <w:top w:val="single" w:color="auto" w:sz="4" w:space="0"/>
              <w:left w:val="single" w:color="auto" w:sz="4" w:space="0"/>
              <w:bottom w:val="single" w:color="auto" w:sz="4" w:space="0"/>
              <w:right w:val="single" w:color="auto" w:sz="4" w:space="0"/>
            </w:tcBorders>
            <w:vAlign w:val="center"/>
          </w:tcPr>
          <w:p w14:paraId="5F03F160">
            <w:pPr>
              <w:jc w:val="center"/>
              <w:rPr>
                <w:rFonts w:hint="eastAsia" w:ascii="宋体" w:hAnsi="宋体" w:eastAsia="宋体" w:cs="宋体"/>
                <w:b/>
                <w:bCs/>
                <w:sz w:val="18"/>
                <w:szCs w:val="18"/>
              </w:rPr>
            </w:pPr>
            <w:r>
              <w:rPr>
                <w:rFonts w:hint="eastAsia" w:ascii="宋体" w:hAnsi="宋体" w:eastAsia="宋体" w:cs="宋体"/>
                <w:b/>
                <w:bCs/>
                <w:sz w:val="18"/>
                <w:szCs w:val="18"/>
              </w:rPr>
              <w:t>一级指标</w:t>
            </w:r>
          </w:p>
        </w:tc>
        <w:tc>
          <w:tcPr>
            <w:tcW w:w="1417" w:type="dxa"/>
            <w:tcBorders>
              <w:top w:val="nil"/>
              <w:left w:val="nil"/>
              <w:bottom w:val="single" w:color="auto" w:sz="4" w:space="0"/>
              <w:right w:val="single" w:color="auto" w:sz="4" w:space="0"/>
            </w:tcBorders>
            <w:vAlign w:val="center"/>
          </w:tcPr>
          <w:p w14:paraId="354FEAE9">
            <w:pPr>
              <w:jc w:val="center"/>
              <w:rPr>
                <w:rFonts w:hint="eastAsia" w:ascii="宋体" w:hAnsi="宋体" w:eastAsia="宋体" w:cs="宋体"/>
                <w:b/>
                <w:bCs/>
                <w:sz w:val="18"/>
                <w:szCs w:val="18"/>
              </w:rPr>
            </w:pPr>
            <w:r>
              <w:rPr>
                <w:rFonts w:hint="eastAsia" w:ascii="宋体" w:hAnsi="宋体" w:eastAsia="宋体" w:cs="宋体"/>
                <w:b/>
                <w:bCs/>
                <w:sz w:val="18"/>
                <w:szCs w:val="18"/>
              </w:rPr>
              <w:t>二级指标</w:t>
            </w:r>
          </w:p>
        </w:tc>
        <w:tc>
          <w:tcPr>
            <w:tcW w:w="1418" w:type="dxa"/>
            <w:tcBorders>
              <w:top w:val="nil"/>
              <w:left w:val="nil"/>
              <w:bottom w:val="single" w:color="auto" w:sz="4" w:space="0"/>
              <w:right w:val="single" w:color="auto" w:sz="4" w:space="0"/>
            </w:tcBorders>
            <w:vAlign w:val="center"/>
          </w:tcPr>
          <w:p w14:paraId="55F3A9DC">
            <w:pPr>
              <w:jc w:val="center"/>
              <w:rPr>
                <w:rFonts w:hint="eastAsia" w:ascii="宋体" w:hAnsi="宋体" w:eastAsia="宋体" w:cs="宋体"/>
                <w:b/>
                <w:bCs/>
                <w:sz w:val="18"/>
                <w:szCs w:val="18"/>
              </w:rPr>
            </w:pPr>
            <w:r>
              <w:rPr>
                <w:rFonts w:hint="eastAsia" w:ascii="宋体" w:hAnsi="宋体" w:eastAsia="宋体" w:cs="宋体"/>
                <w:b/>
                <w:bCs/>
                <w:sz w:val="18"/>
                <w:szCs w:val="18"/>
              </w:rPr>
              <w:t>三级指标</w:t>
            </w:r>
          </w:p>
        </w:tc>
        <w:tc>
          <w:tcPr>
            <w:tcW w:w="1276" w:type="dxa"/>
            <w:tcBorders>
              <w:top w:val="nil"/>
              <w:left w:val="nil"/>
              <w:bottom w:val="single" w:color="auto" w:sz="4" w:space="0"/>
              <w:right w:val="single" w:color="auto" w:sz="4" w:space="0"/>
            </w:tcBorders>
            <w:vAlign w:val="center"/>
          </w:tcPr>
          <w:p w14:paraId="7FC8461E">
            <w:pPr>
              <w:jc w:val="center"/>
              <w:rPr>
                <w:rFonts w:hint="eastAsia" w:ascii="宋体" w:hAnsi="宋体" w:eastAsia="宋体" w:cs="宋体"/>
                <w:b/>
                <w:bCs/>
                <w:sz w:val="18"/>
                <w:szCs w:val="18"/>
              </w:rPr>
            </w:pPr>
            <w:r>
              <w:rPr>
                <w:rFonts w:hint="eastAsia" w:ascii="宋体" w:hAnsi="宋体" w:eastAsia="宋体" w:cs="宋体"/>
                <w:b/>
                <w:bCs/>
                <w:sz w:val="18"/>
                <w:szCs w:val="18"/>
              </w:rPr>
              <w:t>预期指标值</w:t>
            </w:r>
          </w:p>
        </w:tc>
        <w:tc>
          <w:tcPr>
            <w:tcW w:w="1701" w:type="dxa"/>
            <w:tcBorders>
              <w:top w:val="nil"/>
              <w:left w:val="nil"/>
              <w:bottom w:val="single" w:color="auto" w:sz="4" w:space="0"/>
              <w:right w:val="single" w:color="auto" w:sz="4" w:space="0"/>
            </w:tcBorders>
            <w:vAlign w:val="center"/>
          </w:tcPr>
          <w:p w14:paraId="4136EE00">
            <w:pPr>
              <w:jc w:val="center"/>
              <w:rPr>
                <w:rFonts w:hint="eastAsia" w:ascii="宋体" w:hAnsi="宋体" w:eastAsia="宋体" w:cs="宋体"/>
                <w:b/>
                <w:bCs/>
                <w:sz w:val="18"/>
                <w:szCs w:val="18"/>
              </w:rPr>
            </w:pPr>
            <w:r>
              <w:rPr>
                <w:rFonts w:hint="eastAsia" w:ascii="宋体" w:hAnsi="宋体" w:eastAsia="宋体" w:cs="宋体"/>
                <w:b/>
                <w:bCs/>
                <w:sz w:val="18"/>
                <w:szCs w:val="18"/>
              </w:rPr>
              <w:t>指标值设定依据</w:t>
            </w:r>
          </w:p>
        </w:tc>
        <w:tc>
          <w:tcPr>
            <w:tcW w:w="1134" w:type="dxa"/>
            <w:tcBorders>
              <w:top w:val="nil"/>
              <w:left w:val="nil"/>
              <w:bottom w:val="single" w:color="auto" w:sz="4" w:space="0"/>
              <w:right w:val="single" w:color="auto" w:sz="4" w:space="0"/>
            </w:tcBorders>
            <w:vAlign w:val="center"/>
          </w:tcPr>
          <w:p w14:paraId="73554EA3">
            <w:pPr>
              <w:jc w:val="center"/>
              <w:rPr>
                <w:rFonts w:hint="eastAsia" w:ascii="宋体" w:hAnsi="宋体" w:eastAsia="宋体" w:cs="宋体"/>
                <w:b/>
                <w:bCs/>
                <w:sz w:val="18"/>
                <w:szCs w:val="18"/>
              </w:rPr>
            </w:pPr>
            <w:r>
              <w:rPr>
                <w:rFonts w:hint="eastAsia" w:ascii="宋体" w:hAnsi="宋体" w:eastAsia="宋体" w:cs="宋体"/>
                <w:b/>
                <w:bCs/>
                <w:sz w:val="18"/>
                <w:szCs w:val="18"/>
              </w:rPr>
              <w:t>实际完成指标值</w:t>
            </w:r>
          </w:p>
        </w:tc>
        <w:tc>
          <w:tcPr>
            <w:tcW w:w="992" w:type="dxa"/>
            <w:tcBorders>
              <w:top w:val="nil"/>
              <w:left w:val="nil"/>
              <w:bottom w:val="single" w:color="auto" w:sz="4" w:space="0"/>
              <w:right w:val="single" w:color="auto" w:sz="4" w:space="0"/>
            </w:tcBorders>
            <w:vAlign w:val="center"/>
          </w:tcPr>
          <w:p w14:paraId="2AB6BED9">
            <w:pPr>
              <w:jc w:val="center"/>
              <w:rPr>
                <w:rFonts w:hint="eastAsia" w:ascii="宋体" w:hAnsi="宋体" w:eastAsia="宋体" w:cs="宋体"/>
                <w:b/>
                <w:bCs/>
                <w:sz w:val="18"/>
                <w:szCs w:val="18"/>
              </w:rPr>
            </w:pPr>
            <w:r>
              <w:rPr>
                <w:rFonts w:hint="eastAsia" w:ascii="宋体" w:hAnsi="宋体" w:eastAsia="宋体" w:cs="宋体"/>
                <w:b/>
                <w:bCs/>
                <w:sz w:val="18"/>
                <w:szCs w:val="18"/>
              </w:rPr>
              <w:t>分值权重</w:t>
            </w:r>
          </w:p>
        </w:tc>
        <w:tc>
          <w:tcPr>
            <w:tcW w:w="720" w:type="dxa"/>
            <w:tcBorders>
              <w:top w:val="nil"/>
              <w:left w:val="nil"/>
              <w:bottom w:val="single" w:color="auto" w:sz="4" w:space="0"/>
              <w:right w:val="single" w:color="auto" w:sz="4" w:space="0"/>
            </w:tcBorders>
            <w:vAlign w:val="center"/>
          </w:tcPr>
          <w:p w14:paraId="3FC45995">
            <w:pPr>
              <w:jc w:val="center"/>
              <w:rPr>
                <w:rFonts w:hint="eastAsia" w:ascii="宋体" w:hAnsi="宋体" w:eastAsia="宋体" w:cs="宋体"/>
                <w:b/>
                <w:bCs/>
                <w:sz w:val="18"/>
                <w:szCs w:val="18"/>
              </w:rPr>
            </w:pPr>
            <w:r>
              <w:rPr>
                <w:rFonts w:hint="eastAsia" w:ascii="宋体" w:hAnsi="宋体" w:eastAsia="宋体" w:cs="宋体"/>
                <w:b/>
                <w:bCs/>
                <w:sz w:val="18"/>
                <w:szCs w:val="18"/>
              </w:rPr>
              <w:t>得分</w:t>
            </w:r>
          </w:p>
        </w:tc>
      </w:tr>
      <w:tr w14:paraId="003064A1">
        <w:tblPrEx>
          <w:tblCellMar>
            <w:top w:w="0" w:type="dxa"/>
            <w:left w:w="108" w:type="dxa"/>
            <w:bottom w:w="0" w:type="dxa"/>
            <w:right w:w="108" w:type="dxa"/>
          </w:tblCellMar>
        </w:tblPrEx>
        <w:trPr>
          <w:trHeight w:val="740" w:hRule="atLeast"/>
        </w:trPr>
        <w:tc>
          <w:tcPr>
            <w:tcW w:w="993" w:type="dxa"/>
            <w:vMerge w:val="restart"/>
            <w:tcBorders>
              <w:top w:val="single" w:color="auto" w:sz="4" w:space="0"/>
              <w:left w:val="single" w:color="auto" w:sz="4" w:space="0"/>
              <w:right w:val="single" w:color="auto" w:sz="4" w:space="0"/>
            </w:tcBorders>
            <w:noWrap/>
            <w:vAlign w:val="center"/>
          </w:tcPr>
          <w:p w14:paraId="1CF95C1B">
            <w:pPr>
              <w:jc w:val="center"/>
              <w:rPr>
                <w:rFonts w:hint="eastAsia" w:ascii="宋体" w:hAnsi="宋体" w:eastAsia="宋体" w:cs="宋体"/>
                <w:sz w:val="18"/>
                <w:szCs w:val="18"/>
              </w:rPr>
            </w:pPr>
            <w:r>
              <w:rPr>
                <w:rFonts w:hint="eastAsia" w:ascii="宋体" w:hAnsi="宋体" w:eastAsia="宋体" w:cs="宋体"/>
                <w:sz w:val="18"/>
                <w:szCs w:val="18"/>
              </w:rPr>
              <w:t>履职效能</w:t>
            </w:r>
          </w:p>
        </w:tc>
        <w:tc>
          <w:tcPr>
            <w:tcW w:w="1417" w:type="dxa"/>
            <w:tcBorders>
              <w:top w:val="nil"/>
              <w:left w:val="nil"/>
              <w:bottom w:val="single" w:color="auto" w:sz="4" w:space="0"/>
              <w:right w:val="single" w:color="auto" w:sz="4" w:space="0"/>
            </w:tcBorders>
            <w:noWrap/>
            <w:vAlign w:val="center"/>
          </w:tcPr>
          <w:p w14:paraId="254F34F4">
            <w:pPr>
              <w:jc w:val="center"/>
              <w:rPr>
                <w:rFonts w:hint="eastAsia" w:ascii="宋体" w:hAnsi="宋体" w:eastAsia="宋体" w:cs="宋体"/>
                <w:sz w:val="18"/>
                <w:szCs w:val="18"/>
              </w:rPr>
            </w:pPr>
            <w:r>
              <w:rPr>
                <w:rFonts w:hint="eastAsia" w:ascii="宋体" w:hAnsi="宋体" w:eastAsia="宋体" w:cs="宋体"/>
                <w:sz w:val="18"/>
                <w:szCs w:val="18"/>
              </w:rPr>
              <w:t>质量指标</w:t>
            </w:r>
          </w:p>
        </w:tc>
        <w:tc>
          <w:tcPr>
            <w:tcW w:w="1418" w:type="dxa"/>
            <w:tcBorders>
              <w:top w:val="nil"/>
              <w:left w:val="nil"/>
              <w:bottom w:val="single" w:color="auto" w:sz="4" w:space="0"/>
              <w:right w:val="single" w:color="auto" w:sz="4" w:space="0"/>
            </w:tcBorders>
            <w:noWrap/>
            <w:vAlign w:val="center"/>
          </w:tcPr>
          <w:p w14:paraId="6AAF3082">
            <w:pPr>
              <w:jc w:val="center"/>
              <w:rPr>
                <w:rFonts w:hint="eastAsia" w:ascii="宋体" w:hAnsi="宋体" w:eastAsia="宋体" w:cs="宋体"/>
                <w:sz w:val="18"/>
                <w:szCs w:val="18"/>
                <w:lang w:eastAsia="zh-CN"/>
              </w:rPr>
            </w:pPr>
            <w:r>
              <w:rPr>
                <w:rFonts w:hint="eastAsia" w:ascii="宋体" w:hAnsi="宋体" w:eastAsia="宋体" w:cs="宋体"/>
                <w:sz w:val="18"/>
                <w:szCs w:val="18"/>
                <w:lang w:eastAsia="zh-CN"/>
              </w:rPr>
              <w:t>领导干部讲课总课时占主体班次总课时的比例</w:t>
            </w:r>
          </w:p>
        </w:tc>
        <w:tc>
          <w:tcPr>
            <w:tcW w:w="1276" w:type="dxa"/>
            <w:tcBorders>
              <w:top w:val="nil"/>
              <w:left w:val="nil"/>
              <w:bottom w:val="single" w:color="auto" w:sz="4" w:space="0"/>
              <w:right w:val="single" w:color="auto" w:sz="4" w:space="0"/>
            </w:tcBorders>
            <w:noWrap/>
            <w:vAlign w:val="center"/>
          </w:tcPr>
          <w:p w14:paraId="5DE4CA16">
            <w:pPr>
              <w:jc w:val="center"/>
              <w:rPr>
                <w:rFonts w:hint="eastAsia" w:ascii="宋体" w:hAnsi="宋体" w:eastAsia="宋体" w:cs="宋体"/>
                <w:sz w:val="18"/>
                <w:szCs w:val="18"/>
              </w:rPr>
            </w:pPr>
            <w:r>
              <w:rPr>
                <w:rFonts w:hint="eastAsia" w:ascii="宋体" w:hAnsi="宋体" w:eastAsia="宋体" w:cs="宋体"/>
                <w:sz w:val="18"/>
                <w:szCs w:val="18"/>
              </w:rPr>
              <w:t>&gt;=20%</w:t>
            </w:r>
          </w:p>
        </w:tc>
        <w:tc>
          <w:tcPr>
            <w:tcW w:w="1701" w:type="dxa"/>
            <w:tcBorders>
              <w:top w:val="nil"/>
              <w:left w:val="nil"/>
              <w:bottom w:val="single" w:color="auto" w:sz="4" w:space="0"/>
              <w:right w:val="single" w:color="auto" w:sz="4" w:space="0"/>
            </w:tcBorders>
            <w:noWrap/>
            <w:vAlign w:val="center"/>
          </w:tcPr>
          <w:p w14:paraId="2D29862F">
            <w:pPr>
              <w:rPr>
                <w:rFonts w:hint="eastAsia" w:ascii="宋体" w:hAnsi="宋体" w:eastAsia="宋体" w:cs="宋体"/>
                <w:sz w:val="18"/>
                <w:szCs w:val="18"/>
                <w:lang w:eastAsia="zh-CN"/>
              </w:rPr>
            </w:pPr>
            <w:r>
              <w:rPr>
                <w:rFonts w:hint="eastAsia" w:ascii="宋体" w:hAnsi="宋体" w:eastAsia="宋体" w:cs="宋体"/>
                <w:sz w:val="18"/>
                <w:szCs w:val="18"/>
                <w:lang w:eastAsia="zh-CN"/>
              </w:rPr>
              <w:t>《中国共产党党校（行政学院）工作条例》</w:t>
            </w:r>
          </w:p>
        </w:tc>
        <w:tc>
          <w:tcPr>
            <w:tcW w:w="1134" w:type="dxa"/>
            <w:tcBorders>
              <w:top w:val="nil"/>
              <w:left w:val="nil"/>
              <w:bottom w:val="single" w:color="auto" w:sz="4" w:space="0"/>
              <w:right w:val="single" w:color="auto" w:sz="4" w:space="0"/>
            </w:tcBorders>
            <w:noWrap/>
            <w:vAlign w:val="center"/>
          </w:tcPr>
          <w:p w14:paraId="2D0D8AE6">
            <w:pPr>
              <w:jc w:val="center"/>
              <w:rPr>
                <w:rFonts w:hint="eastAsia" w:ascii="宋体" w:hAnsi="宋体" w:eastAsia="宋体" w:cs="宋体"/>
                <w:sz w:val="18"/>
                <w:szCs w:val="18"/>
              </w:rPr>
            </w:pPr>
            <w:r>
              <w:rPr>
                <w:rFonts w:hint="eastAsia" w:ascii="宋体" w:hAnsi="宋体" w:eastAsia="宋体" w:cs="宋体"/>
                <w:sz w:val="18"/>
                <w:szCs w:val="18"/>
              </w:rPr>
              <w:t>20%</w:t>
            </w:r>
          </w:p>
        </w:tc>
        <w:tc>
          <w:tcPr>
            <w:tcW w:w="992" w:type="dxa"/>
            <w:tcBorders>
              <w:top w:val="nil"/>
              <w:left w:val="nil"/>
              <w:bottom w:val="single" w:color="auto" w:sz="4" w:space="0"/>
              <w:right w:val="single" w:color="auto" w:sz="4" w:space="0"/>
            </w:tcBorders>
            <w:noWrap/>
            <w:vAlign w:val="center"/>
          </w:tcPr>
          <w:p w14:paraId="7B965A84">
            <w:pPr>
              <w:jc w:val="center"/>
              <w:rPr>
                <w:rFonts w:hint="eastAsia" w:ascii="宋体" w:hAnsi="宋体" w:eastAsia="宋体" w:cs="宋体"/>
                <w:sz w:val="18"/>
                <w:szCs w:val="18"/>
              </w:rPr>
            </w:pPr>
            <w:r>
              <w:rPr>
                <w:rFonts w:hint="eastAsia" w:ascii="宋体" w:hAnsi="宋体" w:eastAsia="宋体" w:cs="宋体"/>
                <w:sz w:val="18"/>
                <w:szCs w:val="18"/>
              </w:rPr>
              <w:t>30</w:t>
            </w:r>
          </w:p>
        </w:tc>
        <w:tc>
          <w:tcPr>
            <w:tcW w:w="720" w:type="dxa"/>
            <w:tcBorders>
              <w:top w:val="nil"/>
              <w:left w:val="nil"/>
              <w:bottom w:val="single" w:color="auto" w:sz="4" w:space="0"/>
              <w:right w:val="single" w:color="auto" w:sz="4" w:space="0"/>
            </w:tcBorders>
            <w:noWrap/>
            <w:vAlign w:val="center"/>
          </w:tcPr>
          <w:p w14:paraId="521B664C">
            <w:pPr>
              <w:jc w:val="center"/>
              <w:rPr>
                <w:rFonts w:hint="eastAsia" w:ascii="宋体" w:hAnsi="宋体" w:eastAsia="宋体" w:cs="宋体"/>
                <w:sz w:val="18"/>
                <w:szCs w:val="18"/>
              </w:rPr>
            </w:pPr>
            <w:r>
              <w:rPr>
                <w:rFonts w:hint="eastAsia" w:ascii="宋体" w:hAnsi="宋体" w:eastAsia="宋体" w:cs="宋体"/>
                <w:sz w:val="18"/>
                <w:szCs w:val="18"/>
              </w:rPr>
              <w:t>30</w:t>
            </w:r>
          </w:p>
        </w:tc>
      </w:tr>
      <w:tr w14:paraId="485DC897">
        <w:tblPrEx>
          <w:tblCellMar>
            <w:top w:w="0" w:type="dxa"/>
            <w:left w:w="108" w:type="dxa"/>
            <w:bottom w:w="0" w:type="dxa"/>
            <w:right w:w="108" w:type="dxa"/>
          </w:tblCellMar>
        </w:tblPrEx>
        <w:trPr>
          <w:trHeight w:val="740" w:hRule="atLeast"/>
        </w:trPr>
        <w:tc>
          <w:tcPr>
            <w:tcW w:w="993" w:type="dxa"/>
            <w:vMerge w:val="continue"/>
            <w:tcBorders>
              <w:left w:val="single" w:color="auto" w:sz="4" w:space="0"/>
              <w:right w:val="single" w:color="auto" w:sz="4" w:space="0"/>
            </w:tcBorders>
            <w:noWrap/>
            <w:vAlign w:val="center"/>
          </w:tcPr>
          <w:p w14:paraId="5B9120FF">
            <w:pPr>
              <w:jc w:val="center"/>
              <w:rPr>
                <w:rFonts w:hint="eastAsia" w:ascii="宋体" w:hAnsi="宋体" w:eastAsia="宋体" w:cs="宋体"/>
                <w:sz w:val="18"/>
                <w:szCs w:val="18"/>
              </w:rPr>
            </w:pPr>
          </w:p>
        </w:tc>
        <w:tc>
          <w:tcPr>
            <w:tcW w:w="1417" w:type="dxa"/>
            <w:vMerge w:val="restart"/>
            <w:tcBorders>
              <w:top w:val="nil"/>
              <w:left w:val="nil"/>
              <w:right w:val="single" w:color="auto" w:sz="4" w:space="0"/>
            </w:tcBorders>
            <w:noWrap/>
            <w:vAlign w:val="center"/>
          </w:tcPr>
          <w:p w14:paraId="69ABAC6E">
            <w:pPr>
              <w:jc w:val="center"/>
              <w:rPr>
                <w:rFonts w:hint="eastAsia" w:ascii="宋体" w:hAnsi="宋体" w:eastAsia="宋体" w:cs="宋体"/>
                <w:sz w:val="18"/>
                <w:szCs w:val="18"/>
              </w:rPr>
            </w:pPr>
            <w:r>
              <w:rPr>
                <w:rFonts w:hint="eastAsia" w:ascii="宋体" w:hAnsi="宋体" w:eastAsia="宋体" w:cs="宋体"/>
                <w:sz w:val="18"/>
                <w:szCs w:val="18"/>
              </w:rPr>
              <w:t>数量指标</w:t>
            </w:r>
          </w:p>
        </w:tc>
        <w:tc>
          <w:tcPr>
            <w:tcW w:w="1418" w:type="dxa"/>
            <w:tcBorders>
              <w:top w:val="nil"/>
              <w:left w:val="nil"/>
              <w:bottom w:val="single" w:color="auto" w:sz="4" w:space="0"/>
              <w:right w:val="single" w:color="auto" w:sz="4" w:space="0"/>
            </w:tcBorders>
            <w:noWrap/>
            <w:vAlign w:val="center"/>
          </w:tcPr>
          <w:p w14:paraId="7A02DF5C">
            <w:pPr>
              <w:jc w:val="center"/>
              <w:rPr>
                <w:rFonts w:hint="eastAsia" w:ascii="宋体" w:hAnsi="宋体" w:eastAsia="宋体" w:cs="宋体"/>
                <w:sz w:val="18"/>
                <w:szCs w:val="18"/>
              </w:rPr>
            </w:pPr>
            <w:r>
              <w:rPr>
                <w:rFonts w:hint="eastAsia" w:ascii="宋体" w:hAnsi="宋体" w:eastAsia="宋体" w:cs="宋体"/>
                <w:sz w:val="18"/>
                <w:szCs w:val="18"/>
              </w:rPr>
              <w:t>主体班次数量</w:t>
            </w:r>
          </w:p>
        </w:tc>
        <w:tc>
          <w:tcPr>
            <w:tcW w:w="1276" w:type="dxa"/>
            <w:tcBorders>
              <w:top w:val="nil"/>
              <w:left w:val="nil"/>
              <w:bottom w:val="single" w:color="auto" w:sz="4" w:space="0"/>
              <w:right w:val="single" w:color="auto" w:sz="4" w:space="0"/>
            </w:tcBorders>
            <w:noWrap/>
            <w:vAlign w:val="center"/>
          </w:tcPr>
          <w:p w14:paraId="5B3FBFBC">
            <w:pPr>
              <w:jc w:val="center"/>
              <w:rPr>
                <w:rFonts w:hint="eastAsia" w:ascii="宋体" w:hAnsi="宋体" w:eastAsia="宋体" w:cs="宋体"/>
                <w:sz w:val="18"/>
                <w:szCs w:val="18"/>
              </w:rPr>
            </w:pPr>
            <w:r>
              <w:rPr>
                <w:rFonts w:hint="eastAsia" w:ascii="宋体" w:hAnsi="宋体" w:eastAsia="宋体" w:cs="宋体"/>
                <w:sz w:val="18"/>
                <w:szCs w:val="18"/>
              </w:rPr>
              <w:t>&gt;=5类</w:t>
            </w:r>
          </w:p>
        </w:tc>
        <w:tc>
          <w:tcPr>
            <w:tcW w:w="1701" w:type="dxa"/>
            <w:tcBorders>
              <w:top w:val="nil"/>
              <w:left w:val="nil"/>
              <w:bottom w:val="single" w:color="auto" w:sz="4" w:space="0"/>
              <w:right w:val="single" w:color="auto" w:sz="4" w:space="0"/>
            </w:tcBorders>
            <w:noWrap/>
            <w:vAlign w:val="center"/>
          </w:tcPr>
          <w:p w14:paraId="37AB7E1E">
            <w:pPr>
              <w:rPr>
                <w:rFonts w:hint="eastAsia" w:ascii="宋体" w:hAnsi="宋体" w:eastAsia="宋体" w:cs="宋体"/>
                <w:sz w:val="18"/>
                <w:szCs w:val="18"/>
                <w:lang w:eastAsia="zh-CN"/>
              </w:rPr>
            </w:pPr>
            <w:r>
              <w:rPr>
                <w:rFonts w:hint="eastAsia" w:ascii="宋体" w:hAnsi="宋体" w:eastAsia="宋体" w:cs="宋体"/>
                <w:sz w:val="18"/>
                <w:szCs w:val="18"/>
                <w:lang w:eastAsia="zh-CN"/>
              </w:rPr>
              <w:t>《中国共产党党校（行政学院）工作条例》</w:t>
            </w:r>
          </w:p>
        </w:tc>
        <w:tc>
          <w:tcPr>
            <w:tcW w:w="1134" w:type="dxa"/>
            <w:tcBorders>
              <w:top w:val="nil"/>
              <w:left w:val="nil"/>
              <w:bottom w:val="single" w:color="auto" w:sz="4" w:space="0"/>
              <w:right w:val="single" w:color="auto" w:sz="4" w:space="0"/>
            </w:tcBorders>
            <w:noWrap/>
            <w:vAlign w:val="center"/>
          </w:tcPr>
          <w:p w14:paraId="4912112D">
            <w:pPr>
              <w:jc w:val="center"/>
              <w:rPr>
                <w:rFonts w:hint="eastAsia" w:ascii="宋体" w:hAnsi="宋体" w:eastAsia="宋体" w:cs="宋体"/>
                <w:sz w:val="18"/>
                <w:szCs w:val="18"/>
              </w:rPr>
            </w:pPr>
            <w:r>
              <w:rPr>
                <w:rFonts w:hint="eastAsia" w:ascii="宋体" w:hAnsi="宋体" w:eastAsia="宋体" w:cs="宋体"/>
                <w:sz w:val="18"/>
                <w:szCs w:val="18"/>
              </w:rPr>
              <w:t>5类</w:t>
            </w:r>
          </w:p>
        </w:tc>
        <w:tc>
          <w:tcPr>
            <w:tcW w:w="992" w:type="dxa"/>
            <w:tcBorders>
              <w:top w:val="nil"/>
              <w:left w:val="nil"/>
              <w:bottom w:val="single" w:color="auto" w:sz="4" w:space="0"/>
              <w:right w:val="single" w:color="auto" w:sz="4" w:space="0"/>
            </w:tcBorders>
            <w:noWrap/>
            <w:vAlign w:val="center"/>
          </w:tcPr>
          <w:p w14:paraId="5529C1BD">
            <w:pPr>
              <w:jc w:val="center"/>
              <w:rPr>
                <w:rFonts w:hint="eastAsia" w:ascii="宋体" w:hAnsi="宋体" w:eastAsia="宋体" w:cs="宋体"/>
                <w:sz w:val="18"/>
                <w:szCs w:val="18"/>
              </w:rPr>
            </w:pPr>
            <w:r>
              <w:rPr>
                <w:rFonts w:hint="eastAsia" w:ascii="宋体" w:hAnsi="宋体" w:eastAsia="宋体" w:cs="宋体"/>
                <w:sz w:val="18"/>
                <w:szCs w:val="18"/>
              </w:rPr>
              <w:t>30</w:t>
            </w:r>
          </w:p>
        </w:tc>
        <w:tc>
          <w:tcPr>
            <w:tcW w:w="720" w:type="dxa"/>
            <w:tcBorders>
              <w:top w:val="nil"/>
              <w:left w:val="nil"/>
              <w:bottom w:val="single" w:color="auto" w:sz="4" w:space="0"/>
              <w:right w:val="single" w:color="auto" w:sz="4" w:space="0"/>
            </w:tcBorders>
            <w:noWrap/>
            <w:vAlign w:val="center"/>
          </w:tcPr>
          <w:p w14:paraId="3DFA5A0F">
            <w:pPr>
              <w:jc w:val="center"/>
              <w:rPr>
                <w:rFonts w:hint="eastAsia" w:ascii="宋体" w:hAnsi="宋体" w:eastAsia="宋体" w:cs="宋体"/>
                <w:sz w:val="18"/>
                <w:szCs w:val="18"/>
              </w:rPr>
            </w:pPr>
            <w:r>
              <w:rPr>
                <w:rFonts w:hint="eastAsia" w:ascii="宋体" w:hAnsi="宋体" w:eastAsia="宋体" w:cs="宋体"/>
                <w:sz w:val="18"/>
                <w:szCs w:val="18"/>
              </w:rPr>
              <w:t>30</w:t>
            </w:r>
          </w:p>
        </w:tc>
      </w:tr>
      <w:tr w14:paraId="629B0A88">
        <w:tblPrEx>
          <w:tblCellMar>
            <w:top w:w="0" w:type="dxa"/>
            <w:left w:w="108" w:type="dxa"/>
            <w:bottom w:w="0" w:type="dxa"/>
            <w:right w:w="108" w:type="dxa"/>
          </w:tblCellMar>
        </w:tblPrEx>
        <w:trPr>
          <w:trHeight w:val="740" w:hRule="atLeast"/>
        </w:trPr>
        <w:tc>
          <w:tcPr>
            <w:tcW w:w="993" w:type="dxa"/>
            <w:vMerge w:val="continue"/>
            <w:tcBorders>
              <w:left w:val="single" w:color="auto" w:sz="4" w:space="0"/>
              <w:bottom w:val="single" w:color="auto" w:sz="4" w:space="0"/>
              <w:right w:val="single" w:color="auto" w:sz="4" w:space="0"/>
            </w:tcBorders>
            <w:noWrap/>
            <w:vAlign w:val="center"/>
          </w:tcPr>
          <w:p w14:paraId="50E52C36">
            <w:pPr>
              <w:jc w:val="center"/>
              <w:rPr>
                <w:rFonts w:hint="eastAsia" w:ascii="宋体" w:hAnsi="宋体" w:eastAsia="宋体" w:cs="宋体"/>
                <w:sz w:val="18"/>
                <w:szCs w:val="18"/>
              </w:rPr>
            </w:pPr>
          </w:p>
        </w:tc>
        <w:tc>
          <w:tcPr>
            <w:tcW w:w="1417" w:type="dxa"/>
            <w:vMerge w:val="continue"/>
            <w:tcBorders>
              <w:left w:val="nil"/>
              <w:bottom w:val="single" w:color="auto" w:sz="4" w:space="0"/>
              <w:right w:val="single" w:color="auto" w:sz="4" w:space="0"/>
            </w:tcBorders>
            <w:noWrap/>
            <w:vAlign w:val="center"/>
          </w:tcPr>
          <w:p w14:paraId="02DDE7EA">
            <w:pPr>
              <w:jc w:val="center"/>
              <w:rPr>
                <w:rFonts w:hint="eastAsia" w:ascii="宋体" w:hAnsi="宋体" w:eastAsia="宋体" w:cs="宋体"/>
                <w:sz w:val="18"/>
                <w:szCs w:val="18"/>
              </w:rPr>
            </w:pPr>
          </w:p>
        </w:tc>
        <w:tc>
          <w:tcPr>
            <w:tcW w:w="1418" w:type="dxa"/>
            <w:tcBorders>
              <w:top w:val="single" w:color="auto" w:sz="4" w:space="0"/>
              <w:left w:val="nil"/>
              <w:bottom w:val="single" w:color="auto" w:sz="4" w:space="0"/>
              <w:right w:val="single" w:color="auto" w:sz="4" w:space="0"/>
            </w:tcBorders>
            <w:noWrap/>
            <w:vAlign w:val="center"/>
          </w:tcPr>
          <w:p w14:paraId="1616BCC0">
            <w:pPr>
              <w:jc w:val="center"/>
              <w:rPr>
                <w:rFonts w:hint="eastAsia" w:ascii="宋体" w:hAnsi="宋体" w:eastAsia="宋体" w:cs="宋体"/>
                <w:sz w:val="18"/>
                <w:szCs w:val="18"/>
              </w:rPr>
            </w:pPr>
            <w:r>
              <w:rPr>
                <w:rFonts w:hint="eastAsia" w:ascii="宋体" w:hAnsi="宋体" w:eastAsia="宋体" w:cs="宋体"/>
                <w:sz w:val="18"/>
                <w:szCs w:val="18"/>
              </w:rPr>
              <w:t>调研报告、论文篇目</w:t>
            </w:r>
          </w:p>
        </w:tc>
        <w:tc>
          <w:tcPr>
            <w:tcW w:w="1276" w:type="dxa"/>
            <w:tcBorders>
              <w:top w:val="single" w:color="auto" w:sz="4" w:space="0"/>
              <w:left w:val="nil"/>
              <w:bottom w:val="single" w:color="auto" w:sz="4" w:space="0"/>
              <w:right w:val="single" w:color="auto" w:sz="4" w:space="0"/>
            </w:tcBorders>
            <w:noWrap/>
            <w:vAlign w:val="center"/>
          </w:tcPr>
          <w:p w14:paraId="0153C2D6">
            <w:pPr>
              <w:jc w:val="center"/>
              <w:rPr>
                <w:rFonts w:hint="eastAsia" w:ascii="宋体" w:hAnsi="宋体" w:eastAsia="宋体" w:cs="宋体"/>
                <w:sz w:val="18"/>
                <w:szCs w:val="18"/>
              </w:rPr>
            </w:pPr>
            <w:r>
              <w:rPr>
                <w:rFonts w:hint="eastAsia" w:ascii="宋体" w:hAnsi="宋体" w:eastAsia="宋体" w:cs="宋体"/>
                <w:sz w:val="18"/>
                <w:szCs w:val="18"/>
              </w:rPr>
              <w:t>&gt;=1篇</w:t>
            </w:r>
          </w:p>
        </w:tc>
        <w:tc>
          <w:tcPr>
            <w:tcW w:w="1701" w:type="dxa"/>
            <w:tcBorders>
              <w:top w:val="single" w:color="auto" w:sz="4" w:space="0"/>
              <w:left w:val="nil"/>
              <w:bottom w:val="single" w:color="auto" w:sz="4" w:space="0"/>
              <w:right w:val="single" w:color="auto" w:sz="4" w:space="0"/>
            </w:tcBorders>
            <w:noWrap/>
            <w:vAlign w:val="center"/>
          </w:tcPr>
          <w:p w14:paraId="05662EE3">
            <w:pPr>
              <w:rPr>
                <w:rFonts w:hint="eastAsia" w:ascii="宋体" w:hAnsi="宋体" w:eastAsia="宋体" w:cs="宋体"/>
                <w:sz w:val="18"/>
                <w:szCs w:val="18"/>
                <w:lang w:eastAsia="zh-CN"/>
              </w:rPr>
            </w:pPr>
            <w:r>
              <w:rPr>
                <w:rFonts w:hint="eastAsia" w:ascii="宋体" w:hAnsi="宋体" w:eastAsia="宋体" w:cs="宋体"/>
                <w:sz w:val="18"/>
                <w:szCs w:val="18"/>
                <w:lang w:eastAsia="zh-CN"/>
              </w:rPr>
              <w:t>《中国共产党党校（行政学院）工作条例》</w:t>
            </w:r>
          </w:p>
        </w:tc>
        <w:tc>
          <w:tcPr>
            <w:tcW w:w="1134" w:type="dxa"/>
            <w:tcBorders>
              <w:top w:val="single" w:color="auto" w:sz="4" w:space="0"/>
              <w:left w:val="nil"/>
              <w:bottom w:val="single" w:color="auto" w:sz="4" w:space="0"/>
              <w:right w:val="single" w:color="auto" w:sz="4" w:space="0"/>
            </w:tcBorders>
            <w:noWrap/>
            <w:vAlign w:val="center"/>
          </w:tcPr>
          <w:p w14:paraId="3C217536">
            <w:pPr>
              <w:jc w:val="center"/>
              <w:rPr>
                <w:rFonts w:hint="eastAsia" w:ascii="宋体" w:hAnsi="宋体" w:eastAsia="宋体" w:cs="宋体"/>
                <w:sz w:val="18"/>
                <w:szCs w:val="18"/>
              </w:rPr>
            </w:pPr>
            <w:r>
              <w:rPr>
                <w:rFonts w:hint="eastAsia" w:ascii="宋体" w:hAnsi="宋体" w:eastAsia="宋体" w:cs="宋体"/>
                <w:sz w:val="18"/>
                <w:szCs w:val="18"/>
              </w:rPr>
              <w:t>1篇</w:t>
            </w:r>
          </w:p>
        </w:tc>
        <w:tc>
          <w:tcPr>
            <w:tcW w:w="992" w:type="dxa"/>
            <w:tcBorders>
              <w:top w:val="single" w:color="auto" w:sz="4" w:space="0"/>
              <w:left w:val="nil"/>
              <w:bottom w:val="single" w:color="auto" w:sz="4" w:space="0"/>
              <w:right w:val="single" w:color="auto" w:sz="4" w:space="0"/>
            </w:tcBorders>
            <w:noWrap/>
            <w:vAlign w:val="center"/>
          </w:tcPr>
          <w:p w14:paraId="6A9A672C">
            <w:pPr>
              <w:jc w:val="center"/>
              <w:rPr>
                <w:rFonts w:hint="eastAsia" w:ascii="宋体" w:hAnsi="宋体" w:eastAsia="宋体" w:cs="宋体"/>
                <w:sz w:val="18"/>
                <w:szCs w:val="18"/>
              </w:rPr>
            </w:pPr>
            <w:r>
              <w:rPr>
                <w:rFonts w:hint="eastAsia" w:ascii="宋体" w:hAnsi="宋体" w:eastAsia="宋体" w:cs="宋体"/>
                <w:sz w:val="18"/>
                <w:szCs w:val="18"/>
              </w:rPr>
              <w:t>30</w:t>
            </w:r>
          </w:p>
        </w:tc>
        <w:tc>
          <w:tcPr>
            <w:tcW w:w="720" w:type="dxa"/>
            <w:tcBorders>
              <w:top w:val="single" w:color="auto" w:sz="4" w:space="0"/>
              <w:left w:val="nil"/>
              <w:bottom w:val="single" w:color="auto" w:sz="4" w:space="0"/>
              <w:right w:val="single" w:color="auto" w:sz="4" w:space="0"/>
            </w:tcBorders>
            <w:noWrap/>
            <w:vAlign w:val="center"/>
          </w:tcPr>
          <w:p w14:paraId="4074F9AC">
            <w:pPr>
              <w:jc w:val="center"/>
              <w:rPr>
                <w:rFonts w:hint="eastAsia" w:ascii="宋体" w:hAnsi="宋体" w:eastAsia="宋体" w:cs="宋体"/>
                <w:sz w:val="18"/>
                <w:szCs w:val="18"/>
              </w:rPr>
            </w:pPr>
            <w:r>
              <w:rPr>
                <w:rFonts w:hint="eastAsia" w:ascii="宋体" w:hAnsi="宋体" w:eastAsia="宋体" w:cs="宋体"/>
                <w:sz w:val="18"/>
                <w:szCs w:val="18"/>
              </w:rPr>
              <w:t>30</w:t>
            </w:r>
          </w:p>
        </w:tc>
      </w:tr>
      <w:tr w14:paraId="67EED731">
        <w:tblPrEx>
          <w:tblCellMar>
            <w:top w:w="0" w:type="dxa"/>
            <w:left w:w="108" w:type="dxa"/>
            <w:bottom w:w="0" w:type="dxa"/>
            <w:right w:w="108" w:type="dxa"/>
          </w:tblCellMar>
        </w:tblPrEx>
        <w:trPr>
          <w:trHeight w:val="740" w:hRule="atLeast"/>
        </w:trPr>
        <w:tc>
          <w:tcPr>
            <w:tcW w:w="7939" w:type="dxa"/>
            <w:gridSpan w:val="6"/>
            <w:tcBorders>
              <w:top w:val="single" w:color="auto" w:sz="4" w:space="0"/>
              <w:left w:val="single" w:color="auto" w:sz="4" w:space="0"/>
              <w:bottom w:val="single" w:color="auto" w:sz="4" w:space="0"/>
              <w:right w:val="single" w:color="auto" w:sz="4" w:space="0"/>
            </w:tcBorders>
            <w:noWrap/>
            <w:vAlign w:val="center"/>
          </w:tcPr>
          <w:p w14:paraId="70EFF572">
            <w:pPr>
              <w:jc w:val="center"/>
              <w:rPr>
                <w:rFonts w:hint="eastAsia" w:ascii="宋体" w:hAnsi="宋体" w:eastAsia="宋体" w:cs="宋体"/>
                <w:sz w:val="18"/>
                <w:szCs w:val="18"/>
              </w:rPr>
            </w:pPr>
            <w:r>
              <w:rPr>
                <w:rFonts w:hint="eastAsia" w:ascii="宋体" w:hAnsi="宋体" w:eastAsia="宋体" w:cs="宋体"/>
                <w:sz w:val="18"/>
                <w:szCs w:val="18"/>
              </w:rPr>
              <w:t>总分</w:t>
            </w:r>
          </w:p>
        </w:tc>
        <w:tc>
          <w:tcPr>
            <w:tcW w:w="992" w:type="dxa"/>
            <w:tcBorders>
              <w:top w:val="single" w:color="auto" w:sz="4" w:space="0"/>
              <w:left w:val="nil"/>
              <w:bottom w:val="single" w:color="auto" w:sz="4" w:space="0"/>
              <w:right w:val="single" w:color="auto" w:sz="4" w:space="0"/>
            </w:tcBorders>
            <w:noWrap/>
            <w:vAlign w:val="center"/>
          </w:tcPr>
          <w:p w14:paraId="40A801C9">
            <w:pPr>
              <w:jc w:val="center"/>
              <w:rPr>
                <w:rFonts w:hint="eastAsia" w:ascii="宋体" w:hAnsi="宋体" w:eastAsia="宋体" w:cs="宋体"/>
                <w:sz w:val="18"/>
                <w:szCs w:val="18"/>
              </w:rPr>
            </w:pPr>
            <w:r>
              <w:rPr>
                <w:rFonts w:hint="eastAsia" w:ascii="宋体" w:hAnsi="宋体" w:eastAsia="宋体" w:cs="宋体"/>
                <w:sz w:val="18"/>
                <w:szCs w:val="18"/>
              </w:rPr>
              <w:t>100</w:t>
            </w:r>
          </w:p>
        </w:tc>
        <w:tc>
          <w:tcPr>
            <w:tcW w:w="720" w:type="dxa"/>
            <w:tcBorders>
              <w:top w:val="single" w:color="auto" w:sz="4" w:space="0"/>
              <w:left w:val="nil"/>
              <w:bottom w:val="single" w:color="auto" w:sz="4" w:space="0"/>
              <w:right w:val="single" w:color="auto" w:sz="4" w:space="0"/>
            </w:tcBorders>
            <w:noWrap/>
            <w:vAlign w:val="center"/>
          </w:tcPr>
          <w:p w14:paraId="0859611A">
            <w:pPr>
              <w:jc w:val="center"/>
              <w:rPr>
                <w:rFonts w:hint="eastAsia" w:ascii="宋体" w:hAnsi="宋体" w:eastAsia="宋体" w:cs="宋体"/>
                <w:sz w:val="18"/>
                <w:szCs w:val="18"/>
              </w:rPr>
            </w:pPr>
            <w:r>
              <w:rPr>
                <w:rFonts w:hint="eastAsia" w:ascii="宋体" w:hAnsi="宋体" w:eastAsia="宋体" w:cs="宋体"/>
                <w:sz w:val="18"/>
                <w:szCs w:val="18"/>
              </w:rPr>
              <w:t>98.16</w:t>
            </w:r>
          </w:p>
        </w:tc>
      </w:tr>
    </w:tbl>
    <w:p w14:paraId="50C26E35">
      <w:pPr>
        <w:spacing w:after="0" w:line="240" w:lineRule="auto"/>
        <w:ind w:firstLine="640" w:firstLineChars="200"/>
        <w:jc w:val="both"/>
        <w:rPr>
          <w:rFonts w:ascii="仿宋_GB2312" w:eastAsia="仿宋_GB2312"/>
          <w:sz w:val="32"/>
          <w:szCs w:val="32"/>
          <w:lang w:eastAsia="zh-CN"/>
        </w:rPr>
      </w:pPr>
    </w:p>
    <w:p w14:paraId="4E0AC750">
      <w:pPr>
        <w:spacing w:after="0" w:line="240" w:lineRule="auto"/>
        <w:ind w:firstLine="640" w:firstLineChars="200"/>
        <w:outlineLvl w:val="1"/>
        <w:rPr>
          <w:rFonts w:ascii="黑体" w:eastAsia="黑体"/>
          <w:sz w:val="32"/>
          <w:szCs w:val="32"/>
          <w:lang w:eastAsia="zh-CN"/>
        </w:rPr>
      </w:pPr>
      <w:r>
        <w:rPr>
          <w:rFonts w:ascii="黑体" w:eastAsia="黑体"/>
          <w:sz w:val="32"/>
          <w:szCs w:val="32"/>
          <w:lang w:eastAsia="zh-CN"/>
        </w:rPr>
        <w:t>十二、其他需说明的事项</w:t>
      </w:r>
    </w:p>
    <w:p w14:paraId="0E8D1CA9">
      <w:pPr>
        <w:spacing w:after="0" w:line="240" w:lineRule="auto"/>
        <w:ind w:firstLine="640" w:firstLineChars="200"/>
        <w:jc w:val="both"/>
        <w:rPr>
          <w:rFonts w:ascii="仿宋_GB2312" w:eastAsia="仿宋_GB2312"/>
          <w:sz w:val="32"/>
          <w:szCs w:val="32"/>
          <w:lang w:eastAsia="zh-CN"/>
        </w:rPr>
      </w:pPr>
      <w:r>
        <w:rPr>
          <w:rFonts w:hint="eastAsia" w:ascii="仿宋_GB2312" w:eastAsia="仿宋_GB2312"/>
          <w:sz w:val="32"/>
          <w:szCs w:val="32"/>
          <w:lang w:eastAsia="zh-CN"/>
        </w:rPr>
        <w:t>我单位2024年度无政府采购支出，授予中小企业合同金额0.00万元</w:t>
      </w:r>
      <w:r>
        <w:rPr>
          <w:rFonts w:ascii="仿宋_GB2312" w:eastAsia="仿宋_GB2312"/>
          <w:sz w:val="32"/>
          <w:szCs w:val="32"/>
          <w:lang w:eastAsia="zh-CN"/>
        </w:rPr>
        <w:t>。</w:t>
      </w:r>
    </w:p>
    <w:p w14:paraId="569135A4">
      <w:pPr>
        <w:spacing w:after="0" w:line="240" w:lineRule="auto"/>
        <w:ind w:firstLine="640" w:firstLineChars="200"/>
        <w:rPr>
          <w:rFonts w:ascii="仿宋_GB2312" w:eastAsia="仿宋_GB2312"/>
          <w:sz w:val="32"/>
          <w:szCs w:val="32"/>
          <w:lang w:eastAsia="zh-CN"/>
        </w:rPr>
      </w:pPr>
    </w:p>
    <w:p w14:paraId="1BC3C1E7">
      <w:pPr>
        <w:rPr>
          <w:lang w:eastAsia="zh-CN"/>
        </w:rPr>
      </w:pPr>
      <w:r>
        <w:rPr>
          <w:sz w:val="0"/>
          <w:szCs w:val="0"/>
          <w:lang w:eastAsia="zh-CN"/>
        </w:rPr>
        <w:br w:type="page"/>
      </w:r>
    </w:p>
    <w:p w14:paraId="3FF26EEB">
      <w:pPr>
        <w:spacing w:after="0" w:line="240" w:lineRule="auto"/>
        <w:jc w:val="center"/>
        <w:outlineLvl w:val="0"/>
        <w:rPr>
          <w:rFonts w:ascii="黑体" w:eastAsia="黑体"/>
          <w:sz w:val="32"/>
          <w:szCs w:val="32"/>
          <w:lang w:eastAsia="zh-CN"/>
        </w:rPr>
      </w:pPr>
      <w:r>
        <w:rPr>
          <w:rFonts w:ascii="黑体" w:eastAsia="黑体"/>
          <w:sz w:val="32"/>
          <w:szCs w:val="32"/>
          <w:lang w:eastAsia="zh-CN"/>
        </w:rPr>
        <w:t>第三部分 专业名词解释</w:t>
      </w:r>
    </w:p>
    <w:p w14:paraId="52960975">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一、财政拨款收入：</w:t>
      </w:r>
      <w:r>
        <w:rPr>
          <w:rFonts w:ascii="仿宋_GB2312" w:eastAsia="仿宋_GB2312"/>
          <w:sz w:val="32"/>
          <w:szCs w:val="32"/>
          <w:lang w:eastAsia="zh-CN"/>
        </w:rPr>
        <w:t>指同级财政当年拨付的资金。</w:t>
      </w:r>
    </w:p>
    <w:p w14:paraId="60F5B068">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二、上级补助收入：</w:t>
      </w:r>
      <w:r>
        <w:rPr>
          <w:rFonts w:ascii="仿宋_GB2312" w:eastAsia="仿宋_GB2312"/>
          <w:sz w:val="32"/>
          <w:szCs w:val="32"/>
          <w:lang w:eastAsia="zh-CN"/>
        </w:rPr>
        <w:t>指事业单位从主管部门和上级单位取得的非财政补助收入。</w:t>
      </w:r>
    </w:p>
    <w:p w14:paraId="4C7D7CFE">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三、事业收入：</w:t>
      </w:r>
      <w:r>
        <w:rPr>
          <w:rFonts w:ascii="仿宋_GB2312" w:eastAsia="仿宋_GB2312"/>
          <w:sz w:val="32"/>
          <w:szCs w:val="32"/>
          <w:lang w:eastAsia="zh-CN"/>
        </w:rPr>
        <w:t>指事业单位开展专业业务活动及其辅助活动所取得的收入。</w:t>
      </w:r>
    </w:p>
    <w:p w14:paraId="0530F5BE">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四、经营收入：</w:t>
      </w:r>
      <w:r>
        <w:rPr>
          <w:rFonts w:ascii="仿宋_GB2312" w:eastAsia="仿宋_GB2312"/>
          <w:sz w:val="32"/>
          <w:szCs w:val="32"/>
          <w:lang w:eastAsia="zh-CN"/>
        </w:rPr>
        <w:t>指事业单位在专业业务活动及其辅助活动之外开展非独立核算经营活动取得的收入。</w:t>
      </w:r>
    </w:p>
    <w:p w14:paraId="425028DB">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五、附属单位上缴收入：</w:t>
      </w:r>
      <w:r>
        <w:rPr>
          <w:rFonts w:ascii="仿宋_GB2312" w:eastAsia="仿宋_GB2312"/>
          <w:sz w:val="32"/>
          <w:szCs w:val="32"/>
          <w:lang w:eastAsia="zh-CN"/>
        </w:rPr>
        <w:t>指事业单位附属的独立核算单位按有关规定上缴的收入。</w:t>
      </w:r>
    </w:p>
    <w:p w14:paraId="183C2131">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六、其他收入：</w:t>
      </w:r>
      <w:r>
        <w:rPr>
          <w:rFonts w:ascii="仿宋_GB2312" w:eastAsia="仿宋_GB2312"/>
          <w:sz w:val="32"/>
          <w:szCs w:val="32"/>
          <w:lang w:eastAsia="zh-CN"/>
        </w:rPr>
        <w:t>指除上述“财政拨款收入”、“事业收入”、“经营收入”、“附属单位上缴收入”等之外取得的收入。</w:t>
      </w:r>
    </w:p>
    <w:p w14:paraId="55D22127">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七、年初结转和结余：</w:t>
      </w:r>
      <w:r>
        <w:rPr>
          <w:rFonts w:ascii="仿宋_GB2312" w:eastAsia="仿宋_GB2312"/>
          <w:sz w:val="32"/>
          <w:szCs w:val="32"/>
          <w:lang w:eastAsia="zh-CN"/>
        </w:rPr>
        <w:t>指以前年度支出预算因客观条件变化未执行完毕、结转到本年度按有关规定继续使用的资金，既包括财政拨款结转和结余，也包括事业收入、经营收入、其他收入的结转和结余。</w:t>
      </w:r>
    </w:p>
    <w:p w14:paraId="794EB287">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八、年末结转和结余：</w:t>
      </w:r>
      <w:r>
        <w:rPr>
          <w:rFonts w:ascii="仿宋_GB2312" w:eastAsia="仿宋_GB2312"/>
          <w:sz w:val="32"/>
          <w:szCs w:val="32"/>
          <w:lang w:eastAsia="zh-CN"/>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5B23CB52">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九、基本支出：</w:t>
      </w:r>
      <w:r>
        <w:rPr>
          <w:rFonts w:ascii="仿宋_GB2312" w:eastAsia="仿宋_GB2312"/>
          <w:sz w:val="32"/>
          <w:szCs w:val="32"/>
          <w:lang w:eastAsia="zh-CN"/>
        </w:rPr>
        <w:t>指为保障机构正常运转、完成日常工作任务而发生的人员支出和公用支出。</w:t>
      </w:r>
    </w:p>
    <w:p w14:paraId="073BE062">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十、项目支出：</w:t>
      </w:r>
      <w:r>
        <w:rPr>
          <w:rFonts w:ascii="仿宋_GB2312" w:eastAsia="仿宋_GB2312"/>
          <w:sz w:val="32"/>
          <w:szCs w:val="32"/>
          <w:lang w:eastAsia="zh-CN"/>
        </w:rPr>
        <w:t>指在基本支出之外为完成特定行政任务和事业发展目标所发生的支出。</w:t>
      </w:r>
    </w:p>
    <w:p w14:paraId="1F1BD00B">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十一、经营支出：</w:t>
      </w:r>
      <w:r>
        <w:rPr>
          <w:rFonts w:ascii="仿宋_GB2312" w:eastAsia="仿宋_GB2312"/>
          <w:sz w:val="32"/>
          <w:szCs w:val="32"/>
          <w:lang w:eastAsia="zh-CN"/>
        </w:rPr>
        <w:t>指事业单位在专业业务活动及其辅助活动之外开展非独立核算经营活动发生的支出。</w:t>
      </w:r>
    </w:p>
    <w:p w14:paraId="0908F191">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十二、对附属单位补助支出：</w:t>
      </w:r>
      <w:r>
        <w:rPr>
          <w:rFonts w:ascii="仿宋_GB2312" w:eastAsia="仿宋_GB2312"/>
          <w:sz w:val="32"/>
          <w:szCs w:val="32"/>
          <w:lang w:eastAsia="zh-CN"/>
        </w:rPr>
        <w:t>指事业单位发生的用非财政预算资金对附属单位的补助支出。</w:t>
      </w:r>
    </w:p>
    <w:p w14:paraId="37280AAA">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十三、“三公”经费：</w:t>
      </w:r>
      <w:r>
        <w:rPr>
          <w:rFonts w:ascii="仿宋_GB2312" w:eastAsia="仿宋_GB2312"/>
          <w:sz w:val="32"/>
          <w:szCs w:val="32"/>
          <w:lang w:eastAsia="zh-CN"/>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162DDE12">
      <w:pPr>
        <w:spacing w:after="0" w:line="240" w:lineRule="auto"/>
        <w:ind w:firstLine="643" w:firstLineChars="200"/>
        <w:rPr>
          <w:rFonts w:ascii="仿宋_GB2312" w:eastAsia="仿宋_GB2312"/>
          <w:sz w:val="32"/>
          <w:szCs w:val="32"/>
          <w:lang w:eastAsia="zh-CN"/>
        </w:rPr>
      </w:pPr>
      <w:r>
        <w:rPr>
          <w:rFonts w:ascii="仿宋_GB2312" w:eastAsia="仿宋_GB2312"/>
          <w:b/>
          <w:sz w:val="32"/>
          <w:szCs w:val="32"/>
          <w:lang w:eastAsia="zh-CN"/>
        </w:rPr>
        <w:t>十四、机关运行经费：</w:t>
      </w:r>
      <w:r>
        <w:rPr>
          <w:rFonts w:ascii="仿宋_GB2312" w:eastAsia="仿宋_GB2312"/>
          <w:sz w:val="32"/>
          <w:szCs w:val="32"/>
          <w:lang w:eastAsia="zh-CN"/>
        </w:rPr>
        <w:t>行政单位和参照公务员法管理的事业单位财政拨款基本支出中的公用经费支出。</w:t>
      </w:r>
    </w:p>
    <w:p w14:paraId="78AD28DC">
      <w:pPr>
        <w:rPr>
          <w:lang w:eastAsia="zh-CN"/>
        </w:rPr>
      </w:pPr>
      <w:r>
        <w:rPr>
          <w:sz w:val="0"/>
          <w:szCs w:val="0"/>
          <w:lang w:eastAsia="zh-CN"/>
        </w:rPr>
        <w:br w:type="page"/>
      </w:r>
    </w:p>
    <w:p w14:paraId="26057556">
      <w:pPr>
        <w:spacing w:after="0" w:line="240" w:lineRule="auto"/>
        <w:jc w:val="center"/>
        <w:outlineLvl w:val="0"/>
        <w:rPr>
          <w:rFonts w:ascii="黑体" w:eastAsia="黑体"/>
          <w:sz w:val="32"/>
          <w:szCs w:val="32"/>
          <w:lang w:eastAsia="zh-CN"/>
        </w:rPr>
      </w:pPr>
      <w:r>
        <w:rPr>
          <w:rFonts w:ascii="黑体" w:eastAsia="黑体"/>
          <w:sz w:val="32"/>
          <w:szCs w:val="32"/>
          <w:lang w:eastAsia="zh-CN"/>
        </w:rPr>
        <w:t>第四部分 部门决算报表（见附表）</w:t>
      </w:r>
    </w:p>
    <w:p w14:paraId="3A732FFF">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一、《收入支出决算总表》</w:t>
      </w:r>
    </w:p>
    <w:p w14:paraId="7005159D">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二、《收入决算表》</w:t>
      </w:r>
    </w:p>
    <w:p w14:paraId="0E1B08EC">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三、《支出决算表》</w:t>
      </w:r>
    </w:p>
    <w:p w14:paraId="3E31F3F7">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四、《财政拨款收入支出决算总表》</w:t>
      </w:r>
    </w:p>
    <w:p w14:paraId="1D692758">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五、《一般公共预算财政拨款支出决算表》</w:t>
      </w:r>
    </w:p>
    <w:p w14:paraId="661721ED">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六、《一般公共预算财政拨款基本支出决算表》</w:t>
      </w:r>
    </w:p>
    <w:p w14:paraId="207D5B77">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七、《政府性基金预算财政拨款收入支出决算表》</w:t>
      </w:r>
    </w:p>
    <w:p w14:paraId="042A99F5">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八、《国有资本经营预算财政拨款收入支出决算表》</w:t>
      </w:r>
    </w:p>
    <w:p w14:paraId="7161088B">
      <w:pPr>
        <w:spacing w:after="0" w:line="240" w:lineRule="auto"/>
        <w:ind w:firstLine="640" w:firstLineChars="200"/>
        <w:outlineLvl w:val="1"/>
        <w:rPr>
          <w:rFonts w:ascii="仿宋_GB2312" w:eastAsia="仿宋_GB2312"/>
          <w:sz w:val="32"/>
          <w:szCs w:val="32"/>
          <w:lang w:eastAsia="zh-CN"/>
        </w:rPr>
      </w:pPr>
      <w:r>
        <w:rPr>
          <w:rFonts w:ascii="仿宋_GB2312" w:eastAsia="仿宋_GB2312"/>
          <w:sz w:val="32"/>
          <w:szCs w:val="32"/>
          <w:lang w:eastAsia="zh-CN"/>
        </w:rPr>
        <w:t>九、《财政拨款“三公”经费支出决算表》</w:t>
      </w:r>
    </w:p>
    <w:sectPr>
      <w:pgSz w:w="12240" w:h="15840"/>
      <w:pgMar w:top="1440" w:right="1800" w:bottom="1440" w:left="1800" w:header="720" w:footer="72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libri Light">
    <w:panose1 w:val="020F03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characterSpacingControl w:val="doNotCompress"/>
  <w:footnotePr>
    <w:footnote w:id="0"/>
    <w:footnote w:id="1"/>
  </w:footnotePr>
  <w:endnotePr>
    <w:endnote w:id="0"/>
    <w:endnote w:id="1"/>
  </w:endnotePr>
  <w:compat>
    <w:useFELayout/>
    <w:compatSetting w:name="compatibilityMode" w:uri="http://schemas.microsoft.com/office/word" w:val="12"/>
    <w:compatSetting w:name="overrideTableStyleFontSizeAndJustification" w:uri="http://schemas.microsoft.com/office/word" w:val="1"/>
  </w:compat>
  <w:docVars>
    <w:docVar w:name="commondata" w:val="eyJoZGlkIjoiODViY2JkMjU3NGYzZTEwMzZmMGFkZWViYmNkYWU3NDIifQ=="/>
  </w:docVars>
  <w:rsids>
    <w:rsidRoot w:val="00DD776B"/>
    <w:rsid w:val="00215DF3"/>
    <w:rsid w:val="003D46FC"/>
    <w:rsid w:val="00546F74"/>
    <w:rsid w:val="009D6E82"/>
    <w:rsid w:val="00BF3089"/>
    <w:rsid w:val="00DD776B"/>
    <w:rsid w:val="00E46750"/>
    <w:rsid w:val="00F432F4"/>
    <w:rsid w:val="00F821C0"/>
    <w:rsid w:val="00F94F16"/>
    <w:rsid w:val="00FA1BD7"/>
    <w:rsid w:val="00FC4BC1"/>
    <w:rsid w:val="00FF12DA"/>
    <w:rsid w:val="351C646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uiPriority="99" w:name="heading 5"/>
    <w:lsdException w:uiPriority="99" w:name="heading 6"/>
    <w:lsdException w:uiPriority="99" w:name="heading 7"/>
    <w:lsdException w:uiPriority="9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99" w:name="toc 1"/>
    <w:lsdException w:uiPriority="99" w:name="toc 2"/>
    <w:lsdException w:uiPriority="99" w:name="toc 3"/>
    <w:lsdException w:uiPriority="99" w:name="toc 4"/>
    <w:lsdException w:uiPriority="99" w:name="toc 5"/>
    <w:lsdException w:uiPriority="99" w:name="toc 6"/>
    <w:lsdException w:uiPriority="99" w:name="toc 7"/>
    <w:lsdException w:uiPriority="99" w:name="toc 8"/>
    <w:lsdException w:uiPriority="99" w:name="toc 9"/>
    <w:lsdException w:qFormat="1" w:uiPriority="99" w:semiHidden="0"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unhideWhenUsed="0" w:uiPriority="99"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Theme="minorHAnsi" w:hAnsiTheme="minorHAnsi" w:eastAsiaTheme="minorEastAsia" w:cstheme="minorBidi"/>
      <w:sz w:val="22"/>
      <w:szCs w:val="22"/>
      <w:lang w:val="en-US" w:eastAsia="en-US" w:bidi="ar-SA"/>
    </w:rPr>
  </w:style>
  <w:style w:type="paragraph" w:styleId="2">
    <w:name w:val="heading 1"/>
    <w:basedOn w:val="1"/>
    <w:next w:val="1"/>
    <w:link w:val="18"/>
    <w:qFormat/>
    <w:uiPriority w:val="9"/>
    <w:pPr>
      <w:keepNext/>
      <w:keepLines/>
      <w:spacing w:before="480"/>
      <w:outlineLvl w:val="0"/>
    </w:pPr>
    <w:rPr>
      <w:rFonts w:asciiTheme="majorHAnsi" w:hAnsiTheme="majorHAnsi" w:eastAsiaTheme="majorEastAsia" w:cstheme="majorBidi"/>
      <w:b/>
      <w:bCs/>
      <w:color w:val="2E75B5" w:themeColor="accent1" w:themeShade="BF"/>
      <w:sz w:val="28"/>
      <w:szCs w:val="28"/>
    </w:rPr>
  </w:style>
  <w:style w:type="paragraph" w:styleId="3">
    <w:name w:val="heading 2"/>
    <w:basedOn w:val="1"/>
    <w:next w:val="1"/>
    <w:link w:val="19"/>
    <w:unhideWhenUsed/>
    <w:qFormat/>
    <w:uiPriority w:val="9"/>
    <w:pPr>
      <w:keepNext/>
      <w:keepLines/>
      <w:spacing w:before="200"/>
      <w:outlineLvl w:val="1"/>
    </w:pPr>
    <w:rPr>
      <w:rFonts w:asciiTheme="majorHAnsi" w:hAnsiTheme="majorHAnsi" w:eastAsiaTheme="majorEastAsia" w:cstheme="majorBidi"/>
      <w:b/>
      <w:bCs/>
      <w:color w:val="5B9BD5" w:themeColor="accent1"/>
      <w:sz w:val="26"/>
      <w:szCs w:val="26"/>
    </w:rPr>
  </w:style>
  <w:style w:type="paragraph" w:styleId="4">
    <w:name w:val="heading 3"/>
    <w:basedOn w:val="1"/>
    <w:next w:val="1"/>
    <w:link w:val="20"/>
    <w:unhideWhenUsed/>
    <w:qFormat/>
    <w:uiPriority w:val="9"/>
    <w:pPr>
      <w:keepNext/>
      <w:keepLines/>
      <w:spacing w:before="200"/>
      <w:outlineLvl w:val="2"/>
    </w:pPr>
    <w:rPr>
      <w:rFonts w:asciiTheme="majorHAnsi" w:hAnsiTheme="majorHAnsi" w:eastAsiaTheme="majorEastAsia" w:cstheme="majorBidi"/>
      <w:b/>
      <w:bCs/>
      <w:color w:val="5B9BD5" w:themeColor="accent1"/>
    </w:rPr>
  </w:style>
  <w:style w:type="paragraph" w:styleId="5">
    <w:name w:val="heading 4"/>
    <w:basedOn w:val="1"/>
    <w:next w:val="1"/>
    <w:link w:val="21"/>
    <w:unhideWhenUsed/>
    <w:qFormat/>
    <w:uiPriority w:val="9"/>
    <w:pPr>
      <w:keepNext/>
      <w:keepLines/>
      <w:spacing w:before="200"/>
      <w:outlineLvl w:val="3"/>
    </w:pPr>
    <w:rPr>
      <w:rFonts w:asciiTheme="majorHAnsi" w:hAnsiTheme="majorHAnsi" w:eastAsiaTheme="majorEastAsia" w:cstheme="majorBidi"/>
      <w:b/>
      <w:bCs/>
      <w:i/>
      <w:iCs/>
      <w:color w:val="5B9BD5" w:themeColor="accent1"/>
    </w:rPr>
  </w:style>
  <w:style w:type="character" w:default="1" w:styleId="14">
    <w:name w:val="Default Paragraph Font"/>
    <w:semiHidden/>
    <w:unhideWhenUsed/>
    <w:uiPriority w:val="1"/>
  </w:style>
  <w:style w:type="table" w:default="1" w:styleId="12">
    <w:name w:val="Normal Table"/>
    <w:semiHidden/>
    <w:unhideWhenUsed/>
    <w:uiPriority w:val="99"/>
    <w:tblPr>
      <w:tblCellMar>
        <w:top w:w="0" w:type="dxa"/>
        <w:left w:w="108" w:type="dxa"/>
        <w:bottom w:w="0" w:type="dxa"/>
        <w:right w:w="108" w:type="dxa"/>
      </w:tblCellMar>
    </w:tblPr>
  </w:style>
  <w:style w:type="paragraph" w:styleId="6">
    <w:name w:val="Normal Indent"/>
    <w:basedOn w:val="1"/>
    <w:unhideWhenUsed/>
    <w:qFormat/>
    <w:uiPriority w:val="99"/>
    <w:pPr>
      <w:ind w:left="720"/>
    </w:pPr>
  </w:style>
  <w:style w:type="paragraph" w:styleId="7">
    <w:name w:val="caption"/>
    <w:basedOn w:val="1"/>
    <w:next w:val="1"/>
    <w:semiHidden/>
    <w:unhideWhenUsed/>
    <w:qFormat/>
    <w:uiPriority w:val="35"/>
    <w:pPr>
      <w:spacing w:line="240" w:lineRule="auto"/>
    </w:pPr>
    <w:rPr>
      <w:b/>
      <w:bCs/>
      <w:color w:val="5B9BD5" w:themeColor="accent1"/>
      <w:sz w:val="18"/>
      <w:szCs w:val="18"/>
    </w:rPr>
  </w:style>
  <w:style w:type="paragraph" w:styleId="8">
    <w:name w:val="footer"/>
    <w:basedOn w:val="1"/>
    <w:link w:val="24"/>
    <w:unhideWhenUsed/>
    <w:uiPriority w:val="99"/>
    <w:pPr>
      <w:tabs>
        <w:tab w:val="center" w:pos="4153"/>
        <w:tab w:val="right" w:pos="8306"/>
      </w:tabs>
      <w:snapToGrid w:val="0"/>
      <w:spacing w:line="240" w:lineRule="auto"/>
    </w:pPr>
    <w:rPr>
      <w:sz w:val="18"/>
      <w:szCs w:val="18"/>
    </w:rPr>
  </w:style>
  <w:style w:type="paragraph" w:styleId="9">
    <w:name w:val="header"/>
    <w:basedOn w:val="1"/>
    <w:link w:val="17"/>
    <w:unhideWhenUsed/>
    <w:uiPriority w:val="99"/>
    <w:pPr>
      <w:tabs>
        <w:tab w:val="center" w:pos="4680"/>
        <w:tab w:val="right" w:pos="9360"/>
      </w:tabs>
    </w:pPr>
  </w:style>
  <w:style w:type="paragraph" w:styleId="10">
    <w:name w:val="Subtitle"/>
    <w:basedOn w:val="1"/>
    <w:next w:val="1"/>
    <w:link w:val="22"/>
    <w:qFormat/>
    <w:uiPriority w:val="11"/>
    <w:pPr>
      <w:ind w:left="86"/>
    </w:pPr>
    <w:rPr>
      <w:rFonts w:asciiTheme="majorHAnsi" w:hAnsiTheme="majorHAnsi" w:eastAsiaTheme="majorEastAsia" w:cstheme="majorBidi"/>
      <w:i/>
      <w:iCs/>
      <w:color w:val="5B9BD5" w:themeColor="accent1"/>
      <w:spacing w:val="15"/>
      <w:sz w:val="24"/>
      <w:szCs w:val="24"/>
    </w:rPr>
  </w:style>
  <w:style w:type="paragraph" w:styleId="11">
    <w:name w:val="Title"/>
    <w:basedOn w:val="1"/>
    <w:next w:val="1"/>
    <w:link w:val="23"/>
    <w:qFormat/>
    <w:uiPriority w:val="10"/>
    <w:pPr>
      <w:pBdr>
        <w:bottom w:val="single" w:color="5B9BD5" w:themeColor="accent1" w:sz="8" w:space="4"/>
      </w:pBdr>
      <w:spacing w:after="300"/>
      <w:contextualSpacing/>
    </w:pPr>
    <w:rPr>
      <w:rFonts w:asciiTheme="majorHAnsi" w:hAnsiTheme="majorHAnsi" w:eastAsiaTheme="majorEastAsia" w:cstheme="majorBidi"/>
      <w:color w:val="323E4F" w:themeColor="text2" w:themeShade="BF"/>
      <w:spacing w:val="5"/>
      <w:kern w:val="28"/>
      <w:sz w:val="52"/>
      <w:szCs w:val="52"/>
    </w:rPr>
  </w:style>
  <w:style w:type="table" w:styleId="13">
    <w:name w:val="Table Grid"/>
    <w:basedOn w:val="12"/>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Pr>
  </w:style>
  <w:style w:type="character" w:styleId="15">
    <w:name w:val="Emphasis"/>
    <w:basedOn w:val="14"/>
    <w:qFormat/>
    <w:uiPriority w:val="20"/>
    <w:rPr>
      <w:i/>
      <w:iCs/>
    </w:rPr>
  </w:style>
  <w:style w:type="character" w:styleId="16">
    <w:name w:val="Hyperlink"/>
    <w:basedOn w:val="14"/>
    <w:unhideWhenUsed/>
    <w:uiPriority w:val="99"/>
    <w:rPr>
      <w:color w:val="0563C1" w:themeColor="hyperlink"/>
      <w:u w:val="single"/>
    </w:rPr>
  </w:style>
  <w:style w:type="character" w:customStyle="1" w:styleId="17">
    <w:name w:val="页眉 字符"/>
    <w:basedOn w:val="14"/>
    <w:link w:val="9"/>
    <w:uiPriority w:val="99"/>
  </w:style>
  <w:style w:type="character" w:customStyle="1" w:styleId="18">
    <w:name w:val="标题 1 字符"/>
    <w:basedOn w:val="14"/>
    <w:link w:val="2"/>
    <w:qFormat/>
    <w:uiPriority w:val="9"/>
    <w:rPr>
      <w:rFonts w:asciiTheme="majorHAnsi" w:hAnsiTheme="majorHAnsi" w:eastAsiaTheme="majorEastAsia" w:cstheme="majorBidi"/>
      <w:b/>
      <w:bCs/>
      <w:color w:val="2E75B5" w:themeColor="accent1" w:themeShade="BF"/>
      <w:sz w:val="28"/>
      <w:szCs w:val="28"/>
    </w:rPr>
  </w:style>
  <w:style w:type="character" w:customStyle="1" w:styleId="19">
    <w:name w:val="标题 2 字符"/>
    <w:basedOn w:val="14"/>
    <w:link w:val="3"/>
    <w:qFormat/>
    <w:uiPriority w:val="9"/>
    <w:rPr>
      <w:rFonts w:asciiTheme="majorHAnsi" w:hAnsiTheme="majorHAnsi" w:eastAsiaTheme="majorEastAsia" w:cstheme="majorBidi"/>
      <w:b/>
      <w:bCs/>
      <w:color w:val="5B9BD5" w:themeColor="accent1"/>
      <w:sz w:val="26"/>
      <w:szCs w:val="26"/>
    </w:rPr>
  </w:style>
  <w:style w:type="character" w:customStyle="1" w:styleId="20">
    <w:name w:val="标题 3 字符"/>
    <w:basedOn w:val="14"/>
    <w:link w:val="4"/>
    <w:qFormat/>
    <w:uiPriority w:val="9"/>
    <w:rPr>
      <w:rFonts w:asciiTheme="majorHAnsi" w:hAnsiTheme="majorHAnsi" w:eastAsiaTheme="majorEastAsia" w:cstheme="majorBidi"/>
      <w:b/>
      <w:bCs/>
      <w:color w:val="5B9BD5" w:themeColor="accent1"/>
    </w:rPr>
  </w:style>
  <w:style w:type="character" w:customStyle="1" w:styleId="21">
    <w:name w:val="标题 4 字符"/>
    <w:basedOn w:val="14"/>
    <w:link w:val="5"/>
    <w:qFormat/>
    <w:uiPriority w:val="9"/>
    <w:rPr>
      <w:rFonts w:asciiTheme="majorHAnsi" w:hAnsiTheme="majorHAnsi" w:eastAsiaTheme="majorEastAsia" w:cstheme="majorBidi"/>
      <w:b/>
      <w:bCs/>
      <w:i/>
      <w:iCs/>
      <w:color w:val="5B9BD5" w:themeColor="accent1"/>
    </w:rPr>
  </w:style>
  <w:style w:type="character" w:customStyle="1" w:styleId="22">
    <w:name w:val="副标题 字符"/>
    <w:basedOn w:val="14"/>
    <w:link w:val="10"/>
    <w:uiPriority w:val="11"/>
    <w:rPr>
      <w:rFonts w:asciiTheme="majorHAnsi" w:hAnsiTheme="majorHAnsi" w:eastAsiaTheme="majorEastAsia" w:cstheme="majorBidi"/>
      <w:i/>
      <w:iCs/>
      <w:color w:val="5B9BD5" w:themeColor="accent1"/>
      <w:spacing w:val="15"/>
      <w:sz w:val="24"/>
      <w:szCs w:val="24"/>
    </w:rPr>
  </w:style>
  <w:style w:type="character" w:customStyle="1" w:styleId="23">
    <w:name w:val="标题 字符"/>
    <w:basedOn w:val="14"/>
    <w:link w:val="11"/>
    <w:uiPriority w:val="10"/>
    <w:rPr>
      <w:rFonts w:asciiTheme="majorHAnsi" w:hAnsiTheme="majorHAnsi" w:eastAsiaTheme="majorEastAsia" w:cstheme="majorBidi"/>
      <w:color w:val="323E4F" w:themeColor="text2" w:themeShade="BF"/>
      <w:spacing w:val="5"/>
      <w:kern w:val="28"/>
      <w:sz w:val="52"/>
      <w:szCs w:val="52"/>
    </w:rPr>
  </w:style>
  <w:style w:type="character" w:customStyle="1" w:styleId="24">
    <w:name w:val="页脚 字符"/>
    <w:basedOn w:val="14"/>
    <w:link w:val="8"/>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15</Pages>
  <Words>6219</Words>
  <Characters>6811</Characters>
  <Lines>216</Lines>
  <Paragraphs>201</Paragraphs>
  <TotalTime>1</TotalTime>
  <ScaleCrop>false</ScaleCrop>
  <LinksUpToDate>false</LinksUpToDate>
  <CharactersWithSpaces>6821</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2025-09-29T09:02:00Z</dcterms:created>
  <dc:creator>ldan</dc:creator>
  <cp:lastModifiedBy>W.w</cp:lastModifiedBy>
  <dcterms:modified xsi:type="dcterms:W3CDTF">2025-10-15T04:37:27Z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96356E586DF4439B99073FB38B641CEC_12</vt:lpwstr>
  </property>
</Properties>
</file>