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C61AFFC">
      <w:pPr>
        <w:spacing w:after="0" w:line="240" w:lineRule="auto"/>
        <w:rPr>
          <w:rFonts w:hint="eastAsia" w:ascii="宋体" w:eastAsia="宋体"/>
          <w:sz w:val="32"/>
          <w:szCs w:val="32"/>
        </w:rPr>
      </w:pPr>
    </w:p>
    <w:p w14:paraId="2AA9303D">
      <w:pPr>
        <w:spacing w:after="0" w:line="240" w:lineRule="auto"/>
        <w:rPr>
          <w:rFonts w:hint="eastAsia" w:ascii="宋体" w:eastAsia="宋体"/>
          <w:sz w:val="44"/>
          <w:szCs w:val="44"/>
        </w:rPr>
      </w:pPr>
    </w:p>
    <w:p w14:paraId="37AC57E5">
      <w:pPr>
        <w:spacing w:after="0" w:line="240" w:lineRule="auto"/>
        <w:rPr>
          <w:rFonts w:hint="eastAsia" w:ascii="宋体" w:eastAsia="宋体"/>
          <w:sz w:val="44"/>
          <w:szCs w:val="44"/>
        </w:rPr>
      </w:pPr>
    </w:p>
    <w:p w14:paraId="69B4CDD2">
      <w:pPr>
        <w:spacing w:after="0" w:line="240" w:lineRule="auto"/>
        <w:rPr>
          <w:rFonts w:hint="eastAsia" w:ascii="宋体" w:eastAsia="宋体"/>
          <w:sz w:val="44"/>
          <w:szCs w:val="44"/>
        </w:rPr>
      </w:pPr>
    </w:p>
    <w:p w14:paraId="5848E521">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乌鲁木齐市米东区人民政府办公室</w:t>
      </w:r>
    </w:p>
    <w:p w14:paraId="7F8AF5C8">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1103EED9">
      <w:pPr>
        <w:rPr>
          <w:rFonts w:hint="eastAsia"/>
          <w:lang w:eastAsia="zh-CN"/>
        </w:rPr>
      </w:pPr>
      <w:r>
        <w:rPr>
          <w:sz w:val="0"/>
          <w:szCs w:val="0"/>
          <w:lang w:eastAsia="zh-CN"/>
        </w:rPr>
        <w:br w:type="page"/>
      </w:r>
    </w:p>
    <w:p w14:paraId="5EEEB19A">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062058AF">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21F6EF1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193F241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26576A6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029AD80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095E44C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0080938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5FA7A23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D069A7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1614D2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CDAB82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DD76CD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C7812B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5727B0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3E77EA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2F1EFA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7684D67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6123FDB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3CC99D7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1DAAB05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383C498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7BDDC24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05729F1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194D2C77">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40AF8A2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954BBF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32BC920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073A19F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5B01E36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27DD0B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FBDD93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1423AC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4D6393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195EBB8B">
      <w:pPr>
        <w:rPr>
          <w:rFonts w:hint="eastAsia"/>
          <w:lang w:eastAsia="zh-CN"/>
        </w:rPr>
      </w:pPr>
      <w:r>
        <w:rPr>
          <w:sz w:val="0"/>
          <w:szCs w:val="0"/>
          <w:lang w:eastAsia="zh-CN"/>
        </w:rPr>
        <w:br w:type="page"/>
      </w:r>
    </w:p>
    <w:p w14:paraId="624D89E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53B13F6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465AE4D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（一）负责区人民政府日常文电处理和日常事务工作；草拟、审核以区人民政府、区人民政府办公室名义发布的文件。</w:t>
      </w:r>
    </w:p>
    <w:p w14:paraId="2B8F752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（二）负责区人民政府各类会议和全区性重要活动的准备工作，并协助区政府领导组织会议决定事</w:t>
      </w:r>
      <w:r>
        <w:rPr>
          <w:rFonts w:hint="eastAsia" w:ascii="仿宋_GB2312" w:eastAsia="仿宋_GB2312"/>
          <w:sz w:val="32"/>
          <w:szCs w:val="32"/>
          <w:lang w:eastAsia="zh-CN"/>
        </w:rPr>
        <w:t>项</w:t>
      </w:r>
      <w:r>
        <w:rPr>
          <w:rFonts w:ascii="仿宋_GB2312" w:eastAsia="仿宋_GB2312"/>
          <w:sz w:val="32"/>
          <w:szCs w:val="32"/>
          <w:lang w:eastAsia="zh-CN"/>
        </w:rPr>
        <w:t>。</w:t>
      </w:r>
    </w:p>
    <w:p w14:paraId="07C1945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（三）研究区人民政府各部门、各乡镇、街道请示区人民政府的问题，提出审核意见，报区人民政府领导审批。</w:t>
      </w:r>
    </w:p>
    <w:p w14:paraId="32EF71D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（四）督促检查区政府各部门和各乡镇、街道对区政府公文、会议决定事项及区政府领导有关指示的执行和落实情况，并跟踪调研，及时向区政府领导报告。</w:t>
      </w:r>
    </w:p>
    <w:p w14:paraId="43F51CD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（五）协助区人民政府领导组织处理突发事件及重大事故，了解并掌握社会动态，提出重要建议，反映重要情况。</w:t>
      </w:r>
    </w:p>
    <w:p w14:paraId="020FD8A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（六）负责区级以上人大代表建议和政协委员提案的转办、催办和管理工作。</w:t>
      </w:r>
    </w:p>
    <w:p w14:paraId="27AE14A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（七）掌握使用好区政府的印章、介绍信，做好文件的收发、登记、传阅、立卷归档、保密和保管工作，完成各种文件、函电、资料的文印工作。</w:t>
      </w:r>
    </w:p>
    <w:p w14:paraId="493F794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（八）处理群众来信、接待群众来访，及时向区委和区人民政府报告来信来访中提出的重要建议和反映的重要问题。</w:t>
      </w:r>
    </w:p>
    <w:p w14:paraId="7B14B1A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（九）负责政府大院内机关行政管理和机关后勤服务工作。</w:t>
      </w:r>
    </w:p>
    <w:p w14:paraId="2011AD8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（十）负责对外接待工作。</w:t>
      </w:r>
    </w:p>
    <w:p w14:paraId="54EEDA2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（十一）贯彻执行党和国家外事侨务方针政策、法律法规和有关规定。负责制订外事侨务工作计划和调查掌握外事侨务情况动态。</w:t>
      </w:r>
    </w:p>
    <w:p w14:paraId="04BF165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（十二）负责组织、管理、指导和协调外宾接待、对外交往等外事活动和相关事宜。</w:t>
      </w:r>
    </w:p>
    <w:p w14:paraId="5615039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（十三）负责区人民政府及其各部门规范性文件的审核工作；审查区政府下属各机关制定的决定和采取的行政措施；负责对全区行政执法部门的执法监督。</w:t>
      </w:r>
    </w:p>
    <w:p w14:paraId="7435A0E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（十四）负责行政执法主体资格认证、执法证件的签发管理。受理并依法处理公民、法人或其他组织不服行政机关具体行为的投诉；承办政府行政复议、行政应诉工作。</w:t>
      </w:r>
    </w:p>
    <w:p w14:paraId="51DA71B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（十五）承办区人民政府领导交办的其他事项。</w:t>
      </w:r>
    </w:p>
    <w:p w14:paraId="444959C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4D05775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乌鲁木齐市米东区人民政府办公室2024年度，实有人数50人，其中：在职人员27人，增加1人；离休人员0人，较上年无变化；退休人员23人，较上年无变化</w:t>
      </w:r>
      <w:r>
        <w:rPr>
          <w:rFonts w:hint="eastAsia" w:ascii="仿宋_GB2312" w:eastAsia="仿宋_GB2312"/>
          <w:sz w:val="32"/>
          <w:szCs w:val="32"/>
          <w:lang w:eastAsia="zh-CN"/>
        </w:rPr>
        <w:t>。</w:t>
      </w:r>
    </w:p>
    <w:p w14:paraId="65C014D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乌鲁木齐市米东区人民政府办公室无下属预算单位，下设4个</w:t>
      </w:r>
      <w:r>
        <w:rPr>
          <w:rFonts w:hint="eastAsia" w:ascii="仿宋_GB2312" w:eastAsia="仿宋_GB2312"/>
          <w:sz w:val="32"/>
          <w:szCs w:val="32"/>
          <w:lang w:eastAsia="zh-CN"/>
        </w:rPr>
        <w:t>科室</w:t>
      </w:r>
      <w:r>
        <w:rPr>
          <w:rFonts w:ascii="仿宋_GB2312" w:eastAsia="仿宋_GB2312"/>
          <w:sz w:val="32"/>
          <w:szCs w:val="32"/>
          <w:lang w:eastAsia="zh-CN"/>
        </w:rPr>
        <w:t>，分别是：秘书室、文书室、督查室、综合室。</w:t>
      </w:r>
    </w:p>
    <w:p w14:paraId="14ECDDA4">
      <w:pPr>
        <w:rPr>
          <w:rFonts w:hint="eastAsia"/>
          <w:lang w:eastAsia="zh-CN"/>
        </w:rPr>
      </w:pPr>
      <w:r>
        <w:rPr>
          <w:sz w:val="0"/>
          <w:szCs w:val="0"/>
          <w:lang w:eastAsia="zh-CN"/>
        </w:rPr>
        <w:br w:type="page"/>
      </w:r>
    </w:p>
    <w:p w14:paraId="5DFFAC6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3484C9E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6541588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2024年度收入总计590.78万元，其中：本年收入合计590.78万元，使用非财政拨款结余（含专用结余）0.00万元，年初结转和结余0.00万元。</w:t>
      </w:r>
    </w:p>
    <w:p w14:paraId="16EE688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2024年度支出总计590.78万元，其中：本年支出合计590.78万元，结余分配0.00万元，年末结转和结余0.00万元。</w:t>
      </w:r>
    </w:p>
    <w:p w14:paraId="532C8D9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收入支出总体与上年相比，减少116.96万元，下降16.53%，主要原因是：</w:t>
      </w:r>
      <w:r>
        <w:rPr>
          <w:rFonts w:hint="eastAsia" w:ascii="仿宋_GB2312" w:eastAsia="仿宋_GB2312"/>
          <w:sz w:val="32"/>
          <w:szCs w:val="32"/>
          <w:lang w:eastAsia="zh-CN"/>
        </w:rPr>
        <w:t>本年单位政府服务业务减少；单位印刷费、水电费、差旅费、设施维修经费等较上年减少</w:t>
      </w:r>
      <w:r>
        <w:rPr>
          <w:rFonts w:ascii="仿宋_GB2312" w:eastAsia="仿宋_GB2312"/>
          <w:sz w:val="32"/>
          <w:szCs w:val="32"/>
          <w:lang w:eastAsia="zh-CN"/>
        </w:rPr>
        <w:t>。</w:t>
      </w:r>
    </w:p>
    <w:p w14:paraId="6F41649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3ABD340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本年收入590.78万元，其中：财政拨款收入590.78万元,占100.00%；上级补助收入0.00万元,占0.00%；事业收入0.00万元，占0.00%；经营收入0.00万元,占0.00%；附属单位上缴收入0.00万元，占0.00%；其他收入0.00万元，占0.00%。</w:t>
      </w:r>
    </w:p>
    <w:p w14:paraId="0780A59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6D5C5CA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本年支出590.78万元，其中：基本支出506.71万元，占85.77%；项目支出84.07万元，占14.23%；上缴上级支出0.00万元，占0.00%；经营支出0.00万元，占0.00%；对附属单位补助支出0.00万元，占0.00%。</w:t>
      </w:r>
    </w:p>
    <w:p w14:paraId="0B5C511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6FA0672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2024年度财政拨款收入总计590.78万元，其中：年初财政拨款结转和结余0.00万元，本年财政拨款收入590.78万元。财政拨款支出总计590.78万元，其中：年末财政拨款结转和结余0.00万元，本年财政拨款支出590.78万元。</w:t>
      </w:r>
    </w:p>
    <w:p w14:paraId="77A3188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财政拨款收入支出总体与上年相比，减少116.96万元，下降16.53%，主要原因是：</w:t>
      </w:r>
      <w:r>
        <w:rPr>
          <w:rFonts w:hint="eastAsia" w:ascii="仿宋_GB2312" w:eastAsia="仿宋_GB2312"/>
          <w:sz w:val="32"/>
          <w:szCs w:val="32"/>
          <w:lang w:eastAsia="zh-CN"/>
        </w:rPr>
        <w:t>本年单位政府服务业务减少；单位印刷费、水电费、差旅费、设施维修经费等较上年减少</w:t>
      </w:r>
      <w:r>
        <w:rPr>
          <w:rFonts w:ascii="仿宋_GB2312" w:eastAsia="仿宋_GB2312"/>
          <w:sz w:val="32"/>
          <w:szCs w:val="32"/>
          <w:lang w:eastAsia="zh-CN"/>
        </w:rPr>
        <w:t>。与年初预算相比，年初预算数543.95万元，决算数590.78万元，预决算差异率8.61%，主要原因是：</w:t>
      </w:r>
      <w:r>
        <w:rPr>
          <w:rFonts w:hint="eastAsia" w:ascii="仿宋_GB2312" w:eastAsia="仿宋_GB2312"/>
          <w:sz w:val="32"/>
          <w:szCs w:val="32"/>
          <w:lang w:eastAsia="zh-CN"/>
        </w:rPr>
        <w:t>年中追加运维云集成技术及机房维护服务项目经费</w:t>
      </w:r>
      <w:r>
        <w:rPr>
          <w:rFonts w:ascii="仿宋_GB2312" w:eastAsia="仿宋_GB2312"/>
          <w:sz w:val="32"/>
          <w:szCs w:val="32"/>
          <w:lang w:eastAsia="zh-CN"/>
        </w:rPr>
        <w:t>。</w:t>
      </w:r>
    </w:p>
    <w:p w14:paraId="46F1554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360607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1361F53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2024年度一般公共预算财政拨款支出590.78万元，占本年支出合计的100.00%。与上年相比，减少116.96万元，下降16.53%，主要原因是：</w:t>
      </w:r>
      <w:r>
        <w:rPr>
          <w:rFonts w:hint="eastAsia" w:ascii="仿宋_GB2312" w:eastAsia="仿宋_GB2312"/>
          <w:sz w:val="32"/>
          <w:szCs w:val="32"/>
          <w:lang w:eastAsia="zh-CN"/>
        </w:rPr>
        <w:t>本年单位政府服务业务减少；单位印刷费、水电费、差旅费、设施维修经费等较上年减少</w:t>
      </w:r>
      <w:r>
        <w:rPr>
          <w:rFonts w:ascii="仿宋_GB2312" w:eastAsia="仿宋_GB2312"/>
          <w:sz w:val="32"/>
          <w:szCs w:val="32"/>
          <w:lang w:eastAsia="zh-CN"/>
        </w:rPr>
        <w:t>。与年初预算相比，年初预算数543.95万元，决算数590.78万元，预决算差异率8.61%，主要原因是：</w:t>
      </w:r>
      <w:r>
        <w:rPr>
          <w:rFonts w:hint="eastAsia" w:ascii="仿宋_GB2312" w:eastAsia="仿宋_GB2312"/>
          <w:sz w:val="32"/>
          <w:szCs w:val="32"/>
          <w:lang w:eastAsia="zh-CN"/>
        </w:rPr>
        <w:t>年中追加运维云集成技术及机房维护服务项目经费</w:t>
      </w:r>
      <w:r>
        <w:rPr>
          <w:rFonts w:ascii="仿宋_GB2312" w:eastAsia="仿宋_GB2312"/>
          <w:sz w:val="32"/>
          <w:szCs w:val="32"/>
          <w:lang w:eastAsia="zh-CN"/>
        </w:rPr>
        <w:t>。</w:t>
      </w:r>
    </w:p>
    <w:p w14:paraId="300866F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4D61F4FB">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一般公共服务支出（类）438.92万元，占74.29%。</w:t>
      </w:r>
    </w:p>
    <w:p w14:paraId="42001B5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科学技术支出（类）83.92万元，占14.20%。</w:t>
      </w:r>
    </w:p>
    <w:p w14:paraId="1925065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社会保障和就业支出（类）67.78万元，占11.47%。</w:t>
      </w:r>
    </w:p>
    <w:p w14:paraId="3C70DA2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其他支出（类）0.15万元，占0.03%。</w:t>
      </w:r>
    </w:p>
    <w:p w14:paraId="506DB38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1B8D261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1、一般公共服务支出（类）政府办公厅（室）及相关机构事务（款）行政运行（项）：支出决算数为351.16万元，比上年决算减少301.43万元，下降46.19%，主要原因是：</w:t>
      </w:r>
      <w:r>
        <w:rPr>
          <w:rFonts w:hint="eastAsia" w:ascii="仿宋_GB2312" w:eastAsia="仿宋_GB2312"/>
          <w:sz w:val="32"/>
          <w:szCs w:val="32"/>
          <w:lang w:eastAsia="zh-CN"/>
        </w:rPr>
        <w:t>单位科目调整，本年将事业人员工资、津补贴等人员经费调整至</w:t>
      </w:r>
      <w:r>
        <w:rPr>
          <w:rFonts w:ascii="仿宋_GB2312" w:eastAsia="仿宋_GB2312"/>
          <w:sz w:val="32"/>
          <w:szCs w:val="32"/>
          <w:lang w:eastAsia="zh-CN"/>
        </w:rPr>
        <w:t>事业运行</w:t>
      </w:r>
      <w:r>
        <w:rPr>
          <w:rFonts w:hint="eastAsia" w:ascii="仿宋_GB2312" w:eastAsia="仿宋_GB2312"/>
          <w:sz w:val="32"/>
          <w:szCs w:val="32"/>
          <w:lang w:eastAsia="zh-CN"/>
        </w:rPr>
        <w:t>科目反映；</w:t>
      </w:r>
      <w:r>
        <w:rPr>
          <w:rFonts w:hint="eastAsia" w:ascii="仿宋_GB2312" w:eastAsia="仿宋_GB2312"/>
          <w:sz w:val="32"/>
          <w:szCs w:val="32"/>
          <w:lang w:val="en-US" w:eastAsia="zh-CN"/>
        </w:rPr>
        <w:t>单位本年新进人员职级低，津补贴、奖金等人员经费较上年减少</w:t>
      </w:r>
      <w:r>
        <w:rPr>
          <w:rFonts w:hint="eastAsia" w:ascii="仿宋_GB2312" w:eastAsia="仿宋_GB2312"/>
          <w:sz w:val="32"/>
          <w:szCs w:val="32"/>
          <w:lang w:eastAsia="zh-CN"/>
        </w:rPr>
        <w:t>。</w:t>
      </w:r>
    </w:p>
    <w:p w14:paraId="10FA6D3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2、一般公共服务支出（类）政府办公厅（室）及相关机构事务（款）事业运行（项）：支出决算数为87.76万元，比上年决算增加87.76万元，增长100.00%，主要原因是：</w:t>
      </w:r>
      <w:r>
        <w:rPr>
          <w:rFonts w:hint="eastAsia" w:ascii="仿宋_GB2312" w:eastAsia="仿宋_GB2312"/>
          <w:sz w:val="32"/>
          <w:szCs w:val="32"/>
          <w:lang w:eastAsia="zh-CN"/>
        </w:rPr>
        <w:t>单位科目调整，本年将事业人员工资、津补贴等人员经费从</w:t>
      </w:r>
      <w:r>
        <w:rPr>
          <w:rFonts w:ascii="仿宋_GB2312" w:eastAsia="仿宋_GB2312"/>
          <w:sz w:val="32"/>
          <w:szCs w:val="32"/>
          <w:lang w:eastAsia="zh-CN"/>
        </w:rPr>
        <w:t>行政运行</w:t>
      </w:r>
      <w:r>
        <w:rPr>
          <w:rFonts w:hint="eastAsia" w:ascii="仿宋_GB2312" w:eastAsia="仿宋_GB2312"/>
          <w:sz w:val="32"/>
          <w:szCs w:val="32"/>
          <w:lang w:eastAsia="zh-CN"/>
        </w:rPr>
        <w:t>调整至本科目反映。</w:t>
      </w:r>
    </w:p>
    <w:p w14:paraId="723B8C7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3、科学技术支出（类）其他科学技术支出（款）其他科学技术支出（项）：支出决算数为83.92万元，比上年决算增加83.92万元，增长100.00%，主要原因是：</w:t>
      </w:r>
      <w:r>
        <w:rPr>
          <w:rFonts w:hint="eastAsia" w:ascii="仿宋_GB2312" w:eastAsia="仿宋_GB2312"/>
          <w:sz w:val="32"/>
          <w:szCs w:val="32"/>
          <w:lang w:eastAsia="zh-CN"/>
        </w:rPr>
        <w:t>本年增加运维云集成技术及机房维护服务项目经费。</w:t>
      </w:r>
    </w:p>
    <w:p w14:paraId="7187F29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4、社会保障和就业支出（类）行政事业单位养老支出（款）机关事业单位基本养老保险缴费支出（项）：支出决算数为52.60万元，比上年决算增加3.77万元，增长7.72%，主要原因是：</w:t>
      </w:r>
      <w:r>
        <w:rPr>
          <w:rFonts w:hint="eastAsia" w:ascii="仿宋_GB2312" w:eastAsia="仿宋_GB2312"/>
          <w:sz w:val="32"/>
          <w:szCs w:val="32"/>
          <w:lang w:eastAsia="zh-CN"/>
        </w:rPr>
        <w:t>社保缴费基数调增，人员</w:t>
      </w:r>
      <w:r>
        <w:rPr>
          <w:rFonts w:ascii="仿宋_GB2312" w:eastAsia="仿宋_GB2312"/>
          <w:sz w:val="32"/>
          <w:szCs w:val="32"/>
          <w:lang w:eastAsia="zh-CN"/>
        </w:rPr>
        <w:t>养老保险缴费</w:t>
      </w:r>
      <w:r>
        <w:rPr>
          <w:rFonts w:hint="eastAsia" w:ascii="仿宋_GB2312" w:eastAsia="仿宋_GB2312"/>
          <w:sz w:val="32"/>
          <w:szCs w:val="32"/>
          <w:lang w:eastAsia="zh-CN"/>
        </w:rPr>
        <w:t>增加。</w:t>
      </w:r>
    </w:p>
    <w:p w14:paraId="07726A6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5、社会保障和就业支出（类）行政事业单位养老支出（款）机关事业单位职业年金缴费支出（项）：支出决算数为15.18万元，比上年决算增加8.86万元，增长140.19%，主要原因是：</w:t>
      </w:r>
      <w:bookmarkStart w:id="0" w:name="_Hlk208412698"/>
      <w:r>
        <w:rPr>
          <w:rFonts w:hint="eastAsia" w:ascii="仿宋_GB2312" w:eastAsia="仿宋_GB2312"/>
          <w:sz w:val="32"/>
          <w:szCs w:val="32"/>
          <w:lang w:eastAsia="zh-CN"/>
        </w:rPr>
        <w:t>本年单位增加</w:t>
      </w:r>
      <w:bookmarkStart w:id="1" w:name="_Hlk209006861"/>
      <w:r>
        <w:rPr>
          <w:rFonts w:hint="eastAsia" w:ascii="仿宋_GB2312" w:eastAsia="仿宋_GB2312"/>
          <w:sz w:val="32"/>
          <w:szCs w:val="32"/>
          <w:lang w:eastAsia="zh-CN"/>
        </w:rPr>
        <w:t>一次性职业年金缴费</w:t>
      </w:r>
      <w:bookmarkEnd w:id="0"/>
      <w:bookmarkEnd w:id="1"/>
      <w:r>
        <w:rPr>
          <w:rFonts w:hint="eastAsia" w:ascii="仿宋_GB2312" w:eastAsia="仿宋_GB2312"/>
          <w:sz w:val="32"/>
          <w:szCs w:val="32"/>
          <w:lang w:eastAsia="zh-CN"/>
        </w:rPr>
        <w:t>。</w:t>
      </w:r>
    </w:p>
    <w:p w14:paraId="4B684895">
      <w:pPr>
        <w:spacing w:after="0" w:line="240" w:lineRule="auto"/>
        <w:ind w:firstLine="640" w:firstLineChars="200"/>
        <w:rPr>
          <w:rFonts w:hint="eastAsia" w:ascii="仿宋_GB2312" w:eastAsia="仿宋_GB2312"/>
          <w:b/>
          <w:bCs/>
          <w:sz w:val="32"/>
          <w:szCs w:val="32"/>
          <w:lang w:eastAsia="zh-CN"/>
        </w:rPr>
      </w:pPr>
      <w:r>
        <w:rPr>
          <w:rFonts w:ascii="仿宋_GB2312" w:eastAsia="仿宋_GB2312"/>
          <w:sz w:val="32"/>
          <w:szCs w:val="32"/>
          <w:lang w:eastAsia="zh-CN"/>
        </w:rPr>
        <w:t>6、其他支出（类）其他支出（款）其他支出（项）：支出决算数为0.15万元，比上年决算增加0.15万元，增长100.00%，主要原因是：</w:t>
      </w:r>
      <w:r>
        <w:rPr>
          <w:rFonts w:hint="eastAsia" w:ascii="仿宋_GB2312" w:eastAsia="仿宋_GB2312"/>
          <w:sz w:val="32"/>
          <w:szCs w:val="32"/>
          <w:lang w:eastAsia="zh-CN"/>
        </w:rPr>
        <w:t>本年增加忠诚干净担当好班子工作奖金。</w:t>
      </w:r>
    </w:p>
    <w:p w14:paraId="7AB5563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19B87C6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506.71万元，其中：人员经费459.99万元，包括：基本工资、津贴补贴、奖金、绩效工资、机关事业单位基本养老保险缴费、职业年金缴费、职工基本医疗保险缴费、公务员医疗补助缴费、其他社会保障缴费和住房公积金。</w:t>
      </w:r>
    </w:p>
    <w:p w14:paraId="5588625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公用经费46.72万元，包括：办公费、劳务费、工会经费、福利费、公务用车运行维护费、其他交通费用和其他商品和服务支出。</w:t>
      </w:r>
    </w:p>
    <w:p w14:paraId="6C3179E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411F362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56DC49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3F1BE52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C33765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4D4ED72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2024年度财政拨款“三公”经费支出18.00万元，比上年减少5.61万元，下降23.76%，主要原因是：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。其中：因公出国（境）费支出0.00万元,占0.00%，与上年相比无变化，主要原因是：</w:t>
      </w:r>
      <w:bookmarkStart w:id="2" w:name="_Hlk207143847"/>
      <w:r>
        <w:rPr>
          <w:rFonts w:hint="eastAsia" w:ascii="仿宋_GB2312" w:eastAsia="仿宋_GB2312"/>
          <w:sz w:val="32"/>
          <w:szCs w:val="32"/>
          <w:lang w:eastAsia="zh-CN"/>
        </w:rPr>
        <w:t>我</w:t>
      </w:r>
      <w:bookmarkStart w:id="3" w:name="_Hlk209026967"/>
      <w:r>
        <w:rPr>
          <w:rFonts w:hint="eastAsia" w:ascii="仿宋_GB2312" w:eastAsia="仿宋_GB2312"/>
          <w:sz w:val="32"/>
          <w:szCs w:val="32"/>
          <w:lang w:eastAsia="zh-CN"/>
        </w:rPr>
        <w:t>单位上年度与本年度均无此项经费</w:t>
      </w:r>
      <w:bookmarkEnd w:id="2"/>
      <w:bookmarkEnd w:id="3"/>
      <w:r>
        <w:rPr>
          <w:rFonts w:ascii="仿宋_GB2312" w:eastAsia="仿宋_GB2312"/>
          <w:sz w:val="32"/>
          <w:szCs w:val="32"/>
          <w:lang w:eastAsia="zh-CN"/>
        </w:rPr>
        <w:t>；公务用车购置及运行维护费支出18.00万元，占100.00%，比上年减少5.61万元，下降23.76%，主要原因是：</w:t>
      </w:r>
      <w:r>
        <w:rPr>
          <w:rFonts w:hint="eastAsia" w:ascii="仿宋_GB2312" w:eastAsia="仿宋_GB2312"/>
          <w:sz w:val="32"/>
          <w:szCs w:val="32"/>
          <w:lang w:eastAsia="zh-CN"/>
        </w:rPr>
        <w:t>减少车辆出行，车辆维修费、燃油费等较上年减少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64A0787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7B3B294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4"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4"/>
      <w:r>
        <w:rPr>
          <w:rFonts w:ascii="仿宋_GB2312" w:eastAsia="仿宋_GB2312"/>
          <w:sz w:val="32"/>
          <w:szCs w:val="32"/>
          <w:lang w:eastAsia="zh-CN"/>
        </w:rPr>
        <w:t>。单位全年安排的因公出国（境）团组0个，因公出国（境）0人次。</w:t>
      </w:r>
    </w:p>
    <w:p w14:paraId="27AB68C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公务用车购置及运行维护费18.00万元，其中：公务用车购置费0.00万元，公务用车运行维护费18.00万元。公务用车运行维护费开支内容包括</w:t>
      </w:r>
      <w:bookmarkStart w:id="5" w:name="_Hlk207793066"/>
      <w:r>
        <w:rPr>
          <w:rFonts w:hint="eastAsia" w:ascii="仿宋_GB2312" w:eastAsia="仿宋_GB2312"/>
          <w:sz w:val="32"/>
          <w:szCs w:val="32"/>
          <w:lang w:eastAsia="zh-CN"/>
        </w:rPr>
        <w:t>公务用车维修维护费、燃油费、保险费、过路费等</w:t>
      </w:r>
      <w:bookmarkEnd w:id="5"/>
      <w:r>
        <w:rPr>
          <w:rFonts w:ascii="仿宋_GB2312" w:eastAsia="仿宋_GB2312"/>
          <w:sz w:val="32"/>
          <w:szCs w:val="32"/>
          <w:lang w:eastAsia="zh-CN"/>
        </w:rPr>
        <w:t>。公务用车购置数0辆，公务用车保有量12辆。国有资产占用情况中固定资产车辆12辆，与公务用车保有量差异原因是：</w:t>
      </w:r>
      <w:bookmarkStart w:id="6" w:name="_Hlk207143898"/>
      <w:r>
        <w:rPr>
          <w:rFonts w:hint="eastAsia" w:ascii="仿宋_GB2312" w:eastAsia="仿宋_GB2312"/>
          <w:sz w:val="32"/>
          <w:szCs w:val="32"/>
          <w:lang w:eastAsia="zh-CN"/>
        </w:rPr>
        <w:t>本单位固定资产车辆与公务用车保有量一致无差异</w:t>
      </w:r>
      <w:bookmarkEnd w:id="6"/>
      <w:r>
        <w:rPr>
          <w:rFonts w:ascii="仿宋_GB2312" w:eastAsia="仿宋_GB2312"/>
          <w:sz w:val="32"/>
          <w:szCs w:val="32"/>
          <w:lang w:eastAsia="zh-CN"/>
        </w:rPr>
        <w:t>。</w:t>
      </w:r>
    </w:p>
    <w:p w14:paraId="75DF67F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7" w:name="_Hlk207140433"/>
      <w:r>
        <w:rPr>
          <w:rFonts w:hint="eastAsia" w:ascii="仿宋_GB2312" w:eastAsia="仿宋_GB2312"/>
          <w:sz w:val="32"/>
          <w:szCs w:val="32"/>
          <w:lang w:eastAsia="zh-CN"/>
        </w:rPr>
        <w:t>单</w:t>
      </w:r>
      <w:bookmarkStart w:id="8"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7"/>
      <w:bookmarkEnd w:id="8"/>
      <w:r>
        <w:rPr>
          <w:rFonts w:ascii="仿宋_GB2312" w:eastAsia="仿宋_GB2312"/>
          <w:sz w:val="32"/>
          <w:szCs w:val="32"/>
          <w:lang w:eastAsia="zh-CN"/>
        </w:rPr>
        <w:t>。单位全年安排的国内公务接待0批次，0人次。</w:t>
      </w:r>
    </w:p>
    <w:p w14:paraId="16A562F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与全年预算相比，财政拨款“三公”经费支出全年预算数18.00万元，决算数18.00万元，预决算差异率0.00%，主要原因是：</w:t>
      </w:r>
      <w:bookmarkStart w:id="9" w:name="_Hlk207142995"/>
      <w:r>
        <w:rPr>
          <w:rFonts w:hint="eastAsia" w:ascii="仿宋_GB2312" w:eastAsia="仿宋_GB2312"/>
          <w:sz w:val="32"/>
          <w:szCs w:val="32"/>
          <w:lang w:eastAsia="zh-CN"/>
        </w:rPr>
        <w:t>严格按照预算执行，预决算对比无差异</w:t>
      </w:r>
      <w:bookmarkEnd w:id="9"/>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；公务用车运行维护费全年预算数18.00万元，决算数18.00万元，预决算差异率0.00%，主要原因是：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61D2D34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70004F6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56F382A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2024年度乌鲁木齐市米东区人民政府办公室单位（行政单位和参照公务员法管理事业单位）机关运行经费支出46.72万元，比上年减少66.60万元，下降58.77%，主要原因是：</w:t>
      </w:r>
      <w:r>
        <w:rPr>
          <w:rFonts w:hint="eastAsia" w:ascii="仿宋_GB2312" w:eastAsia="仿宋_GB2312"/>
          <w:sz w:val="32"/>
          <w:szCs w:val="32"/>
          <w:lang w:eastAsia="zh-CN"/>
        </w:rPr>
        <w:t>单位印刷费、水电费、差旅费、设施维修经费等较上年减少</w:t>
      </w:r>
      <w:r>
        <w:rPr>
          <w:rFonts w:ascii="仿宋_GB2312" w:eastAsia="仿宋_GB2312"/>
          <w:sz w:val="32"/>
          <w:szCs w:val="32"/>
          <w:lang w:eastAsia="zh-CN"/>
        </w:rPr>
        <w:t>。</w:t>
      </w:r>
    </w:p>
    <w:p w14:paraId="56E919B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478C466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2024年度政府采购支出总额2.14万元，其中：政府采购货物支出0.55万元、政府采购工程支出0.00万元、政府采购服务支出1.59万元。</w:t>
      </w:r>
    </w:p>
    <w:p w14:paraId="6B762E8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授予中小企业合同金额0.57万元，占政府采购支出总额的26.64%，其中：授予小微企业合同金额0.55万元，占政府采购支出总额的25.70%。</w:t>
      </w:r>
    </w:p>
    <w:p w14:paraId="2FE462C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67ADABC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截至2024年12月31日，房屋26,785.73平方米，价值1,941.78万元。</w:t>
      </w:r>
      <w:r>
        <w:rPr>
          <w:rFonts w:ascii="仿宋_GB2312" w:eastAsia="仿宋_GB2312"/>
          <w:sz w:val="32"/>
          <w:szCs w:val="32"/>
          <w:lang w:eastAsia="zh-CN"/>
        </w:rPr>
        <w:t>车辆12辆，价值329.16万元，其中：副部（省）级及以上领导用车0辆、主要负责人用车6辆、机要通信用车0辆、应急保障用车0辆、执法执勤用车0辆、特种专业技术用车0辆、离退休干部服务用车0辆、其他用车6辆，其他用车主要是：</w:t>
      </w:r>
      <w:r>
        <w:rPr>
          <w:rFonts w:hint="eastAsia" w:ascii="仿宋_GB2312" w:eastAsia="仿宋_GB2312"/>
          <w:sz w:val="32"/>
          <w:szCs w:val="32"/>
          <w:lang w:val="en-US" w:eastAsia="zh-CN"/>
        </w:rPr>
        <w:t>单位</w:t>
      </w:r>
      <w:bookmarkStart w:id="11" w:name="_GoBack"/>
      <w:bookmarkEnd w:id="11"/>
      <w:r>
        <w:rPr>
          <w:rFonts w:hint="eastAsia" w:ascii="仿宋_GB2312" w:eastAsia="仿宋_GB2312"/>
          <w:sz w:val="32"/>
          <w:szCs w:val="32"/>
          <w:lang w:eastAsia="zh-CN"/>
        </w:rPr>
        <w:t>业务</w:t>
      </w:r>
      <w:r>
        <w:rPr>
          <w:rFonts w:ascii="仿宋_GB2312" w:eastAsia="仿宋_GB2312"/>
          <w:sz w:val="32"/>
          <w:szCs w:val="32"/>
          <w:lang w:eastAsia="zh-CN"/>
        </w:rPr>
        <w:t>用车;单价100万元（含）以上设备（不含车辆）1台（套）。</w:t>
      </w:r>
    </w:p>
    <w:p w14:paraId="0CA3E27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0632A0C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590.78</w:t>
      </w:r>
      <w:r>
        <w:rPr>
          <w:rFonts w:ascii="仿宋_GB2312" w:eastAsia="仿宋_GB2312"/>
          <w:sz w:val="32"/>
          <w:szCs w:val="32"/>
          <w:lang w:eastAsia="zh-CN"/>
        </w:rPr>
        <w:t>万元，实际执行总额590.78万元；预算绩效评价项目2个，全年预算数83.92万元，全年执行数83.92万元。预算绩效管理取得的成效：</w:t>
      </w:r>
      <w:r>
        <w:rPr>
          <w:rFonts w:hint="eastAsia" w:ascii="仿宋_GB2312" w:eastAsia="仿宋_GB2312"/>
          <w:sz w:val="32"/>
          <w:szCs w:val="32"/>
          <w:lang w:eastAsia="zh-CN"/>
        </w:rPr>
        <w:t>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科室对部门中长期规划的重视程度，增强相关规划的落地性、导向性</w:t>
      </w:r>
      <w:r>
        <w:rPr>
          <w:rFonts w:ascii="仿宋_GB2312" w:eastAsia="仿宋_GB2312"/>
          <w:sz w:val="32"/>
          <w:szCs w:val="32"/>
          <w:lang w:eastAsia="zh-CN"/>
        </w:rPr>
        <w:t>。具体附部门整体支出绩效自评表，项目支出绩效自评表和部门评价报告。</w:t>
      </w:r>
    </w:p>
    <w:p w14:paraId="5C489D80">
      <w:pPr>
        <w:jc w:val="center"/>
        <w:rPr>
          <w:rFonts w:hint="eastAsia" w:ascii="宋体" w:hAnsi="宋体" w:eastAsia="宋体" w:cs="宋体"/>
          <w:b/>
          <w:bCs/>
          <w:sz w:val="28"/>
          <w:szCs w:val="28"/>
          <w:lang w:eastAsia="zh-CN"/>
        </w:rPr>
      </w:pPr>
      <w:bookmarkStart w:id="10" w:name="_Hlk174962300"/>
    </w:p>
    <w:p w14:paraId="2B12420E">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767CE12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49676C25">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FD6C613">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D799B32">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乌鲁木齐市米东区人民政府办公室</w:t>
            </w:r>
          </w:p>
        </w:tc>
        <w:tc>
          <w:tcPr>
            <w:tcW w:w="284" w:type="dxa"/>
            <w:tcBorders>
              <w:top w:val="nil"/>
              <w:left w:val="nil"/>
              <w:bottom w:val="nil"/>
              <w:right w:val="nil"/>
            </w:tcBorders>
            <w:noWrap/>
            <w:vAlign w:val="center"/>
          </w:tcPr>
          <w:p w14:paraId="1D43B445">
            <w:pPr>
              <w:rPr>
                <w:rFonts w:hint="eastAsia" w:ascii="宋体" w:hAnsi="宋体" w:eastAsia="宋体" w:cs="宋体"/>
                <w:b/>
                <w:bCs/>
                <w:sz w:val="18"/>
                <w:szCs w:val="18"/>
                <w:lang w:eastAsia="zh-CN"/>
              </w:rPr>
            </w:pPr>
          </w:p>
        </w:tc>
      </w:tr>
      <w:tr w14:paraId="4C5F0156">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FACA04F">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C8EBA83">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4A95F5D3">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76048F5E">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27FD02AF">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305CBF0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71194602">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719FAC1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1599E7D1">
            <w:pPr>
              <w:jc w:val="center"/>
              <w:rPr>
                <w:rFonts w:hint="eastAsia" w:ascii="宋体" w:hAnsi="宋体" w:eastAsia="宋体" w:cs="宋体"/>
                <w:b/>
                <w:bCs/>
                <w:sz w:val="18"/>
                <w:szCs w:val="18"/>
              </w:rPr>
            </w:pPr>
          </w:p>
        </w:tc>
      </w:tr>
      <w:tr w14:paraId="18F2C1C4">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3C313D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1DDDD40A">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621C3383">
            <w:pPr>
              <w:jc w:val="center"/>
              <w:rPr>
                <w:rFonts w:hint="eastAsia" w:ascii="宋体" w:hAnsi="宋体" w:eastAsia="宋体" w:cs="宋体"/>
                <w:sz w:val="18"/>
                <w:szCs w:val="18"/>
              </w:rPr>
            </w:pPr>
            <w:r>
              <w:rPr>
                <w:rFonts w:hint="eastAsia" w:ascii="宋体" w:hAnsi="宋体" w:eastAsia="宋体" w:cs="宋体"/>
                <w:sz w:val="18"/>
                <w:szCs w:val="18"/>
              </w:rPr>
              <w:t>543.95</w:t>
            </w:r>
          </w:p>
        </w:tc>
        <w:tc>
          <w:tcPr>
            <w:tcW w:w="1276" w:type="dxa"/>
            <w:tcBorders>
              <w:top w:val="nil"/>
              <w:left w:val="nil"/>
              <w:bottom w:val="single" w:color="auto" w:sz="4" w:space="0"/>
              <w:right w:val="single" w:color="auto" w:sz="4" w:space="0"/>
            </w:tcBorders>
            <w:vAlign w:val="center"/>
          </w:tcPr>
          <w:p w14:paraId="6EF1050C">
            <w:pPr>
              <w:jc w:val="center"/>
              <w:rPr>
                <w:rFonts w:hint="eastAsia" w:ascii="宋体" w:hAnsi="宋体" w:eastAsia="宋体" w:cs="宋体"/>
                <w:sz w:val="18"/>
                <w:szCs w:val="18"/>
              </w:rPr>
            </w:pPr>
            <w:r>
              <w:rPr>
                <w:rFonts w:hint="eastAsia" w:ascii="宋体" w:hAnsi="宋体" w:eastAsia="宋体" w:cs="宋体"/>
                <w:sz w:val="18"/>
                <w:szCs w:val="18"/>
              </w:rPr>
              <w:t>590.78</w:t>
            </w:r>
          </w:p>
        </w:tc>
        <w:tc>
          <w:tcPr>
            <w:tcW w:w="1701" w:type="dxa"/>
            <w:tcBorders>
              <w:top w:val="nil"/>
              <w:left w:val="nil"/>
              <w:bottom w:val="single" w:color="auto" w:sz="4" w:space="0"/>
              <w:right w:val="single" w:color="auto" w:sz="4" w:space="0"/>
            </w:tcBorders>
            <w:vAlign w:val="center"/>
          </w:tcPr>
          <w:p w14:paraId="2F5BA31C">
            <w:pPr>
              <w:jc w:val="center"/>
              <w:rPr>
                <w:rFonts w:hint="eastAsia" w:ascii="宋体" w:hAnsi="宋体" w:eastAsia="宋体" w:cs="宋体"/>
                <w:sz w:val="18"/>
                <w:szCs w:val="18"/>
              </w:rPr>
            </w:pPr>
            <w:r>
              <w:rPr>
                <w:rFonts w:hint="eastAsia" w:ascii="宋体" w:hAnsi="宋体" w:eastAsia="宋体" w:cs="宋体"/>
                <w:sz w:val="18"/>
                <w:szCs w:val="18"/>
              </w:rPr>
              <w:t>590.78</w:t>
            </w:r>
          </w:p>
        </w:tc>
        <w:tc>
          <w:tcPr>
            <w:tcW w:w="1134" w:type="dxa"/>
            <w:tcBorders>
              <w:top w:val="nil"/>
              <w:left w:val="nil"/>
              <w:bottom w:val="single" w:color="auto" w:sz="4" w:space="0"/>
              <w:right w:val="single" w:color="auto" w:sz="4" w:space="0"/>
            </w:tcBorders>
            <w:vAlign w:val="center"/>
          </w:tcPr>
          <w:p w14:paraId="698D257D">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66E40EB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5615684F">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0E4F72C6">
            <w:pPr>
              <w:jc w:val="center"/>
              <w:rPr>
                <w:rFonts w:hint="eastAsia" w:ascii="宋体" w:hAnsi="宋体" w:eastAsia="宋体" w:cs="宋体"/>
                <w:b/>
                <w:bCs/>
                <w:sz w:val="18"/>
                <w:szCs w:val="18"/>
              </w:rPr>
            </w:pPr>
          </w:p>
        </w:tc>
      </w:tr>
      <w:tr w14:paraId="5CB027DD">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40039A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7B046B0">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109475F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2A7DC4F8">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35FA21D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7F0A3A5">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5C2E4C8">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0CF9F73">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1824F3F8">
            <w:pPr>
              <w:jc w:val="center"/>
              <w:rPr>
                <w:rFonts w:hint="eastAsia" w:ascii="宋体" w:hAnsi="宋体" w:eastAsia="宋体" w:cs="宋体"/>
                <w:sz w:val="18"/>
                <w:szCs w:val="18"/>
              </w:rPr>
            </w:pPr>
          </w:p>
        </w:tc>
      </w:tr>
      <w:tr w14:paraId="302BD9EA">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CF6410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E2940B2">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4FA3CB73">
            <w:pPr>
              <w:jc w:val="center"/>
              <w:rPr>
                <w:rFonts w:hint="eastAsia" w:ascii="宋体" w:hAnsi="宋体" w:eastAsia="宋体" w:cs="宋体"/>
                <w:sz w:val="18"/>
                <w:szCs w:val="18"/>
              </w:rPr>
            </w:pPr>
            <w:r>
              <w:rPr>
                <w:rFonts w:hint="eastAsia" w:ascii="宋体" w:hAnsi="宋体" w:eastAsia="宋体" w:cs="宋体"/>
                <w:sz w:val="18"/>
                <w:szCs w:val="18"/>
              </w:rPr>
              <w:t>533.95</w:t>
            </w:r>
          </w:p>
        </w:tc>
        <w:tc>
          <w:tcPr>
            <w:tcW w:w="1276" w:type="dxa"/>
            <w:tcBorders>
              <w:top w:val="nil"/>
              <w:left w:val="nil"/>
              <w:bottom w:val="single" w:color="auto" w:sz="4" w:space="0"/>
              <w:right w:val="single" w:color="auto" w:sz="4" w:space="0"/>
            </w:tcBorders>
            <w:vAlign w:val="center"/>
          </w:tcPr>
          <w:p w14:paraId="59C0CC00">
            <w:pPr>
              <w:jc w:val="center"/>
              <w:rPr>
                <w:rFonts w:hint="eastAsia" w:ascii="宋体" w:hAnsi="宋体" w:eastAsia="宋体" w:cs="宋体"/>
                <w:sz w:val="18"/>
                <w:szCs w:val="18"/>
              </w:rPr>
            </w:pPr>
            <w:r>
              <w:rPr>
                <w:rFonts w:hint="eastAsia" w:ascii="宋体" w:hAnsi="宋体" w:eastAsia="宋体" w:cs="宋体"/>
                <w:sz w:val="18"/>
                <w:szCs w:val="18"/>
              </w:rPr>
              <w:t>590.78</w:t>
            </w:r>
          </w:p>
        </w:tc>
        <w:tc>
          <w:tcPr>
            <w:tcW w:w="1701" w:type="dxa"/>
            <w:tcBorders>
              <w:top w:val="nil"/>
              <w:left w:val="nil"/>
              <w:bottom w:val="single" w:color="auto" w:sz="4" w:space="0"/>
              <w:right w:val="single" w:color="auto" w:sz="4" w:space="0"/>
            </w:tcBorders>
            <w:vAlign w:val="center"/>
          </w:tcPr>
          <w:p w14:paraId="545EF1F1">
            <w:pPr>
              <w:jc w:val="center"/>
              <w:rPr>
                <w:rFonts w:hint="eastAsia" w:ascii="宋体" w:hAnsi="宋体" w:eastAsia="宋体" w:cs="宋体"/>
                <w:sz w:val="18"/>
                <w:szCs w:val="18"/>
              </w:rPr>
            </w:pPr>
            <w:r>
              <w:rPr>
                <w:rFonts w:hint="eastAsia" w:ascii="宋体" w:hAnsi="宋体" w:eastAsia="宋体" w:cs="宋体"/>
                <w:sz w:val="18"/>
                <w:szCs w:val="18"/>
              </w:rPr>
              <w:t>590.78</w:t>
            </w:r>
          </w:p>
        </w:tc>
        <w:tc>
          <w:tcPr>
            <w:tcW w:w="1134" w:type="dxa"/>
            <w:tcBorders>
              <w:top w:val="nil"/>
              <w:left w:val="nil"/>
              <w:bottom w:val="single" w:color="auto" w:sz="4" w:space="0"/>
              <w:right w:val="single" w:color="auto" w:sz="4" w:space="0"/>
            </w:tcBorders>
            <w:vAlign w:val="center"/>
          </w:tcPr>
          <w:p w14:paraId="59749180">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67FECB5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4CCB642">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2C78C50A">
            <w:pPr>
              <w:jc w:val="center"/>
              <w:rPr>
                <w:rFonts w:hint="eastAsia" w:ascii="宋体" w:hAnsi="宋体" w:eastAsia="宋体" w:cs="宋体"/>
                <w:sz w:val="18"/>
                <w:szCs w:val="18"/>
              </w:rPr>
            </w:pPr>
          </w:p>
        </w:tc>
      </w:tr>
      <w:tr w14:paraId="2DBB7B1C">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D53B23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EE8910B">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2B111B27">
            <w:pPr>
              <w:jc w:val="center"/>
              <w:rPr>
                <w:rFonts w:hint="eastAsia" w:ascii="宋体" w:hAnsi="宋体" w:eastAsia="宋体" w:cs="宋体"/>
                <w:sz w:val="18"/>
                <w:szCs w:val="18"/>
              </w:rPr>
            </w:pPr>
            <w:r>
              <w:rPr>
                <w:rFonts w:hint="eastAsia" w:ascii="宋体" w:hAnsi="宋体" w:eastAsia="宋体" w:cs="宋体"/>
                <w:sz w:val="18"/>
                <w:szCs w:val="18"/>
              </w:rPr>
              <w:t>10.00</w:t>
            </w:r>
          </w:p>
        </w:tc>
        <w:tc>
          <w:tcPr>
            <w:tcW w:w="1276" w:type="dxa"/>
            <w:tcBorders>
              <w:top w:val="nil"/>
              <w:left w:val="nil"/>
              <w:bottom w:val="single" w:color="auto" w:sz="4" w:space="0"/>
              <w:right w:val="single" w:color="auto" w:sz="4" w:space="0"/>
            </w:tcBorders>
            <w:vAlign w:val="center"/>
          </w:tcPr>
          <w:p w14:paraId="4A4B7DE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4D2B20B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0A925BEE">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2BDD7854">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6A5DF133">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30FB24B2">
            <w:pPr>
              <w:jc w:val="center"/>
              <w:rPr>
                <w:rFonts w:hint="eastAsia" w:ascii="宋体" w:hAnsi="宋体" w:eastAsia="宋体" w:cs="宋体"/>
                <w:sz w:val="18"/>
                <w:szCs w:val="18"/>
              </w:rPr>
            </w:pPr>
          </w:p>
        </w:tc>
      </w:tr>
      <w:tr w14:paraId="3ECF38A2">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C6EAEBA">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D31C8F9">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49F7C329">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4106D968">
            <w:pPr>
              <w:rPr>
                <w:rFonts w:hint="eastAsia" w:ascii="宋体" w:hAnsi="宋体" w:eastAsia="宋体" w:cs="宋体"/>
                <w:b/>
                <w:bCs/>
                <w:sz w:val="18"/>
                <w:szCs w:val="18"/>
              </w:rPr>
            </w:pPr>
          </w:p>
        </w:tc>
      </w:tr>
      <w:tr w14:paraId="7CCB6F3F">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EBC6E21">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0DD9A236">
            <w:pPr>
              <w:rPr>
                <w:rFonts w:hint="eastAsia" w:ascii="宋体" w:hAnsi="宋体" w:eastAsia="宋体" w:cs="宋体"/>
                <w:sz w:val="18"/>
                <w:szCs w:val="18"/>
                <w:lang w:eastAsia="zh-CN"/>
              </w:rPr>
            </w:pPr>
            <w:r>
              <w:rPr>
                <w:rFonts w:hint="eastAsia" w:ascii="宋体" w:hAnsi="宋体" w:eastAsia="宋体" w:cs="宋体"/>
                <w:sz w:val="18"/>
                <w:szCs w:val="18"/>
                <w:lang w:eastAsia="zh-CN"/>
              </w:rPr>
              <w:t>一：单位职责.负责区人民政府日常工作的综合协调，承担与区委、人大、政协、纪委监委办公室以及驻米东部队、各民主党派的协调联系工作。区人民政府日常文电的处理工作，承担区人民政府、区人民政府办公室文件文稿的草拟、修改、审核和制发、立卷、归档工作研究区人民政府部门、乡（镇）人民政府、片区管委会请示区人民政府的事项，提出审核意见，报区人民政府领导同志审定。负责督促检查区人民政府公文、会议决定事项及区人民政府领导同志指示的贯彻落实情况并跟踪调研，及时向区人民政府领导同志报告；负责人大代表建议意见和政协委员提案的督办工作。负责区人民政府召开会议的筹备、组织和服务工作；负责区人民政府领导同志的公务活动安排，负责国家、自治区、市和各地政府领导来米东区进行公务活动的组织协调和接待服务工作。负责区委、区人民政府办公楼值班工作，及时向区人民政府领导同志报告重要情况，协助处理各部门和乡镇（片区）向区人民政府反映的重要问题，传达和督促落实区人民政府领导同志的指示。负责指导、监督政务公开及政府信息公开工作，协调推进“放管服”改革工作。根据区人民政府的工作重点和区人民政府领导同志的指示，组织专题调查研究，及时反映情况，提出建议。负责政府信息的收集、整理和报送工作，指导全区政务信息工作。负责区人民政府系统电子政务的组织、规划、协调和指导工作；负责政府门户网站建设管理。负责机关事务的管理、保障、服务工作。承办区行政审批制度改革领导小组的日常工作。承办区委、区人民政府和区人民政府领导同志交办的其他事项。二：2024年工作计划。在区委、区人民政府的坚强领导下，认真办文办会，充分发挥参谋辅政作用。一是较好地完成各类文稿撰写工作；二是精准高效做好来文办理；三是积极发挥信息的决策参考作用；四是不断完善办会流程。加大政务督查力度，推动政府决策落实。坚持统筹兼顾，加大督查落实力度，有力促进综合协调工作取得新进展。强化政务公开实效，不断提高信息化服务水平。积极发挥参谋助手作用，提升服务决策能力。下一步，办公室将坚持以习近平新时代中国特色社会主义思想为指导，总结经验、查找不足，创新思路、扎实工作，努力提高“三服务”水平，以实际行动落实好党的二十大精神。（一）加强政治建设，切实提升履职能力。要提高政治站位，坚持以习近平新时代中国特色社会主义思想为指导，胸怀“国之大者”，深化政治机关建设，坚定维护党中央集中统一领导，始终在思想上政治上行动上同党中央保持高度一致。要强化政治担当，紧紧围绕全面贯彻党的二十大精神，加强统筹协调和督促检查，形成强大合力，力戒形式主义，推动党中央决策部署落地见效。要提升政治能力，坚持守正创新，更好发挥党委和政府参谋助手的重要作用。要落实政治责任，坚定不移推进全面从严治党，打造忠诚干净担当的高素质专业化干部队伍，建设让党放心、让人民满意的模范机关，为全面推进强国建设、民族复兴伟业作出新的更大贡献。（二）增强大局意识，切实做好维护稳定工作。要围绕中心、服务大局，扎实推动党中央决策部署贯彻落实，牢牢扭住总目标，切实做好各项维护稳定工作。认真开展“民族团结一家亲”和民族团结联谊活动，夯实群众工作基础。周密做好机关大楼安全防范工作，加强对重点要害部位的安全检查，坚持做好“节假日”值班—8—和应急值守工作。（三）做好统筹协调，加大督查落实力度。要适应新形势新任务，全面提高“三服务”工作能力水平，着力加强统筹协调，充分发挥办公室综合协调作用，加强对重点项目、重大活动、重要工作的综合协调，积极主动与基层、部门沟通对接，做好超前服务，确保政令畅通、务实高效。加强对领导批示件、市政府督查件、区委、区政府重大决策部署及“两案”办理情况的督查和跟踪反馈，切实推动区委、区政府安排部署的各项工作衔接有序、落实到位。（四）强化服务意识，加强党风廉政建设。深入践行党的群众路线，耐心细致做好群众工作，限时解决难点、堵点问题，加强舆情引导，及时回应群众关切。加大对基层工作的调研力度，为政府领导决策提供参考依据。要落实政治责任，以更高标准、更严要求、更实措施加强办公室自身建设，深入开展党风党纪教育和廉政教育，组织全体干部认真学习党纪法规，做廉洁自律的典范。积极践行监督执纪“四种形态”，建立完善抓早、抓小、抓常、抓长制度措施，从严从实从细抓好全面从严治党和党风廉政建设工作，努力在各级党政机关中走在最前列。</w:t>
            </w:r>
          </w:p>
        </w:tc>
        <w:tc>
          <w:tcPr>
            <w:tcW w:w="4547" w:type="dxa"/>
            <w:gridSpan w:val="4"/>
            <w:tcBorders>
              <w:top w:val="single" w:color="auto" w:sz="4" w:space="0"/>
              <w:left w:val="nil"/>
              <w:bottom w:val="single" w:color="auto" w:sz="4" w:space="0"/>
              <w:right w:val="single" w:color="auto" w:sz="4" w:space="0"/>
            </w:tcBorders>
          </w:tcPr>
          <w:p w14:paraId="7130AA43">
            <w:pPr>
              <w:rPr>
                <w:rFonts w:hint="eastAsia" w:ascii="宋体" w:hAnsi="宋体" w:eastAsia="宋体" w:cs="宋体"/>
                <w:sz w:val="18"/>
                <w:szCs w:val="18"/>
                <w:lang w:eastAsia="zh-CN"/>
              </w:rPr>
            </w:pPr>
            <w:r>
              <w:rPr>
                <w:rFonts w:hint="eastAsia" w:ascii="宋体" w:hAnsi="宋体" w:eastAsia="宋体" w:cs="宋体"/>
                <w:sz w:val="18"/>
                <w:szCs w:val="18"/>
                <w:lang w:eastAsia="zh-CN"/>
              </w:rPr>
              <w:t>较好地完成各类文稿撰写工作；精准高效做好来文办理；积极发挥信息的决策参考作用；不断完善办会流程。加大政务督查力度，推动政府决策落实。坚持统筹兼顾，加大督查落实力度，有力促进综合协调工作取得新进展。强化政务公开实效，不断提高信息化服务水平。积极发挥参谋助手作用，提升服务决策能力。办公室坚持以习近平新时代中国特色社会主义思想为指导，总结经验、查找不足，创新思路、扎实工作，努力提高“三服务”水平，以实际行动落实好党的二十大精神。提高政治站位，坚持以习近平新时代中国特色社会主义思想为指导，胸怀“国之大者”，深化政治机关建设，坚定维护党中央集中统一领导，始终在思想上政治上行动上同党中央保持高度一致。强化政治担当，紧紧围绕全面贯彻党的二十大精神，加强统筹协调和督促检查，形成强大合力，力戒形式主义，推动党中央决策部署落地见效。提升政治能力，坚持守正创新，更好发挥党委和政府参谋助手的重要作用。落实政治责任，坚定不移推进全面从严治党，打造忠诚干净担当的高素质专业化干部队伍，建设让党放心、让人民满意的模范机关，为全面推进强国建设、民族复兴伟业作出新的更大贡献。围绕中心、服务大局，扎实推动党中央决策部署贯彻落实，牢牢扭住总目标，切实做好各项维护稳定工作。认真开展“民族团结一家亲”和民族团结联谊活动，夯实群众工作基础。周密做好机关大楼安全防范工作，加强对重点要害部位的安全检查，坚持做好“节假日”值班和应急值守工作。适应新形势新任务，全面提高“三服务”工作能力水平，着力加强统筹协调，充分发挥办公室综合协调作用，加强对重点项目、重大活动、重要工作的综合协调，积极主动与基层、部门沟通对接，做好超前服务，确保政令畅通、务实高效。加强对领导批示件、市政府督查件、区委、区政府重大决策部署及“两案”办理情况的督查和跟踪反馈，切实推动区委、区政府安排部署的各项工作衔接有序、落实到位。深入践行党的群众路线，耐心细致做好群众工作，限时解决难点、堵点问题，加强舆情引导，及时回应群众关切。加大对基层工作的调研力度，为政府领导决策提供参考依据。落实政治责任，以更高标准、更严要求、更实措施加强办公室自身建设，深入开展党风党纪教育和廉政教育，组织全体干部认真学习党纪法规，做廉洁自律的典范。</w:t>
            </w:r>
          </w:p>
        </w:tc>
        <w:tc>
          <w:tcPr>
            <w:tcW w:w="284" w:type="dxa"/>
            <w:tcBorders>
              <w:top w:val="nil"/>
              <w:left w:val="nil"/>
              <w:bottom w:val="nil"/>
              <w:right w:val="nil"/>
            </w:tcBorders>
            <w:noWrap/>
            <w:vAlign w:val="center"/>
          </w:tcPr>
          <w:p w14:paraId="7300B277">
            <w:pPr>
              <w:rPr>
                <w:rFonts w:hint="eastAsia" w:ascii="宋体" w:hAnsi="宋体" w:eastAsia="宋体" w:cs="宋体"/>
                <w:sz w:val="18"/>
                <w:szCs w:val="18"/>
                <w:lang w:eastAsia="zh-CN"/>
              </w:rPr>
            </w:pPr>
          </w:p>
        </w:tc>
      </w:tr>
      <w:tr w14:paraId="61DE854F">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377B302">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21B1597">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4180EBC">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49FA03B6">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176D268D">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516CA2FF">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4FB5FE2E">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13E519F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72281E8">
            <w:pPr>
              <w:rPr>
                <w:rFonts w:hint="eastAsia" w:ascii="宋体" w:hAnsi="宋体" w:eastAsia="宋体" w:cs="宋体"/>
                <w:b/>
                <w:bCs/>
                <w:sz w:val="18"/>
                <w:szCs w:val="18"/>
              </w:rPr>
            </w:pPr>
          </w:p>
        </w:tc>
      </w:tr>
      <w:tr w14:paraId="53B60EFF">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0AD1459">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7AF25C57">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ECD76C8">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接收处理各级各类文件</w:t>
            </w:r>
          </w:p>
        </w:tc>
        <w:tc>
          <w:tcPr>
            <w:tcW w:w="1276" w:type="dxa"/>
            <w:tcBorders>
              <w:top w:val="nil"/>
              <w:left w:val="nil"/>
              <w:bottom w:val="single" w:color="auto" w:sz="4" w:space="0"/>
              <w:right w:val="single" w:color="auto" w:sz="4" w:space="0"/>
            </w:tcBorders>
            <w:noWrap/>
            <w:vAlign w:val="center"/>
          </w:tcPr>
          <w:p w14:paraId="6B52B630">
            <w:pPr>
              <w:jc w:val="center"/>
              <w:rPr>
                <w:rFonts w:hint="eastAsia" w:ascii="宋体" w:hAnsi="宋体" w:eastAsia="宋体" w:cs="宋体"/>
                <w:sz w:val="18"/>
                <w:szCs w:val="18"/>
              </w:rPr>
            </w:pPr>
            <w:r>
              <w:rPr>
                <w:rFonts w:hint="eastAsia" w:ascii="宋体" w:hAnsi="宋体" w:eastAsia="宋体" w:cs="宋体"/>
                <w:sz w:val="18"/>
                <w:szCs w:val="18"/>
              </w:rPr>
              <w:t>&gt;=5767件</w:t>
            </w:r>
          </w:p>
        </w:tc>
        <w:tc>
          <w:tcPr>
            <w:tcW w:w="1701" w:type="dxa"/>
            <w:tcBorders>
              <w:top w:val="nil"/>
              <w:left w:val="nil"/>
              <w:bottom w:val="single" w:color="auto" w:sz="4" w:space="0"/>
              <w:right w:val="single" w:color="auto" w:sz="4" w:space="0"/>
            </w:tcBorders>
            <w:noWrap/>
            <w:vAlign w:val="center"/>
          </w:tcPr>
          <w:p w14:paraId="5F243FFA">
            <w:pPr>
              <w:rPr>
                <w:rFonts w:hint="eastAsia" w:ascii="宋体" w:hAnsi="宋体" w:eastAsia="宋体" w:cs="宋体"/>
                <w:sz w:val="18"/>
                <w:szCs w:val="18"/>
                <w:lang w:eastAsia="zh-CN"/>
              </w:rPr>
            </w:pPr>
            <w:r>
              <w:rPr>
                <w:rFonts w:hint="eastAsia" w:ascii="宋体" w:hAnsi="宋体" w:eastAsia="宋体" w:cs="宋体"/>
                <w:sz w:val="18"/>
                <w:szCs w:val="18"/>
                <w:lang w:eastAsia="zh-CN"/>
              </w:rPr>
              <w:t>区政府办公室2023年工作总结及2024年工作计划</w:t>
            </w:r>
          </w:p>
        </w:tc>
        <w:tc>
          <w:tcPr>
            <w:tcW w:w="1134" w:type="dxa"/>
            <w:tcBorders>
              <w:top w:val="nil"/>
              <w:left w:val="nil"/>
              <w:bottom w:val="single" w:color="auto" w:sz="4" w:space="0"/>
              <w:right w:val="single" w:color="auto" w:sz="4" w:space="0"/>
            </w:tcBorders>
            <w:noWrap/>
            <w:vAlign w:val="center"/>
          </w:tcPr>
          <w:p w14:paraId="0CB7536F">
            <w:pPr>
              <w:jc w:val="center"/>
              <w:rPr>
                <w:rFonts w:hint="eastAsia" w:ascii="宋体" w:hAnsi="宋体" w:eastAsia="宋体" w:cs="宋体"/>
                <w:sz w:val="18"/>
                <w:szCs w:val="18"/>
              </w:rPr>
            </w:pPr>
            <w:r>
              <w:rPr>
                <w:rFonts w:hint="eastAsia" w:ascii="宋体" w:hAnsi="宋体" w:eastAsia="宋体" w:cs="宋体"/>
                <w:sz w:val="18"/>
                <w:szCs w:val="18"/>
              </w:rPr>
              <w:t>4908件</w:t>
            </w:r>
          </w:p>
        </w:tc>
        <w:tc>
          <w:tcPr>
            <w:tcW w:w="992" w:type="dxa"/>
            <w:tcBorders>
              <w:top w:val="nil"/>
              <w:left w:val="nil"/>
              <w:bottom w:val="single" w:color="auto" w:sz="4" w:space="0"/>
              <w:right w:val="single" w:color="auto" w:sz="4" w:space="0"/>
            </w:tcBorders>
            <w:noWrap/>
            <w:vAlign w:val="center"/>
          </w:tcPr>
          <w:p w14:paraId="7008753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0F864336">
            <w:pPr>
              <w:jc w:val="center"/>
              <w:rPr>
                <w:rFonts w:hint="eastAsia" w:ascii="宋体" w:hAnsi="宋体" w:eastAsia="宋体" w:cs="宋体"/>
                <w:sz w:val="18"/>
                <w:szCs w:val="18"/>
              </w:rPr>
            </w:pPr>
            <w:r>
              <w:rPr>
                <w:rFonts w:hint="eastAsia" w:ascii="宋体" w:hAnsi="宋体" w:eastAsia="宋体" w:cs="宋体"/>
                <w:sz w:val="18"/>
                <w:szCs w:val="18"/>
              </w:rPr>
              <w:t>25.53</w:t>
            </w:r>
          </w:p>
        </w:tc>
        <w:tc>
          <w:tcPr>
            <w:tcW w:w="284" w:type="dxa"/>
            <w:tcBorders>
              <w:top w:val="nil"/>
              <w:left w:val="nil"/>
              <w:bottom w:val="nil"/>
              <w:right w:val="nil"/>
            </w:tcBorders>
            <w:noWrap/>
            <w:vAlign w:val="center"/>
          </w:tcPr>
          <w:p w14:paraId="2CCD1BF3">
            <w:pPr>
              <w:jc w:val="center"/>
              <w:rPr>
                <w:rFonts w:hint="eastAsia" w:ascii="宋体" w:hAnsi="宋体" w:eastAsia="宋体" w:cs="宋体"/>
                <w:sz w:val="18"/>
                <w:szCs w:val="18"/>
              </w:rPr>
            </w:pPr>
          </w:p>
        </w:tc>
      </w:tr>
      <w:tr w14:paraId="663E7CCD">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0A6A1EB0">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2427F572">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BFFD009">
            <w:pPr>
              <w:jc w:val="center"/>
              <w:rPr>
                <w:rFonts w:hint="eastAsia" w:ascii="宋体" w:hAnsi="宋体" w:eastAsia="宋体" w:cs="宋体"/>
                <w:sz w:val="18"/>
                <w:szCs w:val="18"/>
              </w:rPr>
            </w:pPr>
            <w:r>
              <w:rPr>
                <w:rFonts w:hint="eastAsia" w:ascii="宋体" w:hAnsi="宋体" w:eastAsia="宋体" w:cs="宋体"/>
                <w:sz w:val="18"/>
                <w:szCs w:val="18"/>
              </w:rPr>
              <w:t>制发文件</w:t>
            </w:r>
          </w:p>
        </w:tc>
        <w:tc>
          <w:tcPr>
            <w:tcW w:w="1276" w:type="dxa"/>
            <w:tcBorders>
              <w:top w:val="nil"/>
              <w:left w:val="nil"/>
              <w:bottom w:val="single" w:color="auto" w:sz="4" w:space="0"/>
              <w:right w:val="single" w:color="auto" w:sz="4" w:space="0"/>
            </w:tcBorders>
            <w:noWrap/>
            <w:vAlign w:val="center"/>
          </w:tcPr>
          <w:p w14:paraId="0FDCB6E6">
            <w:pPr>
              <w:jc w:val="center"/>
              <w:rPr>
                <w:rFonts w:hint="eastAsia" w:ascii="宋体" w:hAnsi="宋体" w:eastAsia="宋体" w:cs="宋体"/>
                <w:sz w:val="18"/>
                <w:szCs w:val="18"/>
              </w:rPr>
            </w:pPr>
            <w:r>
              <w:rPr>
                <w:rFonts w:hint="eastAsia" w:ascii="宋体" w:hAnsi="宋体" w:eastAsia="宋体" w:cs="宋体"/>
                <w:sz w:val="18"/>
                <w:szCs w:val="18"/>
              </w:rPr>
              <w:t>&gt;=1563份</w:t>
            </w:r>
          </w:p>
        </w:tc>
        <w:tc>
          <w:tcPr>
            <w:tcW w:w="1701" w:type="dxa"/>
            <w:tcBorders>
              <w:top w:val="nil"/>
              <w:left w:val="nil"/>
              <w:bottom w:val="single" w:color="auto" w:sz="4" w:space="0"/>
              <w:right w:val="single" w:color="auto" w:sz="4" w:space="0"/>
            </w:tcBorders>
            <w:noWrap/>
            <w:vAlign w:val="center"/>
          </w:tcPr>
          <w:p w14:paraId="21614FED">
            <w:pPr>
              <w:rPr>
                <w:rFonts w:hint="eastAsia" w:ascii="宋体" w:hAnsi="宋体" w:eastAsia="宋体" w:cs="宋体"/>
                <w:sz w:val="18"/>
                <w:szCs w:val="18"/>
                <w:lang w:eastAsia="zh-CN"/>
              </w:rPr>
            </w:pPr>
            <w:r>
              <w:rPr>
                <w:rFonts w:hint="eastAsia" w:ascii="宋体" w:hAnsi="宋体" w:eastAsia="宋体" w:cs="宋体"/>
                <w:sz w:val="18"/>
                <w:szCs w:val="18"/>
                <w:lang w:eastAsia="zh-CN"/>
              </w:rPr>
              <w:t>区政府办公室2023年工作总结及2024年工作计划</w:t>
            </w:r>
          </w:p>
        </w:tc>
        <w:tc>
          <w:tcPr>
            <w:tcW w:w="1134" w:type="dxa"/>
            <w:tcBorders>
              <w:top w:val="nil"/>
              <w:left w:val="nil"/>
              <w:bottom w:val="single" w:color="auto" w:sz="4" w:space="0"/>
              <w:right w:val="single" w:color="auto" w:sz="4" w:space="0"/>
            </w:tcBorders>
            <w:noWrap/>
            <w:vAlign w:val="center"/>
          </w:tcPr>
          <w:p w14:paraId="2D43FDAE">
            <w:pPr>
              <w:jc w:val="center"/>
              <w:rPr>
                <w:rFonts w:hint="eastAsia" w:ascii="宋体" w:hAnsi="宋体" w:eastAsia="宋体" w:cs="宋体"/>
                <w:sz w:val="18"/>
                <w:szCs w:val="18"/>
              </w:rPr>
            </w:pPr>
            <w:r>
              <w:rPr>
                <w:rFonts w:hint="eastAsia" w:ascii="宋体" w:hAnsi="宋体" w:eastAsia="宋体" w:cs="宋体"/>
                <w:sz w:val="18"/>
                <w:szCs w:val="18"/>
              </w:rPr>
              <w:t>1464份</w:t>
            </w:r>
          </w:p>
        </w:tc>
        <w:tc>
          <w:tcPr>
            <w:tcW w:w="992" w:type="dxa"/>
            <w:tcBorders>
              <w:top w:val="nil"/>
              <w:left w:val="nil"/>
              <w:bottom w:val="single" w:color="auto" w:sz="4" w:space="0"/>
              <w:right w:val="single" w:color="auto" w:sz="4" w:space="0"/>
            </w:tcBorders>
            <w:noWrap/>
            <w:vAlign w:val="center"/>
          </w:tcPr>
          <w:p w14:paraId="2467DA1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F26BB69">
            <w:pPr>
              <w:jc w:val="center"/>
              <w:rPr>
                <w:rFonts w:hint="eastAsia" w:ascii="宋体" w:hAnsi="宋体" w:eastAsia="宋体" w:cs="宋体"/>
                <w:sz w:val="18"/>
                <w:szCs w:val="18"/>
              </w:rPr>
            </w:pPr>
            <w:r>
              <w:rPr>
                <w:rFonts w:hint="eastAsia" w:ascii="宋体" w:hAnsi="宋体" w:eastAsia="宋体" w:cs="宋体"/>
                <w:sz w:val="18"/>
                <w:szCs w:val="18"/>
              </w:rPr>
              <w:t>28.1</w:t>
            </w:r>
          </w:p>
        </w:tc>
        <w:tc>
          <w:tcPr>
            <w:tcW w:w="284" w:type="dxa"/>
            <w:tcBorders>
              <w:top w:val="nil"/>
              <w:left w:val="nil"/>
              <w:bottom w:val="nil"/>
              <w:right w:val="nil"/>
            </w:tcBorders>
            <w:noWrap/>
            <w:vAlign w:val="center"/>
          </w:tcPr>
          <w:p w14:paraId="4BF08C2D">
            <w:pPr>
              <w:jc w:val="center"/>
              <w:rPr>
                <w:rFonts w:hint="eastAsia" w:ascii="宋体" w:hAnsi="宋体" w:eastAsia="宋体" w:cs="宋体"/>
                <w:sz w:val="18"/>
                <w:szCs w:val="18"/>
              </w:rPr>
            </w:pPr>
          </w:p>
        </w:tc>
      </w:tr>
      <w:tr w14:paraId="7D1B953B">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646B83E">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6216C7FC">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1F0307DC">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召开政府党组会议、常务会议</w:t>
            </w:r>
          </w:p>
        </w:tc>
        <w:tc>
          <w:tcPr>
            <w:tcW w:w="1276" w:type="dxa"/>
            <w:tcBorders>
              <w:top w:val="single" w:color="auto" w:sz="4" w:space="0"/>
              <w:left w:val="nil"/>
              <w:bottom w:val="single" w:color="auto" w:sz="4" w:space="0"/>
              <w:right w:val="single" w:color="auto" w:sz="4" w:space="0"/>
            </w:tcBorders>
            <w:noWrap/>
            <w:vAlign w:val="center"/>
          </w:tcPr>
          <w:p w14:paraId="52513952">
            <w:pPr>
              <w:jc w:val="center"/>
              <w:rPr>
                <w:rFonts w:hint="eastAsia" w:ascii="宋体" w:hAnsi="宋体" w:eastAsia="宋体" w:cs="宋体"/>
                <w:sz w:val="18"/>
                <w:szCs w:val="18"/>
              </w:rPr>
            </w:pPr>
            <w:r>
              <w:rPr>
                <w:rFonts w:hint="eastAsia" w:ascii="宋体" w:hAnsi="宋体" w:eastAsia="宋体" w:cs="宋体"/>
                <w:sz w:val="18"/>
                <w:szCs w:val="18"/>
              </w:rPr>
              <w:t>&gt;=32场</w:t>
            </w:r>
          </w:p>
        </w:tc>
        <w:tc>
          <w:tcPr>
            <w:tcW w:w="1701" w:type="dxa"/>
            <w:tcBorders>
              <w:top w:val="single" w:color="auto" w:sz="4" w:space="0"/>
              <w:left w:val="nil"/>
              <w:bottom w:val="single" w:color="auto" w:sz="4" w:space="0"/>
              <w:right w:val="single" w:color="auto" w:sz="4" w:space="0"/>
            </w:tcBorders>
            <w:noWrap/>
            <w:vAlign w:val="center"/>
          </w:tcPr>
          <w:p w14:paraId="1110D3B0">
            <w:pPr>
              <w:rPr>
                <w:rFonts w:hint="eastAsia" w:ascii="宋体" w:hAnsi="宋体" w:eastAsia="宋体" w:cs="宋体"/>
                <w:sz w:val="18"/>
                <w:szCs w:val="18"/>
                <w:lang w:eastAsia="zh-CN"/>
              </w:rPr>
            </w:pPr>
            <w:r>
              <w:rPr>
                <w:rFonts w:hint="eastAsia" w:ascii="宋体" w:hAnsi="宋体" w:eastAsia="宋体" w:cs="宋体"/>
                <w:sz w:val="18"/>
                <w:szCs w:val="18"/>
                <w:lang w:eastAsia="zh-CN"/>
              </w:rPr>
              <w:t>区政府办公室2023年工作总结及2024年工作计划</w:t>
            </w:r>
          </w:p>
        </w:tc>
        <w:tc>
          <w:tcPr>
            <w:tcW w:w="1134" w:type="dxa"/>
            <w:tcBorders>
              <w:top w:val="single" w:color="auto" w:sz="4" w:space="0"/>
              <w:left w:val="nil"/>
              <w:bottom w:val="single" w:color="auto" w:sz="4" w:space="0"/>
              <w:right w:val="single" w:color="auto" w:sz="4" w:space="0"/>
            </w:tcBorders>
            <w:noWrap/>
            <w:vAlign w:val="center"/>
          </w:tcPr>
          <w:p w14:paraId="4D95B2B2">
            <w:pPr>
              <w:jc w:val="center"/>
              <w:rPr>
                <w:rFonts w:hint="eastAsia" w:ascii="宋体" w:hAnsi="宋体" w:eastAsia="宋体" w:cs="宋体"/>
                <w:sz w:val="18"/>
                <w:szCs w:val="18"/>
              </w:rPr>
            </w:pPr>
            <w:r>
              <w:rPr>
                <w:rFonts w:hint="eastAsia" w:ascii="宋体" w:hAnsi="宋体" w:eastAsia="宋体" w:cs="宋体"/>
                <w:sz w:val="18"/>
                <w:szCs w:val="18"/>
              </w:rPr>
              <w:t>36场</w:t>
            </w:r>
          </w:p>
        </w:tc>
        <w:tc>
          <w:tcPr>
            <w:tcW w:w="992" w:type="dxa"/>
            <w:tcBorders>
              <w:top w:val="single" w:color="auto" w:sz="4" w:space="0"/>
              <w:left w:val="nil"/>
              <w:bottom w:val="single" w:color="auto" w:sz="4" w:space="0"/>
              <w:right w:val="single" w:color="auto" w:sz="4" w:space="0"/>
            </w:tcBorders>
            <w:noWrap/>
            <w:vAlign w:val="center"/>
          </w:tcPr>
          <w:p w14:paraId="02F53381">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13C5915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1D666ACA">
            <w:pPr>
              <w:jc w:val="center"/>
              <w:rPr>
                <w:rFonts w:hint="eastAsia" w:ascii="宋体" w:hAnsi="宋体" w:eastAsia="宋体" w:cs="宋体"/>
                <w:sz w:val="18"/>
                <w:szCs w:val="18"/>
              </w:rPr>
            </w:pPr>
          </w:p>
        </w:tc>
      </w:tr>
      <w:tr w14:paraId="4EC8A1E4">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638EE13">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71120945">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5BFA8903">
            <w:pPr>
              <w:jc w:val="center"/>
              <w:rPr>
                <w:rFonts w:hint="eastAsia" w:ascii="宋体" w:hAnsi="宋体" w:eastAsia="宋体" w:cs="宋体"/>
                <w:sz w:val="18"/>
                <w:szCs w:val="18"/>
              </w:rPr>
            </w:pPr>
            <w:r>
              <w:rPr>
                <w:rFonts w:hint="eastAsia" w:ascii="宋体" w:hAnsi="宋体" w:eastAsia="宋体" w:cs="宋体"/>
                <w:sz w:val="18"/>
                <w:szCs w:val="18"/>
              </w:rPr>
              <w:t>93.63</w:t>
            </w:r>
          </w:p>
        </w:tc>
        <w:tc>
          <w:tcPr>
            <w:tcW w:w="284" w:type="dxa"/>
            <w:tcBorders>
              <w:top w:val="nil"/>
              <w:left w:val="nil"/>
              <w:bottom w:val="nil"/>
              <w:right w:val="nil"/>
            </w:tcBorders>
            <w:noWrap/>
            <w:vAlign w:val="center"/>
          </w:tcPr>
          <w:p w14:paraId="35671620">
            <w:pPr>
              <w:jc w:val="center"/>
              <w:rPr>
                <w:rFonts w:hint="eastAsia" w:ascii="宋体" w:hAnsi="宋体" w:eastAsia="宋体" w:cs="宋体"/>
                <w:sz w:val="18"/>
                <w:szCs w:val="18"/>
              </w:rPr>
            </w:pPr>
          </w:p>
        </w:tc>
      </w:tr>
    </w:tbl>
    <w:p w14:paraId="67F8C66B">
      <w:pPr>
        <w:jc w:val="center"/>
        <w:rPr>
          <w:rFonts w:hint="eastAsia" w:ascii="宋体" w:hAnsi="宋体" w:eastAsia="宋体" w:cs="宋体"/>
          <w:b/>
          <w:bCs/>
          <w:sz w:val="28"/>
          <w:szCs w:val="28"/>
          <w:lang w:eastAsia="zh-CN"/>
        </w:rPr>
      </w:pPr>
    </w:p>
    <w:p w14:paraId="01F7809F">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0F0E109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A17A97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99FD0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315101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政府门户网站统一运维云集成技术及机房维护服务项目</w:t>
            </w:r>
          </w:p>
        </w:tc>
      </w:tr>
      <w:tr w14:paraId="226C6DF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8CBE8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1924E0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乌鲁木齐市米东区人民政府办公室</w:t>
            </w:r>
          </w:p>
        </w:tc>
        <w:tc>
          <w:tcPr>
            <w:tcW w:w="1275" w:type="dxa"/>
            <w:gridSpan w:val="2"/>
            <w:tcBorders>
              <w:top w:val="nil"/>
              <w:left w:val="nil"/>
              <w:bottom w:val="single" w:color="auto" w:sz="4" w:space="0"/>
              <w:right w:val="single" w:color="000000" w:sz="4" w:space="0"/>
            </w:tcBorders>
            <w:vAlign w:val="center"/>
          </w:tcPr>
          <w:p w14:paraId="74C866CA">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71C441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乌鲁木齐市米东区人民政府办公室</w:t>
            </w:r>
          </w:p>
        </w:tc>
      </w:tr>
      <w:tr w14:paraId="1323FD1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4C24C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CF5338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5C7C0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B3B65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0A7B1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C617F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36A15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7CBDE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EB7E50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6B1295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58C65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615E0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125" w:type="dxa"/>
            <w:tcBorders>
              <w:top w:val="nil"/>
              <w:left w:val="nil"/>
              <w:bottom w:val="single" w:color="auto" w:sz="4" w:space="0"/>
              <w:right w:val="single" w:color="auto" w:sz="4" w:space="0"/>
            </w:tcBorders>
            <w:noWrap/>
            <w:vAlign w:val="center"/>
          </w:tcPr>
          <w:p w14:paraId="704ED5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275" w:type="dxa"/>
            <w:gridSpan w:val="2"/>
            <w:tcBorders>
              <w:top w:val="single" w:color="auto" w:sz="4" w:space="0"/>
              <w:left w:val="nil"/>
              <w:bottom w:val="single" w:color="auto" w:sz="4" w:space="0"/>
              <w:right w:val="single" w:color="000000" w:sz="4" w:space="0"/>
            </w:tcBorders>
            <w:noWrap/>
            <w:vAlign w:val="center"/>
          </w:tcPr>
          <w:p w14:paraId="1B62EE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134" w:type="dxa"/>
            <w:gridSpan w:val="2"/>
            <w:tcBorders>
              <w:top w:val="single" w:color="auto" w:sz="4" w:space="0"/>
              <w:left w:val="nil"/>
              <w:bottom w:val="single" w:color="auto" w:sz="4" w:space="0"/>
              <w:right w:val="single" w:color="auto" w:sz="4" w:space="0"/>
            </w:tcBorders>
            <w:vAlign w:val="center"/>
          </w:tcPr>
          <w:p w14:paraId="3D59A1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28821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2B7DA8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7F6FB79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D9A25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B35E6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DD029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125" w:type="dxa"/>
            <w:tcBorders>
              <w:top w:val="nil"/>
              <w:left w:val="nil"/>
              <w:bottom w:val="single" w:color="auto" w:sz="4" w:space="0"/>
              <w:right w:val="single" w:color="auto" w:sz="4" w:space="0"/>
            </w:tcBorders>
            <w:noWrap/>
            <w:vAlign w:val="center"/>
          </w:tcPr>
          <w:p w14:paraId="35D8E3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275" w:type="dxa"/>
            <w:gridSpan w:val="2"/>
            <w:tcBorders>
              <w:top w:val="single" w:color="auto" w:sz="4" w:space="0"/>
              <w:left w:val="nil"/>
              <w:bottom w:val="single" w:color="auto" w:sz="4" w:space="0"/>
              <w:right w:val="single" w:color="000000" w:sz="4" w:space="0"/>
            </w:tcBorders>
            <w:noWrap/>
            <w:vAlign w:val="center"/>
          </w:tcPr>
          <w:p w14:paraId="5CA7BD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40.00</w:t>
            </w:r>
          </w:p>
        </w:tc>
        <w:tc>
          <w:tcPr>
            <w:tcW w:w="1134" w:type="dxa"/>
            <w:gridSpan w:val="2"/>
            <w:tcBorders>
              <w:top w:val="single" w:color="auto" w:sz="4" w:space="0"/>
              <w:left w:val="nil"/>
              <w:bottom w:val="single" w:color="auto" w:sz="4" w:space="0"/>
              <w:right w:val="single" w:color="auto" w:sz="4" w:space="0"/>
            </w:tcBorders>
            <w:vAlign w:val="center"/>
          </w:tcPr>
          <w:p w14:paraId="2A1D16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8F953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FFEDC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699291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E2D6B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85554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CA6CA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75B767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81D19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F7831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10DE3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CEC76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55DECB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CC96C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64BF0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A5E0E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9C97A97">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F4EB0CC">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8E1622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党政办公楼网络机房进行改造并进行运维服务外包，保障网络安全，缓解财政压力。</w:t>
            </w:r>
          </w:p>
        </w:tc>
        <w:tc>
          <w:tcPr>
            <w:tcW w:w="4677" w:type="dxa"/>
            <w:gridSpan w:val="7"/>
            <w:tcBorders>
              <w:top w:val="single" w:color="auto" w:sz="4" w:space="0"/>
              <w:left w:val="nil"/>
              <w:bottom w:val="single" w:color="auto" w:sz="4" w:space="0"/>
              <w:right w:val="single" w:color="000000" w:sz="4" w:space="0"/>
            </w:tcBorders>
          </w:tcPr>
          <w:p w14:paraId="197FE03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党政办公楼网络机房进行改造并进行运维服务外包，保障网络安全，缓解财政压力。于2024年12月18日已完全支付。</w:t>
            </w:r>
          </w:p>
        </w:tc>
      </w:tr>
      <w:tr w14:paraId="2CBFDFA0">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2170E02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254F8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0D63A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583BF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A61DC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76699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625CA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2CBB4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BCF5A1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78628D7">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7F2CA9A">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85348BE">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E1A6FD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741B4F7">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EC85F77">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8033C1C">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F25DCE2">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A97945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4234120">
            <w:pPr>
              <w:rPr>
                <w:rFonts w:hint="eastAsia" w:ascii="宋体" w:hAnsi="宋体" w:eastAsia="宋体" w:cs="宋体"/>
                <w:color w:val="000000"/>
                <w:sz w:val="18"/>
                <w:szCs w:val="18"/>
                <w:lang w:eastAsia="zh-CN"/>
              </w:rPr>
            </w:pPr>
          </w:p>
        </w:tc>
      </w:tr>
      <w:tr w14:paraId="75469D3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0D98D2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50820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73DB5A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12EBAA7">
            <w:pPr>
              <w:rPr>
                <w:rFonts w:hint="eastAsia" w:ascii="宋体" w:hAnsi="宋体" w:eastAsia="宋体" w:cs="宋体"/>
                <w:color w:val="000000"/>
                <w:sz w:val="18"/>
                <w:szCs w:val="18"/>
              </w:rPr>
            </w:pPr>
            <w:r>
              <w:rPr>
                <w:rFonts w:hint="eastAsia" w:ascii="宋体" w:hAnsi="宋体" w:eastAsia="宋体" w:cs="宋体"/>
                <w:color w:val="000000"/>
                <w:sz w:val="18"/>
                <w:szCs w:val="18"/>
              </w:rPr>
              <w:t>运维外包周期</w:t>
            </w:r>
          </w:p>
        </w:tc>
        <w:tc>
          <w:tcPr>
            <w:tcW w:w="1125" w:type="dxa"/>
            <w:tcBorders>
              <w:top w:val="nil"/>
              <w:left w:val="nil"/>
              <w:bottom w:val="single" w:color="auto" w:sz="4" w:space="0"/>
              <w:right w:val="single" w:color="auto" w:sz="4" w:space="0"/>
            </w:tcBorders>
            <w:vAlign w:val="center"/>
          </w:tcPr>
          <w:p w14:paraId="38BB7F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=1年</w:t>
            </w:r>
          </w:p>
        </w:tc>
        <w:tc>
          <w:tcPr>
            <w:tcW w:w="1229" w:type="dxa"/>
            <w:tcBorders>
              <w:top w:val="nil"/>
              <w:left w:val="nil"/>
              <w:bottom w:val="single" w:color="auto" w:sz="4" w:space="0"/>
              <w:right w:val="single" w:color="auto" w:sz="4" w:space="0"/>
            </w:tcBorders>
            <w:vAlign w:val="center"/>
          </w:tcPr>
          <w:p w14:paraId="0C0D60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1年</w:t>
            </w:r>
          </w:p>
        </w:tc>
        <w:tc>
          <w:tcPr>
            <w:tcW w:w="755" w:type="dxa"/>
            <w:gridSpan w:val="2"/>
            <w:tcBorders>
              <w:top w:val="single" w:color="auto" w:sz="4" w:space="0"/>
              <w:left w:val="nil"/>
              <w:bottom w:val="single" w:color="auto" w:sz="4" w:space="0"/>
              <w:right w:val="single" w:color="000000" w:sz="4" w:space="0"/>
            </w:tcBorders>
            <w:vAlign w:val="center"/>
          </w:tcPr>
          <w:p w14:paraId="784BC0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D1F4A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47E1DB7">
            <w:pPr>
              <w:jc w:val="center"/>
              <w:rPr>
                <w:rFonts w:hint="eastAsia" w:ascii="宋体" w:hAnsi="宋体" w:eastAsia="宋体" w:cs="宋体"/>
                <w:color w:val="000000"/>
                <w:sz w:val="18"/>
                <w:szCs w:val="18"/>
              </w:rPr>
            </w:pPr>
          </w:p>
        </w:tc>
      </w:tr>
      <w:tr w14:paraId="0EA2C6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0944F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BA8257A">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0CB2A0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BC126AD">
            <w:pPr>
              <w:rPr>
                <w:rFonts w:hint="eastAsia"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1125" w:type="dxa"/>
            <w:tcBorders>
              <w:top w:val="nil"/>
              <w:left w:val="nil"/>
              <w:bottom w:val="single" w:color="auto" w:sz="4" w:space="0"/>
              <w:right w:val="single" w:color="auto" w:sz="4" w:space="0"/>
            </w:tcBorders>
            <w:vAlign w:val="center"/>
          </w:tcPr>
          <w:p w14:paraId="7BF593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173097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w:t>
            </w:r>
          </w:p>
        </w:tc>
        <w:tc>
          <w:tcPr>
            <w:tcW w:w="755" w:type="dxa"/>
            <w:gridSpan w:val="2"/>
            <w:tcBorders>
              <w:top w:val="single" w:color="auto" w:sz="4" w:space="0"/>
              <w:left w:val="nil"/>
              <w:bottom w:val="single" w:color="auto" w:sz="4" w:space="0"/>
              <w:right w:val="single" w:color="000000" w:sz="4" w:space="0"/>
            </w:tcBorders>
            <w:vAlign w:val="center"/>
          </w:tcPr>
          <w:p w14:paraId="3E28DA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05570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6.32</w:t>
            </w:r>
          </w:p>
        </w:tc>
        <w:tc>
          <w:tcPr>
            <w:tcW w:w="1984" w:type="dxa"/>
            <w:gridSpan w:val="2"/>
            <w:tcBorders>
              <w:top w:val="single" w:color="auto" w:sz="4" w:space="0"/>
              <w:left w:val="nil"/>
              <w:bottom w:val="single" w:color="auto" w:sz="4" w:space="0"/>
              <w:right w:val="single" w:color="auto" w:sz="4" w:space="0"/>
            </w:tcBorders>
            <w:vAlign w:val="center"/>
          </w:tcPr>
          <w:p w14:paraId="28C0FC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项目已完全验收合格</w:t>
            </w:r>
          </w:p>
        </w:tc>
      </w:tr>
      <w:tr w14:paraId="75CEF1A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5A0A2CC">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E922AC0">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87EDBE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5C6B95C">
            <w:pPr>
              <w:rPr>
                <w:rFonts w:hint="eastAsia" w:ascii="宋体" w:hAnsi="宋体" w:eastAsia="宋体" w:cs="宋体"/>
                <w:color w:val="000000"/>
                <w:sz w:val="18"/>
                <w:szCs w:val="18"/>
              </w:rPr>
            </w:pPr>
            <w:r>
              <w:rPr>
                <w:rFonts w:hint="eastAsia" w:ascii="宋体" w:hAnsi="宋体" w:eastAsia="宋体" w:cs="宋体"/>
                <w:color w:val="000000"/>
                <w:sz w:val="18"/>
                <w:szCs w:val="18"/>
              </w:rPr>
              <w:t>网络运行质量增长率</w:t>
            </w:r>
          </w:p>
        </w:tc>
        <w:tc>
          <w:tcPr>
            <w:tcW w:w="1125" w:type="dxa"/>
            <w:tcBorders>
              <w:top w:val="nil"/>
              <w:left w:val="nil"/>
              <w:bottom w:val="single" w:color="auto" w:sz="4" w:space="0"/>
              <w:right w:val="single" w:color="auto" w:sz="4" w:space="0"/>
            </w:tcBorders>
            <w:vAlign w:val="center"/>
          </w:tcPr>
          <w:p w14:paraId="03C1B7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39B2CC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B4E4B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5C3D4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4CBB44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网络运行质量较上年增长</w:t>
            </w:r>
          </w:p>
        </w:tc>
      </w:tr>
      <w:tr w14:paraId="45BAB73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18D3C2">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6806F5A">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583C9A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7F378F4">
            <w:pPr>
              <w:rPr>
                <w:rFonts w:hint="eastAsia" w:ascii="宋体" w:hAnsi="宋体" w:eastAsia="宋体" w:cs="宋体"/>
                <w:color w:val="000000"/>
                <w:sz w:val="18"/>
                <w:szCs w:val="18"/>
              </w:rPr>
            </w:pPr>
            <w:r>
              <w:rPr>
                <w:rFonts w:hint="eastAsia" w:ascii="宋体" w:hAnsi="宋体" w:eastAsia="宋体" w:cs="宋体"/>
                <w:color w:val="000000"/>
                <w:sz w:val="18"/>
                <w:szCs w:val="18"/>
              </w:rPr>
              <w:t>项目经费支付及时率</w:t>
            </w:r>
          </w:p>
        </w:tc>
        <w:tc>
          <w:tcPr>
            <w:tcW w:w="1125" w:type="dxa"/>
            <w:tcBorders>
              <w:top w:val="nil"/>
              <w:left w:val="nil"/>
              <w:bottom w:val="single" w:color="auto" w:sz="4" w:space="0"/>
              <w:right w:val="single" w:color="auto" w:sz="4" w:space="0"/>
            </w:tcBorders>
            <w:vAlign w:val="center"/>
          </w:tcPr>
          <w:p w14:paraId="427402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779E59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0E45F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43FF1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413C6B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项目经费已按时全额支付</w:t>
            </w:r>
          </w:p>
        </w:tc>
      </w:tr>
      <w:tr w14:paraId="2221063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129770">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0F4865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67781E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63A116D">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7CBB27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32DA42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A2EB8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D6DA9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30C18D2">
            <w:pPr>
              <w:jc w:val="center"/>
              <w:rPr>
                <w:rFonts w:hint="eastAsia" w:ascii="宋体" w:hAnsi="宋体" w:eastAsia="宋体" w:cs="宋体"/>
                <w:color w:val="000000"/>
                <w:sz w:val="18"/>
                <w:szCs w:val="18"/>
              </w:rPr>
            </w:pPr>
          </w:p>
        </w:tc>
      </w:tr>
      <w:tr w14:paraId="5CFA90E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F8EC62">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53915B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0A6EEB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C551B73">
            <w:pPr>
              <w:rPr>
                <w:rFonts w:hint="eastAsia" w:ascii="宋体" w:hAnsi="宋体" w:eastAsia="宋体" w:cs="宋体"/>
                <w:color w:val="000000"/>
                <w:sz w:val="18"/>
                <w:szCs w:val="18"/>
              </w:rPr>
            </w:pPr>
            <w:r>
              <w:rPr>
                <w:rFonts w:hint="eastAsia" w:ascii="宋体" w:hAnsi="宋体" w:eastAsia="宋体" w:cs="宋体"/>
                <w:color w:val="000000"/>
                <w:sz w:val="18"/>
                <w:szCs w:val="18"/>
              </w:rPr>
              <w:t>保障网络安全</w:t>
            </w:r>
          </w:p>
        </w:tc>
        <w:tc>
          <w:tcPr>
            <w:tcW w:w="1125" w:type="dxa"/>
            <w:tcBorders>
              <w:top w:val="nil"/>
              <w:left w:val="nil"/>
              <w:bottom w:val="single" w:color="auto" w:sz="4" w:space="0"/>
              <w:right w:val="single" w:color="auto" w:sz="4" w:space="0"/>
            </w:tcBorders>
            <w:vAlign w:val="center"/>
          </w:tcPr>
          <w:p w14:paraId="480AFA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6835C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31711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6F84D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EC95625">
            <w:pPr>
              <w:jc w:val="center"/>
              <w:rPr>
                <w:rFonts w:hint="eastAsia" w:ascii="宋体" w:hAnsi="宋体" w:eastAsia="宋体" w:cs="宋体"/>
                <w:color w:val="000000"/>
                <w:sz w:val="18"/>
                <w:szCs w:val="18"/>
              </w:rPr>
            </w:pPr>
          </w:p>
        </w:tc>
      </w:tr>
      <w:tr w14:paraId="4F096C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969284">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27F9132">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2F1EA5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5B7771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促进政务信息公开共享率</w:t>
            </w:r>
          </w:p>
        </w:tc>
        <w:tc>
          <w:tcPr>
            <w:tcW w:w="1125" w:type="dxa"/>
            <w:tcBorders>
              <w:top w:val="nil"/>
              <w:left w:val="nil"/>
              <w:bottom w:val="single" w:color="auto" w:sz="4" w:space="0"/>
              <w:right w:val="single" w:color="auto" w:sz="4" w:space="0"/>
            </w:tcBorders>
            <w:vAlign w:val="center"/>
          </w:tcPr>
          <w:p w14:paraId="7A5FF6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E8394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28E24C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0C9048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6301E5C">
            <w:pPr>
              <w:jc w:val="center"/>
              <w:rPr>
                <w:rFonts w:hint="eastAsia" w:ascii="宋体" w:hAnsi="宋体" w:eastAsia="宋体" w:cs="宋体"/>
                <w:color w:val="000000"/>
                <w:sz w:val="18"/>
                <w:szCs w:val="18"/>
              </w:rPr>
            </w:pPr>
          </w:p>
        </w:tc>
      </w:tr>
      <w:tr w14:paraId="29222E7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7A232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46604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8D785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96.32分</w:t>
            </w:r>
          </w:p>
        </w:tc>
        <w:tc>
          <w:tcPr>
            <w:tcW w:w="1984" w:type="dxa"/>
            <w:gridSpan w:val="2"/>
            <w:tcBorders>
              <w:top w:val="single" w:color="auto" w:sz="4" w:space="0"/>
              <w:left w:val="nil"/>
              <w:bottom w:val="single" w:color="auto" w:sz="4" w:space="0"/>
              <w:right w:val="single" w:color="auto" w:sz="4" w:space="0"/>
            </w:tcBorders>
            <w:vAlign w:val="center"/>
          </w:tcPr>
          <w:p w14:paraId="3F187A8C">
            <w:pPr>
              <w:jc w:val="center"/>
              <w:rPr>
                <w:rFonts w:hint="eastAsia" w:ascii="宋体" w:hAnsi="宋体" w:eastAsia="宋体" w:cs="宋体"/>
                <w:b/>
                <w:bCs/>
                <w:color w:val="000000"/>
                <w:sz w:val="18"/>
                <w:szCs w:val="18"/>
              </w:rPr>
            </w:pPr>
          </w:p>
        </w:tc>
      </w:tr>
      <w:bookmarkEnd w:id="10"/>
    </w:tbl>
    <w:p w14:paraId="20B7D7F6">
      <w:pPr>
        <w:jc w:val="center"/>
        <w:rPr>
          <w:rFonts w:hint="eastAsia" w:ascii="宋体" w:hAnsi="宋体" w:eastAsia="宋体" w:cs="宋体"/>
          <w:b/>
          <w:bCs/>
          <w:sz w:val="28"/>
          <w:szCs w:val="28"/>
          <w:lang w:eastAsia="zh-CN"/>
        </w:rPr>
      </w:pPr>
    </w:p>
    <w:p w14:paraId="1F5E6540">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035F1B0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09A6B1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29D6A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BFF6A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网络使用费</w:t>
            </w:r>
          </w:p>
        </w:tc>
      </w:tr>
      <w:tr w14:paraId="4AEB7EC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F0A2F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4D340F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乌鲁木齐市米东区人民政府办公室</w:t>
            </w:r>
          </w:p>
        </w:tc>
        <w:tc>
          <w:tcPr>
            <w:tcW w:w="1275" w:type="dxa"/>
            <w:gridSpan w:val="2"/>
            <w:tcBorders>
              <w:top w:val="nil"/>
              <w:left w:val="nil"/>
              <w:bottom w:val="single" w:color="auto" w:sz="4" w:space="0"/>
              <w:right w:val="single" w:color="000000" w:sz="4" w:space="0"/>
            </w:tcBorders>
            <w:vAlign w:val="center"/>
          </w:tcPr>
          <w:p w14:paraId="2770CE2D">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DA26AE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乌鲁木齐市米东区人民政府办公室</w:t>
            </w:r>
          </w:p>
        </w:tc>
      </w:tr>
      <w:tr w14:paraId="2C5542E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76C4D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0E1199E">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6A08F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8B3B7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195C4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9980E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96FE5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4C1DD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A58C0D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F53C4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416B3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5F426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43.92</w:t>
            </w:r>
          </w:p>
        </w:tc>
        <w:tc>
          <w:tcPr>
            <w:tcW w:w="1125" w:type="dxa"/>
            <w:tcBorders>
              <w:top w:val="nil"/>
              <w:left w:val="nil"/>
              <w:bottom w:val="single" w:color="auto" w:sz="4" w:space="0"/>
              <w:right w:val="single" w:color="auto" w:sz="4" w:space="0"/>
            </w:tcBorders>
            <w:noWrap/>
            <w:vAlign w:val="center"/>
          </w:tcPr>
          <w:p w14:paraId="527BD8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43.92</w:t>
            </w:r>
          </w:p>
        </w:tc>
        <w:tc>
          <w:tcPr>
            <w:tcW w:w="1275" w:type="dxa"/>
            <w:gridSpan w:val="2"/>
            <w:tcBorders>
              <w:top w:val="single" w:color="auto" w:sz="4" w:space="0"/>
              <w:left w:val="nil"/>
              <w:bottom w:val="single" w:color="auto" w:sz="4" w:space="0"/>
              <w:right w:val="single" w:color="000000" w:sz="4" w:space="0"/>
            </w:tcBorders>
            <w:noWrap/>
            <w:vAlign w:val="center"/>
          </w:tcPr>
          <w:p w14:paraId="742C3A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43.92</w:t>
            </w:r>
          </w:p>
        </w:tc>
        <w:tc>
          <w:tcPr>
            <w:tcW w:w="1134" w:type="dxa"/>
            <w:gridSpan w:val="2"/>
            <w:tcBorders>
              <w:top w:val="single" w:color="auto" w:sz="4" w:space="0"/>
              <w:left w:val="nil"/>
              <w:bottom w:val="single" w:color="auto" w:sz="4" w:space="0"/>
              <w:right w:val="single" w:color="auto" w:sz="4" w:space="0"/>
            </w:tcBorders>
            <w:vAlign w:val="center"/>
          </w:tcPr>
          <w:p w14:paraId="5FCC2D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702A5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7B9E13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0399343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EB59B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4DD98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4296F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43.92</w:t>
            </w:r>
          </w:p>
        </w:tc>
        <w:tc>
          <w:tcPr>
            <w:tcW w:w="1125" w:type="dxa"/>
            <w:tcBorders>
              <w:top w:val="nil"/>
              <w:left w:val="nil"/>
              <w:bottom w:val="single" w:color="auto" w:sz="4" w:space="0"/>
              <w:right w:val="single" w:color="auto" w:sz="4" w:space="0"/>
            </w:tcBorders>
            <w:noWrap/>
            <w:vAlign w:val="center"/>
          </w:tcPr>
          <w:p w14:paraId="14AC7E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43.92</w:t>
            </w:r>
          </w:p>
        </w:tc>
        <w:tc>
          <w:tcPr>
            <w:tcW w:w="1275" w:type="dxa"/>
            <w:gridSpan w:val="2"/>
            <w:tcBorders>
              <w:top w:val="single" w:color="auto" w:sz="4" w:space="0"/>
              <w:left w:val="nil"/>
              <w:bottom w:val="single" w:color="auto" w:sz="4" w:space="0"/>
              <w:right w:val="single" w:color="000000" w:sz="4" w:space="0"/>
            </w:tcBorders>
            <w:noWrap/>
            <w:vAlign w:val="center"/>
          </w:tcPr>
          <w:p w14:paraId="3882CC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43.92</w:t>
            </w:r>
          </w:p>
        </w:tc>
        <w:tc>
          <w:tcPr>
            <w:tcW w:w="1134" w:type="dxa"/>
            <w:gridSpan w:val="2"/>
            <w:tcBorders>
              <w:top w:val="single" w:color="auto" w:sz="4" w:space="0"/>
              <w:left w:val="nil"/>
              <w:bottom w:val="single" w:color="auto" w:sz="4" w:space="0"/>
              <w:right w:val="single" w:color="auto" w:sz="4" w:space="0"/>
            </w:tcBorders>
            <w:vAlign w:val="center"/>
          </w:tcPr>
          <w:p w14:paraId="0CDC73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05683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205CD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1EB11F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774C97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66117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5DEBD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D2352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F1B6F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0A9D30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B5EDD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16E5C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81C88B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21C32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ED7A9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27CC8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24B63E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9B49E8F">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133868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保障全楼网络正常使用，网络使用费及时支付。</w:t>
            </w:r>
          </w:p>
        </w:tc>
        <w:tc>
          <w:tcPr>
            <w:tcW w:w="4677" w:type="dxa"/>
            <w:gridSpan w:val="7"/>
            <w:tcBorders>
              <w:top w:val="single" w:color="auto" w:sz="4" w:space="0"/>
              <w:left w:val="nil"/>
              <w:bottom w:val="single" w:color="auto" w:sz="4" w:space="0"/>
              <w:right w:val="single" w:color="000000" w:sz="4" w:space="0"/>
            </w:tcBorders>
          </w:tcPr>
          <w:p w14:paraId="60BCB3D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网络使用费已完全支付。项目执行使网络运行质量增长率提高，较好地完成了项目实施工作，保障了全楼网络的正常使用。</w:t>
            </w:r>
          </w:p>
        </w:tc>
      </w:tr>
      <w:tr w14:paraId="229F3D42">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61450609">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00575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C67DE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7CD7E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18557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36AA2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CF0F1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25BED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BA2763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77574CD">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1FDD5E2">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2030ED4">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A5C98AF">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D5A37DB">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91DB4EF">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3B30FB6">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76E9F9E">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9EE5CD1">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86BB7C2">
            <w:pPr>
              <w:rPr>
                <w:rFonts w:hint="eastAsia" w:ascii="宋体" w:hAnsi="宋体" w:eastAsia="宋体" w:cs="宋体"/>
                <w:color w:val="000000"/>
                <w:sz w:val="18"/>
                <w:szCs w:val="18"/>
                <w:lang w:eastAsia="zh-CN"/>
              </w:rPr>
            </w:pPr>
          </w:p>
        </w:tc>
      </w:tr>
      <w:tr w14:paraId="0C12030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00EC8D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23AEC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599AEC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776AD3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网络使用费保障办公楼数量</w:t>
            </w:r>
          </w:p>
        </w:tc>
        <w:tc>
          <w:tcPr>
            <w:tcW w:w="1125" w:type="dxa"/>
            <w:tcBorders>
              <w:top w:val="nil"/>
              <w:left w:val="nil"/>
              <w:bottom w:val="single" w:color="auto" w:sz="4" w:space="0"/>
              <w:right w:val="single" w:color="auto" w:sz="4" w:space="0"/>
            </w:tcBorders>
            <w:vAlign w:val="center"/>
          </w:tcPr>
          <w:p w14:paraId="0EE122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=2栋</w:t>
            </w:r>
          </w:p>
        </w:tc>
        <w:tc>
          <w:tcPr>
            <w:tcW w:w="1229" w:type="dxa"/>
            <w:tcBorders>
              <w:top w:val="nil"/>
              <w:left w:val="nil"/>
              <w:bottom w:val="single" w:color="auto" w:sz="4" w:space="0"/>
              <w:right w:val="single" w:color="auto" w:sz="4" w:space="0"/>
            </w:tcBorders>
            <w:vAlign w:val="center"/>
          </w:tcPr>
          <w:p w14:paraId="6DE80A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2栋</w:t>
            </w:r>
          </w:p>
        </w:tc>
        <w:tc>
          <w:tcPr>
            <w:tcW w:w="755" w:type="dxa"/>
            <w:gridSpan w:val="2"/>
            <w:tcBorders>
              <w:top w:val="single" w:color="auto" w:sz="4" w:space="0"/>
              <w:left w:val="nil"/>
              <w:bottom w:val="single" w:color="auto" w:sz="4" w:space="0"/>
              <w:right w:val="single" w:color="000000" w:sz="4" w:space="0"/>
            </w:tcBorders>
            <w:vAlign w:val="center"/>
          </w:tcPr>
          <w:p w14:paraId="79F93C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987A9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490A4E1">
            <w:pPr>
              <w:jc w:val="center"/>
              <w:rPr>
                <w:rFonts w:hint="eastAsia" w:ascii="宋体" w:hAnsi="宋体" w:eastAsia="宋体" w:cs="宋体"/>
                <w:color w:val="000000"/>
                <w:sz w:val="18"/>
                <w:szCs w:val="18"/>
              </w:rPr>
            </w:pPr>
          </w:p>
        </w:tc>
      </w:tr>
      <w:tr w14:paraId="0E28E8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0B4C0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E71A27C">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38732A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51FB36C">
            <w:pPr>
              <w:rPr>
                <w:rFonts w:hint="eastAsia" w:ascii="宋体" w:hAnsi="宋体" w:eastAsia="宋体" w:cs="宋体"/>
                <w:color w:val="000000"/>
                <w:sz w:val="18"/>
                <w:szCs w:val="18"/>
              </w:rPr>
            </w:pPr>
            <w:r>
              <w:rPr>
                <w:rFonts w:hint="eastAsia" w:ascii="宋体" w:hAnsi="宋体" w:eastAsia="宋体" w:cs="宋体"/>
                <w:color w:val="000000"/>
                <w:sz w:val="18"/>
                <w:szCs w:val="18"/>
              </w:rPr>
              <w:t>网络运行质量增长率</w:t>
            </w:r>
          </w:p>
        </w:tc>
        <w:tc>
          <w:tcPr>
            <w:tcW w:w="1125" w:type="dxa"/>
            <w:tcBorders>
              <w:top w:val="nil"/>
              <w:left w:val="nil"/>
              <w:bottom w:val="single" w:color="auto" w:sz="4" w:space="0"/>
              <w:right w:val="single" w:color="auto" w:sz="4" w:space="0"/>
            </w:tcBorders>
            <w:vAlign w:val="center"/>
          </w:tcPr>
          <w:p w14:paraId="1C32F3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69A6EC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3CB88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25375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6D756C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网络运行质量较上年增长</w:t>
            </w:r>
          </w:p>
        </w:tc>
      </w:tr>
      <w:tr w14:paraId="123D56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772E5A">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13A098A">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A8CBA9D">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3DFFDD1">
            <w:pPr>
              <w:rPr>
                <w:rFonts w:hint="eastAsia" w:ascii="宋体" w:hAnsi="宋体" w:eastAsia="宋体" w:cs="宋体"/>
                <w:color w:val="000000"/>
                <w:sz w:val="18"/>
                <w:szCs w:val="18"/>
              </w:rPr>
            </w:pPr>
            <w:r>
              <w:rPr>
                <w:rFonts w:hint="eastAsia" w:ascii="宋体" w:hAnsi="宋体" w:eastAsia="宋体" w:cs="宋体"/>
                <w:color w:val="000000"/>
                <w:sz w:val="18"/>
                <w:szCs w:val="18"/>
              </w:rPr>
              <w:t>设备故障率</w:t>
            </w:r>
          </w:p>
        </w:tc>
        <w:tc>
          <w:tcPr>
            <w:tcW w:w="1125" w:type="dxa"/>
            <w:tcBorders>
              <w:top w:val="nil"/>
              <w:left w:val="nil"/>
              <w:bottom w:val="single" w:color="auto" w:sz="4" w:space="0"/>
              <w:right w:val="single" w:color="auto" w:sz="4" w:space="0"/>
            </w:tcBorders>
            <w:vAlign w:val="center"/>
          </w:tcPr>
          <w:p w14:paraId="3318FA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w:t>
            </w:r>
          </w:p>
        </w:tc>
        <w:tc>
          <w:tcPr>
            <w:tcW w:w="1229" w:type="dxa"/>
            <w:tcBorders>
              <w:top w:val="nil"/>
              <w:left w:val="nil"/>
              <w:bottom w:val="single" w:color="auto" w:sz="4" w:space="0"/>
              <w:right w:val="single" w:color="auto" w:sz="4" w:space="0"/>
            </w:tcBorders>
            <w:vAlign w:val="center"/>
          </w:tcPr>
          <w:p w14:paraId="604202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55" w:type="dxa"/>
            <w:gridSpan w:val="2"/>
            <w:tcBorders>
              <w:top w:val="single" w:color="auto" w:sz="4" w:space="0"/>
              <w:left w:val="nil"/>
              <w:bottom w:val="single" w:color="auto" w:sz="4" w:space="0"/>
              <w:right w:val="single" w:color="000000" w:sz="4" w:space="0"/>
            </w:tcBorders>
            <w:vAlign w:val="center"/>
          </w:tcPr>
          <w:p w14:paraId="5F71B7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89C8B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89E76B9">
            <w:pPr>
              <w:jc w:val="center"/>
              <w:rPr>
                <w:rFonts w:hint="eastAsia" w:ascii="宋体" w:hAnsi="宋体" w:eastAsia="宋体" w:cs="宋体"/>
                <w:color w:val="000000"/>
                <w:sz w:val="18"/>
                <w:szCs w:val="18"/>
              </w:rPr>
            </w:pPr>
          </w:p>
        </w:tc>
      </w:tr>
      <w:tr w14:paraId="76AAAA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32D88E">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7AA91C7">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5A789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7514B9B">
            <w:pPr>
              <w:rPr>
                <w:rFonts w:hint="eastAsia" w:ascii="宋体" w:hAnsi="宋体" w:eastAsia="宋体" w:cs="宋体"/>
                <w:color w:val="000000"/>
                <w:sz w:val="18"/>
                <w:szCs w:val="18"/>
              </w:rPr>
            </w:pPr>
            <w:r>
              <w:rPr>
                <w:rFonts w:hint="eastAsia" w:ascii="宋体" w:hAnsi="宋体" w:eastAsia="宋体" w:cs="宋体"/>
                <w:color w:val="000000"/>
                <w:sz w:val="18"/>
                <w:szCs w:val="18"/>
              </w:rPr>
              <w:t>网络使用费支付率</w:t>
            </w:r>
          </w:p>
        </w:tc>
        <w:tc>
          <w:tcPr>
            <w:tcW w:w="1125" w:type="dxa"/>
            <w:tcBorders>
              <w:top w:val="nil"/>
              <w:left w:val="nil"/>
              <w:bottom w:val="single" w:color="auto" w:sz="4" w:space="0"/>
              <w:right w:val="single" w:color="auto" w:sz="4" w:space="0"/>
            </w:tcBorders>
            <w:vAlign w:val="center"/>
          </w:tcPr>
          <w:p w14:paraId="34CE6E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E609C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B4F62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F8104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38880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已按时全额支付。</w:t>
            </w:r>
          </w:p>
        </w:tc>
      </w:tr>
      <w:tr w14:paraId="2750E51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653E27">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30E0C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6D0FC0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067BF6D">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77276E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3ED721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E3326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B5E17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3BF273C">
            <w:pPr>
              <w:jc w:val="center"/>
              <w:rPr>
                <w:rFonts w:hint="eastAsia" w:ascii="宋体" w:hAnsi="宋体" w:eastAsia="宋体" w:cs="宋体"/>
                <w:color w:val="000000"/>
                <w:sz w:val="18"/>
                <w:szCs w:val="18"/>
              </w:rPr>
            </w:pPr>
          </w:p>
        </w:tc>
      </w:tr>
      <w:tr w14:paraId="49F0DA2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726BD7">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719FFC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21B730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BDB938B">
            <w:pPr>
              <w:rPr>
                <w:rFonts w:hint="eastAsia" w:ascii="宋体" w:hAnsi="宋体" w:eastAsia="宋体" w:cs="宋体"/>
                <w:color w:val="000000"/>
                <w:sz w:val="18"/>
                <w:szCs w:val="18"/>
              </w:rPr>
            </w:pPr>
            <w:r>
              <w:rPr>
                <w:rFonts w:hint="eastAsia" w:ascii="宋体" w:hAnsi="宋体" w:eastAsia="宋体" w:cs="宋体"/>
                <w:color w:val="000000"/>
                <w:sz w:val="18"/>
                <w:szCs w:val="18"/>
              </w:rPr>
              <w:t>提高办公质量</w:t>
            </w:r>
          </w:p>
        </w:tc>
        <w:tc>
          <w:tcPr>
            <w:tcW w:w="1125" w:type="dxa"/>
            <w:tcBorders>
              <w:top w:val="nil"/>
              <w:left w:val="nil"/>
              <w:bottom w:val="single" w:color="auto" w:sz="4" w:space="0"/>
              <w:right w:val="single" w:color="auto" w:sz="4" w:space="0"/>
            </w:tcBorders>
            <w:vAlign w:val="center"/>
          </w:tcPr>
          <w:p w14:paraId="01B7E0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62CD1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05E2E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82A0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0745515">
            <w:pPr>
              <w:jc w:val="center"/>
              <w:rPr>
                <w:rFonts w:hint="eastAsia" w:ascii="宋体" w:hAnsi="宋体" w:eastAsia="宋体" w:cs="宋体"/>
                <w:color w:val="000000"/>
                <w:sz w:val="18"/>
                <w:szCs w:val="18"/>
              </w:rPr>
            </w:pPr>
          </w:p>
        </w:tc>
      </w:tr>
      <w:tr w14:paraId="797AC9A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EEB821">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C1AA44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51D0CE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6852DAC">
            <w:pPr>
              <w:rPr>
                <w:rFonts w:hint="eastAsia" w:ascii="宋体" w:hAnsi="宋体" w:eastAsia="宋体" w:cs="宋体"/>
                <w:color w:val="000000"/>
                <w:sz w:val="18"/>
                <w:szCs w:val="18"/>
              </w:rPr>
            </w:pPr>
            <w:r>
              <w:rPr>
                <w:rFonts w:hint="eastAsia" w:ascii="宋体" w:hAnsi="宋体" w:eastAsia="宋体" w:cs="宋体"/>
                <w:color w:val="000000"/>
                <w:sz w:val="18"/>
                <w:szCs w:val="18"/>
              </w:rPr>
              <w:t>提高办公效率</w:t>
            </w:r>
          </w:p>
        </w:tc>
        <w:tc>
          <w:tcPr>
            <w:tcW w:w="1125" w:type="dxa"/>
            <w:tcBorders>
              <w:top w:val="nil"/>
              <w:left w:val="nil"/>
              <w:bottom w:val="single" w:color="auto" w:sz="4" w:space="0"/>
              <w:right w:val="single" w:color="auto" w:sz="4" w:space="0"/>
            </w:tcBorders>
            <w:vAlign w:val="center"/>
          </w:tcPr>
          <w:p w14:paraId="7E35EF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764366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2D2E1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F2CA8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2F556119">
            <w:pPr>
              <w:jc w:val="center"/>
              <w:rPr>
                <w:rFonts w:hint="eastAsia" w:ascii="宋体" w:hAnsi="宋体" w:eastAsia="宋体" w:cs="宋体"/>
                <w:color w:val="000000"/>
                <w:sz w:val="18"/>
                <w:szCs w:val="18"/>
              </w:rPr>
            </w:pPr>
          </w:p>
        </w:tc>
      </w:tr>
      <w:tr w14:paraId="6EF45E1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69625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92DE9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15A27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2AB4A395">
            <w:pPr>
              <w:jc w:val="center"/>
              <w:rPr>
                <w:rFonts w:hint="eastAsia" w:ascii="宋体" w:hAnsi="宋体" w:eastAsia="宋体" w:cs="宋体"/>
                <w:b/>
                <w:bCs/>
                <w:color w:val="000000"/>
                <w:sz w:val="18"/>
                <w:szCs w:val="18"/>
              </w:rPr>
            </w:pPr>
          </w:p>
        </w:tc>
      </w:tr>
    </w:tbl>
    <w:p w14:paraId="7057066A">
      <w:pPr>
        <w:spacing w:after="0" w:line="240" w:lineRule="auto"/>
        <w:ind w:firstLine="640" w:firstLineChars="200"/>
        <w:jc w:val="both"/>
        <w:rPr>
          <w:rFonts w:hint="eastAsia" w:ascii="仿宋_GB2312" w:eastAsia="仿宋_GB2312"/>
          <w:sz w:val="32"/>
          <w:szCs w:val="32"/>
          <w:lang w:eastAsia="zh-CN"/>
        </w:rPr>
      </w:pPr>
    </w:p>
    <w:p w14:paraId="5F4FC89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12CE3254">
      <w:pPr>
        <w:spacing w:after="0" w:line="240" w:lineRule="auto"/>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本单位无其他需说明事项。</w:t>
      </w:r>
    </w:p>
    <w:p w14:paraId="0B6D7738">
      <w:pPr>
        <w:rPr>
          <w:rFonts w:hint="eastAsia"/>
          <w:lang w:eastAsia="zh-CN"/>
        </w:rPr>
      </w:pPr>
      <w:r>
        <w:rPr>
          <w:sz w:val="0"/>
          <w:szCs w:val="0"/>
          <w:lang w:eastAsia="zh-CN"/>
        </w:rPr>
        <w:br w:type="page"/>
      </w:r>
    </w:p>
    <w:p w14:paraId="0183436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23BCEE9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21A684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A1F6B6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269584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E6C80F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39BA60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53BF88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8BB666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8538EA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8954B0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26B3C2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6EEA4D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C379B3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C493F4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10E5606">
      <w:pPr>
        <w:rPr>
          <w:rFonts w:hint="eastAsia"/>
          <w:lang w:eastAsia="zh-CN"/>
        </w:rPr>
      </w:pPr>
      <w:r>
        <w:rPr>
          <w:sz w:val="0"/>
          <w:szCs w:val="0"/>
          <w:lang w:eastAsia="zh-CN"/>
        </w:rPr>
        <w:br w:type="page"/>
      </w:r>
    </w:p>
    <w:p w14:paraId="0E06F0F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3B57ADF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DBAB6D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6F04966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1E0B519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34551F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5672BB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205701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5A9DCF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08E31C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B42CB2"/>
    <w:rsid w:val="00005E9D"/>
    <w:rsid w:val="00444C10"/>
    <w:rsid w:val="004E7A05"/>
    <w:rsid w:val="005A144E"/>
    <w:rsid w:val="007C6E99"/>
    <w:rsid w:val="00B42CB2"/>
    <w:rsid w:val="00E42BB9"/>
    <w:rsid w:val="00E725E1"/>
    <w:rsid w:val="00FA7E6F"/>
    <w:rsid w:val="11B260C3"/>
    <w:rsid w:val="185A3136"/>
    <w:rsid w:val="46C16C66"/>
    <w:rsid w:val="4F0C23F8"/>
    <w:rsid w:val="6A274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9928</Words>
  <Characters>10843</Characters>
  <Lines>495</Lines>
  <Paragraphs>407</Paragraphs>
  <TotalTime>37</TotalTime>
  <ScaleCrop>false</ScaleCrop>
  <LinksUpToDate>false</LinksUpToDate>
  <CharactersWithSpaces>10853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2025-10-07T09:51:00Z</dcterms:created>
  <dc:creator>华为</dc:creator>
  <cp:lastModifiedBy>局外人.</cp:lastModifiedBy>
  <dcterms:modified xsi:type="dcterms:W3CDTF">2025-10-14T09:39:45Z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eyJoZGlkIjoiYzI4NzYwZWZkM2I0OTdlMTA3M2NkMmFjZWIyMDVmNjUiLCJ1c2VySWQiOiIxMjM2MzIxMjUwIn0=</vt:lpwstr>
  </property>
  <property fmtid="{D5CDD505-2E9C-101B-9397-08002B2CF9AE}" pid="3" name="KSOProductBuildVer">
    <vt:lpwstr>2052-12.1.0.23125</vt:lpwstr>
  </property>
  <property fmtid="{D5CDD505-2E9C-101B-9397-08002B2CF9AE}" pid="4" name="ICV">
    <vt:lpwstr>D856AC2867C14FAA8C69323E448EA1CB_12</vt:lpwstr>
  </property>
</Properties>
</file>