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951E6B">
      <w:pPr>
        <w:spacing w:after="0" w:line="240" w:lineRule="auto"/>
        <w:rPr>
          <w:rFonts w:ascii="宋体" w:eastAsia="宋体"/>
          <w:sz w:val="32"/>
          <w:szCs w:val="32"/>
        </w:rPr>
      </w:pPr>
    </w:p>
    <w:p w14:paraId="44BCA87E">
      <w:pPr>
        <w:spacing w:after="0" w:line="240" w:lineRule="auto"/>
        <w:rPr>
          <w:rFonts w:ascii="宋体" w:eastAsia="宋体"/>
          <w:sz w:val="44"/>
          <w:szCs w:val="44"/>
        </w:rPr>
      </w:pPr>
    </w:p>
    <w:p w14:paraId="1498B767">
      <w:pPr>
        <w:spacing w:after="0" w:line="240" w:lineRule="auto"/>
        <w:rPr>
          <w:rFonts w:ascii="宋体" w:eastAsia="宋体"/>
          <w:sz w:val="44"/>
          <w:szCs w:val="44"/>
        </w:rPr>
      </w:pPr>
    </w:p>
    <w:p w14:paraId="41C0A4CA">
      <w:pPr>
        <w:spacing w:after="0" w:line="240" w:lineRule="auto"/>
        <w:rPr>
          <w:rFonts w:ascii="宋体" w:eastAsia="宋体"/>
          <w:sz w:val="44"/>
          <w:szCs w:val="44"/>
        </w:rPr>
      </w:pPr>
    </w:p>
    <w:p w14:paraId="167E9FF8">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乌鲁木齐市米东区供销合作社联合社</w:t>
      </w:r>
    </w:p>
    <w:p w14:paraId="12CBA49E">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29770BBB">
      <w:pPr>
        <w:rPr>
          <w:lang w:eastAsia="zh-CN"/>
        </w:rPr>
      </w:pPr>
      <w:r>
        <w:rPr>
          <w:sz w:val="0"/>
          <w:szCs w:val="0"/>
          <w:lang w:eastAsia="zh-CN"/>
        </w:rPr>
        <w:br w:type="page"/>
      </w:r>
    </w:p>
    <w:p w14:paraId="5709BF9A">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2C08596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75A91D1">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898F11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E66DED8">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3B7FE13B">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3F0695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9058DA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517830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20B659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A44F97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32433F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EEB39E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1185A8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E567B0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6B9E6E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4DAEF7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E21D57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3070E4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0BB575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E1187A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18D1716">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CBB7A8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F58C7E9">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0BFA364D">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901D6C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69A647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C0D1BF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DF5F05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F12739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1E8C82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A53AD1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724A0F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3406B4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95FDE73">
      <w:pPr>
        <w:rPr>
          <w:lang w:eastAsia="zh-CN"/>
        </w:rPr>
      </w:pPr>
      <w:r>
        <w:rPr>
          <w:sz w:val="0"/>
          <w:szCs w:val="0"/>
          <w:lang w:eastAsia="zh-CN"/>
        </w:rPr>
        <w:br w:type="page"/>
      </w:r>
    </w:p>
    <w:p w14:paraId="1DE5DE50">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68E52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CF4054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供销合作社联合社为米东区人民政府直属事业机构，机构规格相当正科级，经费形式为全额预算单位。根据“三定”方案（定职能、定机构、定编制）对其职能进行规定。乌鲁木齐市米东区供销合作社联合社职责主要包括：</w:t>
      </w:r>
    </w:p>
    <w:p w14:paraId="687C63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（1）贯彻落实中央、自治区和我市有关农村经济和社会发展的方针、政策，研究拟订全区供销社的发展规划和年度计划；指导全区供销社的改革和发展。</w:t>
      </w:r>
    </w:p>
    <w:p w14:paraId="070490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（2）按照区政府授权对全区重要农业生产资料、农副产品、日用工业品、边销茶等物质的储备、供应进行组织、协调和管理。</w:t>
      </w:r>
    </w:p>
    <w:p w14:paraId="552C8F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指导全区供销社系统积极参与和推进农业产业化经营、农村社会化服务，参与培育农产品市场体系，组织、协调农村经营服务网点建设和棉花收储、加工、销售等工作，农村合作经济组织和农民协会建设，引导农民参与市场竞争，带动农民增收致富。</w:t>
      </w:r>
    </w:p>
    <w:p w14:paraId="2996AC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（4）行使本级社有资产出资人代表职能，监督、管理社有资产的运营工作，确保社有资产保值增值。</w:t>
      </w:r>
    </w:p>
    <w:p w14:paraId="145462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（5）向党和政府及有关部门反映农民社员和供销社的意见和要求，维护区级供销社及其社属企业、领办农民专业合作组织、农民协会和全体社员的合法权益。</w:t>
      </w:r>
    </w:p>
    <w:p w14:paraId="046586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（6）配合有关部门推进再生资源回收利用体系建设，参与农业面源污染治理和美丽乡村建设。</w:t>
      </w:r>
    </w:p>
    <w:p w14:paraId="45E7D3D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（7）组织开展对农民专业合作社管理人员、农产品经纪人、新型职业农（牧）民的实用技术培训工作。</w:t>
      </w:r>
    </w:p>
    <w:p w14:paraId="69B6F2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（8）承办区委、区人民政府交办的其他事项。</w:t>
      </w:r>
    </w:p>
    <w:p w14:paraId="2A874A0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32EECB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乌鲁木齐市米东区供销合作社联合社2024年度，实有人数20人，其中：在职人员7人，减少3人；离休人员0人，较上年无变化；退休人员13人，增加3人。</w:t>
      </w:r>
    </w:p>
    <w:p w14:paraId="163959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乌鲁木齐市米东区供销合作社联合社无下属预算单位，下设3个科室，分别是：办公室、财务室、业务室。</w:t>
      </w:r>
    </w:p>
    <w:p w14:paraId="01BFBA0B">
      <w:pPr>
        <w:spacing w:after="0" w:line="240" w:lineRule="auto"/>
        <w:rPr>
          <w:rFonts w:ascii="黑体" w:eastAsia="黑体"/>
          <w:sz w:val="32"/>
          <w:szCs w:val="32"/>
          <w:lang w:eastAsia="zh-CN"/>
        </w:rPr>
      </w:pPr>
      <w:r>
        <w:rPr>
          <w:rFonts w:ascii="黑体" w:eastAsia="黑体"/>
          <w:sz w:val="32"/>
          <w:szCs w:val="32"/>
          <w:lang w:eastAsia="zh-CN"/>
        </w:rPr>
        <w:br w:type="page"/>
      </w:r>
    </w:p>
    <w:p w14:paraId="29F27465">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568230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1713AE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2024年度收入总计171.76万元，其中：本年收入合计162.19万元，使用非财政拨款结余（含专用结余）0.00万元，年初结转和结余9.57万元。</w:t>
      </w:r>
    </w:p>
    <w:p w14:paraId="6926260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2024年度支出总计171.76万元，其中：本年支出合计162.61万元，结余分配0.00万元，年末结转和结余9.16万元。</w:t>
      </w:r>
    </w:p>
    <w:p w14:paraId="778E74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收入支出总体与上年相比，减少76.79万元，下降30.90%，主要原因是：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为民办事实项目经费减少</w:t>
      </w:r>
      <w:r>
        <w:rPr>
          <w:rFonts w:ascii="仿宋_GB2312" w:eastAsia="仿宋_GB2312"/>
          <w:sz w:val="32"/>
          <w:szCs w:val="32"/>
          <w:lang w:eastAsia="zh-CN"/>
        </w:rPr>
        <w:t>。</w:t>
      </w:r>
    </w:p>
    <w:p w14:paraId="2F2958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04492D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本年收入162.19万元，其中：财政拨款收入162.19万元,占100.00%；上级补助收入0.00万元,占0.00%；事业收入0.00万元，占0.00%；经营收入0.00万元,占0.00%；附属单位上缴收入0.00万元，占0.00%；其他收入0.00万元，占0.00%。</w:t>
      </w:r>
    </w:p>
    <w:p w14:paraId="41C17AA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68A1B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本年支出162.61万元，其中：基本支出162.61万元，占100.00%；项目支出0.00万元，占0.00%；上缴上级支出0.00万元，占0.00%；经营支出0.00万元，占0.00%；对附属单位补助支出0.00万元，占0.00%。</w:t>
      </w:r>
    </w:p>
    <w:p w14:paraId="6B3B994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687452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2024年度财政拨款收入总计171.76万元，其中：年初财政拨款结转和结余9.57万元，本年财政拨款收入162.19万元。财政拨款支出总计171.76万元，其中：年末财政拨款结转和结余9.16万元，本年财政拨款支出162.61万元。</w:t>
      </w:r>
    </w:p>
    <w:p w14:paraId="519833E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财政拨款收入支出总体与上年相比，减少75.41万元，下降30.51%，主要原因是：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为民办事实项目经费减少</w:t>
      </w:r>
      <w:r>
        <w:rPr>
          <w:rFonts w:ascii="仿宋_GB2312" w:eastAsia="仿宋_GB2312"/>
          <w:sz w:val="32"/>
          <w:szCs w:val="32"/>
          <w:lang w:eastAsia="zh-CN"/>
        </w:rPr>
        <w:t>。与年初预算相比，年初预算数194.18万元，决算数171.76万元，预决算差异率-11.55%，主要原因是：</w:t>
      </w:r>
      <w:r>
        <w:rPr>
          <w:rFonts w:hint="eastAsia" w:ascii="仿宋_GB2312" w:eastAsia="仿宋_GB2312"/>
          <w:sz w:val="32"/>
          <w:szCs w:val="32"/>
          <w:lang w:eastAsia="zh-CN"/>
        </w:rPr>
        <w:t>较预算减少人员工资、津贴补贴、奖金等经费减少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较预算减少为民办事实项目经费</w:t>
      </w:r>
      <w:r>
        <w:rPr>
          <w:rFonts w:ascii="仿宋_GB2312" w:eastAsia="仿宋_GB2312"/>
          <w:sz w:val="32"/>
          <w:szCs w:val="32"/>
          <w:lang w:eastAsia="zh-CN"/>
        </w:rPr>
        <w:t>。</w:t>
      </w:r>
    </w:p>
    <w:p w14:paraId="570BBA5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7F8C038">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CF327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2024年度一般公共预算财政拨款支出162.61万元，占本年支出合计的100.00%。与上年相比，减少65.73万元，下降28.79%，主要原因是：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为民办事实项目经费减少</w:t>
      </w:r>
      <w:r>
        <w:rPr>
          <w:rFonts w:ascii="仿宋_GB2312" w:eastAsia="仿宋_GB2312"/>
          <w:sz w:val="32"/>
          <w:szCs w:val="32"/>
          <w:lang w:eastAsia="zh-CN"/>
        </w:rPr>
        <w:t>。与年初预算相比，年初预算数194.18万元，决算数162.61万元，预决算差异率-16.26%，主要原因是：</w:t>
      </w:r>
      <w:r>
        <w:rPr>
          <w:rFonts w:hint="eastAsia" w:ascii="仿宋_GB2312" w:eastAsia="仿宋_GB2312"/>
          <w:sz w:val="32"/>
          <w:szCs w:val="32"/>
          <w:lang w:eastAsia="zh-CN"/>
        </w:rPr>
        <w:t>较预算减少人员工资、津贴补贴、奖金等经费减少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较预算减少为民办事实项目经费</w:t>
      </w:r>
      <w:r>
        <w:rPr>
          <w:rFonts w:ascii="仿宋_GB2312" w:eastAsia="仿宋_GB2312"/>
          <w:sz w:val="32"/>
          <w:szCs w:val="32"/>
          <w:lang w:eastAsia="zh-CN"/>
        </w:rPr>
        <w:t>。</w:t>
      </w:r>
    </w:p>
    <w:p w14:paraId="372CBC44">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A3F413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社会保障和就业支出（类）21.57万元，占13.26%。</w:t>
      </w:r>
    </w:p>
    <w:p w14:paraId="77B4A90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商业服务业等支出（类）141.04万元，占86.74%。</w:t>
      </w:r>
    </w:p>
    <w:p w14:paraId="68C53C2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71A23A8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1、社会保障和就业支出（类）行政事业单位养老支出（款）机关事业单位基本养老保险缴费支出（项）：支出决算数为21.57万元，比上年决算增加1.63万元，增长8.17%，主要原因是：</w:t>
      </w:r>
      <w:r>
        <w:rPr>
          <w:rFonts w:hint="eastAsia" w:ascii="仿宋_GB2312" w:hAnsi="仿宋_GB2312" w:eastAsia="仿宋_GB2312" w:cs="仿宋_GB2312"/>
          <w:sz w:val="32"/>
          <w:szCs w:val="32"/>
          <w:lang w:val="zh-CN" w:eastAsia="zh-CN"/>
        </w:rPr>
        <w:t>单位本年</w:t>
      </w:r>
      <w:r>
        <w:rPr>
          <w:rFonts w:ascii="仿宋_GB2312" w:eastAsia="仿宋_GB2312"/>
          <w:sz w:val="32"/>
          <w:szCs w:val="32"/>
          <w:lang w:eastAsia="zh-CN"/>
        </w:rPr>
        <w:t>社保</w:t>
      </w:r>
      <w:r>
        <w:rPr>
          <w:rFonts w:hint="eastAsia" w:ascii="仿宋_GB2312" w:eastAsia="仿宋_GB2312"/>
          <w:sz w:val="32"/>
          <w:szCs w:val="32"/>
          <w:lang w:eastAsia="zh-CN"/>
        </w:rPr>
        <w:t>缴费</w:t>
      </w:r>
      <w:r>
        <w:rPr>
          <w:rFonts w:ascii="仿宋_GB2312" w:eastAsia="仿宋_GB2312"/>
          <w:sz w:val="32"/>
          <w:szCs w:val="32"/>
          <w:lang w:eastAsia="zh-CN"/>
        </w:rPr>
        <w:t>基数调增，</w:t>
      </w:r>
      <w:r>
        <w:rPr>
          <w:rFonts w:hint="eastAsia" w:ascii="仿宋_GB2312" w:eastAsia="仿宋_GB2312"/>
          <w:sz w:val="32"/>
          <w:szCs w:val="32"/>
          <w:lang w:eastAsia="zh-CN"/>
        </w:rPr>
        <w:t>人员</w:t>
      </w:r>
      <w:r>
        <w:rPr>
          <w:rFonts w:ascii="仿宋_GB2312" w:eastAsia="仿宋_GB2312"/>
          <w:sz w:val="32"/>
          <w:szCs w:val="32"/>
          <w:lang w:eastAsia="zh-CN"/>
        </w:rPr>
        <w:t>养老保险</w:t>
      </w:r>
      <w:r>
        <w:rPr>
          <w:rFonts w:hint="eastAsia" w:ascii="仿宋_GB2312" w:eastAsia="仿宋_GB2312"/>
          <w:sz w:val="32"/>
          <w:szCs w:val="32"/>
          <w:lang w:eastAsia="zh-CN"/>
        </w:rPr>
        <w:t>缴费</w:t>
      </w:r>
      <w:r>
        <w:rPr>
          <w:rFonts w:ascii="仿宋_GB2312" w:eastAsia="仿宋_GB2312"/>
          <w:sz w:val="32"/>
          <w:szCs w:val="32"/>
          <w:lang w:eastAsia="zh-CN"/>
        </w:rPr>
        <w:t>增加。</w:t>
      </w:r>
    </w:p>
    <w:p w14:paraId="77AC1F0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2、商业服务业等支出（类）商业流通事务（款）事业运行（项）：支出决算数为141.04万元，比上年决算减少55.23万元，下降28.14%，主要原因是：</w:t>
      </w:r>
      <w:r>
        <w:rPr>
          <w:rFonts w:hint="eastAsia" w:ascii="仿宋_GB2312" w:eastAsia="仿宋_GB2312"/>
          <w:sz w:val="32"/>
          <w:szCs w:val="32"/>
          <w:lang w:eastAsia="zh-CN"/>
        </w:rPr>
        <w:t>单位</w:t>
      </w:r>
      <w:r>
        <w:rPr>
          <w:rFonts w:ascii="仿宋_GB2312" w:eastAsia="仿宋_GB2312"/>
          <w:sz w:val="32"/>
          <w:szCs w:val="32"/>
          <w:lang w:eastAsia="zh-CN"/>
        </w:rPr>
        <w:t>本年人员减少，</w:t>
      </w:r>
      <w:r>
        <w:rPr>
          <w:rFonts w:hint="eastAsia" w:ascii="仿宋_GB2312" w:eastAsia="仿宋_GB2312"/>
          <w:sz w:val="32"/>
          <w:szCs w:val="32"/>
          <w:lang w:eastAsia="zh-CN"/>
        </w:rPr>
        <w:t>人员工资、津贴补贴、奖金等经费减少</w:t>
      </w:r>
      <w:r>
        <w:rPr>
          <w:rFonts w:ascii="仿宋_GB2312" w:eastAsia="仿宋_GB2312"/>
          <w:sz w:val="32"/>
          <w:szCs w:val="32"/>
          <w:lang w:eastAsia="zh-CN"/>
        </w:rPr>
        <w:t>。</w:t>
      </w:r>
    </w:p>
    <w:p w14:paraId="212EAB8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3、粮油物资储备支出（类）粮油物资事务（款）事业运行（项）：支出决算数为0.00万元，比上年决算减少12.13万元，下降100.00%，主要原因是：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功能科目调整，将</w:t>
      </w:r>
      <w:r>
        <w:rPr>
          <w:rFonts w:ascii="仿宋_GB2312" w:eastAsia="仿宋_GB2312"/>
          <w:sz w:val="32"/>
          <w:szCs w:val="32"/>
          <w:lang w:eastAsia="zh-CN"/>
        </w:rPr>
        <w:t>事业运行</w:t>
      </w:r>
      <w:r>
        <w:rPr>
          <w:rFonts w:hint="eastAsia" w:ascii="仿宋_GB2312" w:eastAsia="仿宋_GB2312"/>
          <w:sz w:val="32"/>
          <w:szCs w:val="32"/>
          <w:lang w:eastAsia="zh-CN"/>
        </w:rPr>
        <w:t>款项中人员</w:t>
      </w:r>
      <w:r>
        <w:rPr>
          <w:rFonts w:ascii="仿宋_GB2312" w:eastAsia="仿宋_GB2312"/>
          <w:sz w:val="32"/>
          <w:szCs w:val="32"/>
          <w:lang w:eastAsia="zh-CN"/>
        </w:rPr>
        <w:t>养老保险缴费</w:t>
      </w:r>
      <w:r>
        <w:rPr>
          <w:rFonts w:hint="eastAsia" w:ascii="仿宋_GB2312" w:eastAsia="仿宋_GB2312"/>
          <w:sz w:val="32"/>
          <w:szCs w:val="32"/>
          <w:lang w:eastAsia="zh-CN"/>
        </w:rPr>
        <w:t>调整至</w:t>
      </w:r>
      <w:r>
        <w:rPr>
          <w:rFonts w:ascii="仿宋_GB2312" w:eastAsia="仿宋_GB2312"/>
          <w:sz w:val="32"/>
          <w:szCs w:val="32"/>
          <w:lang w:eastAsia="zh-CN"/>
        </w:rPr>
        <w:t>机关事业单位基本养老保险缴费支出</w:t>
      </w:r>
      <w:r>
        <w:rPr>
          <w:rFonts w:hint="eastAsia" w:ascii="仿宋_GB2312" w:eastAsia="仿宋_GB2312"/>
          <w:sz w:val="32"/>
          <w:szCs w:val="32"/>
          <w:lang w:eastAsia="zh-CN"/>
        </w:rPr>
        <w:t>款项中核算，导致此项经费减少</w:t>
      </w:r>
      <w:r>
        <w:rPr>
          <w:rFonts w:ascii="仿宋_GB2312" w:eastAsia="仿宋_GB2312"/>
          <w:sz w:val="32"/>
          <w:szCs w:val="32"/>
          <w:lang w:eastAsia="zh-CN"/>
        </w:rPr>
        <w:t>。</w:t>
      </w:r>
    </w:p>
    <w:p w14:paraId="16763F9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1735C6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162.61万元，其中：人员经费156.56万元，包括：基本工资、津贴补贴、奖金、绩效工资、机关事业单位基本养老保险缴费、职业年金缴费、职工基本医疗保险缴费、公务员医疗补助缴费、其他社会保障缴费和住房公积金。</w:t>
      </w:r>
    </w:p>
    <w:p w14:paraId="51ABAFC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公用经费6.04万元，包括：办公费、</w:t>
      </w:r>
      <w:bookmarkStart w:id="1" w:name="_GoBack"/>
      <w:bookmarkEnd w:id="1"/>
      <w:r>
        <w:rPr>
          <w:rFonts w:ascii="仿宋_GB2312" w:eastAsia="仿宋_GB2312"/>
          <w:sz w:val="32"/>
          <w:szCs w:val="32"/>
          <w:lang w:eastAsia="zh-CN"/>
        </w:rPr>
        <w:t>水费、电费、取暖费、劳务费、工会经费和福利费。</w:t>
      </w:r>
    </w:p>
    <w:p w14:paraId="428279F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28F01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330F23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7C9C1C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21C1B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4B5CC0A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公务用车购置及运行维护</w:t>
      </w:r>
      <w:r>
        <w:rPr>
          <w:rFonts w:hint="eastAsia" w:ascii="仿宋_GB2312" w:eastAsia="仿宋_GB2312"/>
          <w:sz w:val="32"/>
          <w:szCs w:val="32"/>
          <w:lang w:eastAsia="zh-CN"/>
        </w:rPr>
        <w:t>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w:t>
      </w:r>
    </w:p>
    <w:p w14:paraId="4056FC3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6415A8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因公出国（境）</w:t>
      </w:r>
      <w:r>
        <w:rPr>
          <w:rFonts w:hint="eastAsia" w:ascii="仿宋_GB2312" w:eastAsia="仿宋_GB2312"/>
          <w:sz w:val="32"/>
          <w:szCs w:val="32"/>
          <w:lang w:eastAsia="zh-CN"/>
        </w:rPr>
        <w:t>经费</w:t>
      </w:r>
      <w:r>
        <w:rPr>
          <w:rFonts w:ascii="仿宋_GB2312" w:eastAsia="仿宋_GB2312"/>
          <w:sz w:val="32"/>
          <w:szCs w:val="32"/>
          <w:lang w:eastAsia="zh-CN"/>
        </w:rPr>
        <w:t>。单位全年安排的因公出国（境）团组0个，因公出国（境）0人次。</w:t>
      </w:r>
    </w:p>
    <w:p w14:paraId="2DEE72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FB3E1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公务接待</w:t>
      </w:r>
      <w:r>
        <w:rPr>
          <w:rFonts w:hint="eastAsia" w:ascii="仿宋_GB2312" w:eastAsia="仿宋_GB2312"/>
          <w:sz w:val="32"/>
          <w:szCs w:val="32"/>
          <w:lang w:eastAsia="zh-CN"/>
        </w:rPr>
        <w:t>经费</w:t>
      </w:r>
      <w:r>
        <w:rPr>
          <w:rFonts w:ascii="仿宋_GB2312" w:eastAsia="仿宋_GB2312"/>
          <w:sz w:val="32"/>
          <w:szCs w:val="32"/>
          <w:lang w:eastAsia="zh-CN"/>
        </w:rPr>
        <w:t>。单位全年安排的国内公务接待0批次，0人次。</w:t>
      </w:r>
    </w:p>
    <w:p w14:paraId="22DDB6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EB3DF8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593423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3D6021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2024年度乌鲁木齐市米东区供销合作社联合社单位（事业单位）公用经费支出6.04万元，比上年减少10.53万元，下降63.55%，主要原因是：</w:t>
      </w:r>
      <w:r>
        <w:rPr>
          <w:rFonts w:hint="eastAsia" w:ascii="仿宋_GB2312" w:eastAsia="仿宋_GB2312"/>
          <w:sz w:val="32"/>
          <w:szCs w:val="32"/>
          <w:lang w:eastAsia="zh-CN"/>
        </w:rPr>
        <w:t>本年单位</w:t>
      </w:r>
      <w:r>
        <w:rPr>
          <w:rFonts w:ascii="仿宋_GB2312" w:eastAsia="仿宋_GB2312"/>
          <w:sz w:val="32"/>
          <w:szCs w:val="32"/>
          <w:lang w:eastAsia="zh-CN"/>
        </w:rPr>
        <w:t>办公费、电费、取暖费</w:t>
      </w:r>
      <w:r>
        <w:rPr>
          <w:rFonts w:hint="eastAsia" w:ascii="仿宋_GB2312" w:eastAsia="仿宋_GB2312"/>
          <w:sz w:val="32"/>
          <w:szCs w:val="32"/>
          <w:lang w:eastAsia="zh-CN"/>
        </w:rPr>
        <w:t>等经费较上年减少</w:t>
      </w:r>
      <w:r>
        <w:rPr>
          <w:rFonts w:ascii="仿宋_GB2312" w:eastAsia="仿宋_GB2312"/>
          <w:sz w:val="32"/>
          <w:szCs w:val="32"/>
          <w:lang w:eastAsia="zh-CN"/>
        </w:rPr>
        <w:t>。</w:t>
      </w:r>
    </w:p>
    <w:p w14:paraId="2BF9DB8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2B6845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A420F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360B35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FCE149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3FF8868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C4CA5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根据预算绩效管理要求，本单位2024年度预算绩效管理形成整体支出绩效自评表1个，全年预算总额171.76万元，实际执行总额</w:t>
      </w:r>
      <w:r>
        <w:rPr>
          <w:rFonts w:hint="eastAsia" w:ascii="仿宋_GB2312" w:eastAsia="仿宋_GB2312"/>
          <w:sz w:val="32"/>
          <w:szCs w:val="32"/>
          <w:lang w:eastAsia="zh-CN"/>
        </w:rPr>
        <w:t>162.61</w:t>
      </w:r>
      <w:r>
        <w:rPr>
          <w:rFonts w:ascii="仿宋_GB2312" w:eastAsia="仿宋_GB2312"/>
          <w:sz w:val="32"/>
          <w:szCs w:val="32"/>
          <w:lang w:eastAsia="zh-CN"/>
        </w:rPr>
        <w:t>万元；预算绩效评价项目0个，全年预算数0</w:t>
      </w:r>
      <w:r>
        <w:rPr>
          <w:rFonts w:hint="eastAsia" w:ascii="仿宋_GB2312" w:eastAsia="仿宋_GB2312"/>
          <w:sz w:val="32"/>
          <w:szCs w:val="32"/>
          <w:lang w:eastAsia="zh-CN"/>
        </w:rPr>
        <w:t>.00</w:t>
      </w:r>
      <w:r>
        <w:rPr>
          <w:rFonts w:ascii="仿宋_GB2312" w:eastAsia="仿宋_GB2312"/>
          <w:sz w:val="32"/>
          <w:szCs w:val="32"/>
          <w:lang w:eastAsia="zh-CN"/>
        </w:rPr>
        <w:t>万元，全年执行数0</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严格按照年初预算，合理安排各项支出。建立健全支出管理制度，明确各项支出的审批流程和责任人。按照预算经费分类做好单位支出计划以及相应支付手续的审批，做到专款专用，有效防止了资金的挪用和浪费</w:t>
      </w:r>
      <w:r>
        <w:rPr>
          <w:rFonts w:hint="eastAsia" w:ascii="仿宋_GB2312" w:eastAsia="仿宋_GB2312"/>
          <w:sz w:val="32"/>
          <w:szCs w:val="32"/>
          <w:lang w:eastAsia="zh-CN"/>
        </w:rPr>
        <w:t>；</w:t>
      </w:r>
      <w:r>
        <w:rPr>
          <w:rFonts w:ascii="仿宋_GB2312" w:eastAsia="仿宋_GB2312"/>
          <w:sz w:val="32"/>
          <w:szCs w:val="32"/>
          <w:lang w:eastAsia="zh-CN"/>
        </w:rPr>
        <w:t>二是落实预算绩效评价管理，提高资金使用效益。力行节约，控制经营管理成本，定期梳理资金使用情况，按要求做好盘活存量资金，及时上缴国库，确保资金安全，提高资金使用效率。发现的问题及原因：一是绩效评价自评受评价部门主观影响较大，缺乏客观性，普遍存在一人多岗，职能不清，分工不明确，部门间岗位间相互监督不够</w:t>
      </w:r>
      <w:r>
        <w:rPr>
          <w:rFonts w:hint="eastAsia" w:ascii="仿宋_GB2312" w:eastAsia="仿宋_GB2312"/>
          <w:sz w:val="32"/>
          <w:szCs w:val="32"/>
          <w:lang w:eastAsia="zh-CN"/>
        </w:rPr>
        <w:t>；</w:t>
      </w:r>
      <w:r>
        <w:rPr>
          <w:rFonts w:ascii="仿宋_GB2312" w:eastAsia="仿宋_GB2312"/>
          <w:sz w:val="32"/>
          <w:szCs w:val="32"/>
          <w:lang w:eastAsia="zh-CN"/>
        </w:rPr>
        <w:t>二是部门整体绩效指标设立不够全面，目标主要集中在履职效能上，目标设立覆盖面不够，多设置过程性、产出性的指标，而非部门碎片工作的简单整合</w:t>
      </w:r>
      <w:r>
        <w:rPr>
          <w:rFonts w:hint="eastAsia" w:ascii="仿宋_GB2312" w:eastAsia="仿宋_GB2312"/>
          <w:sz w:val="32"/>
          <w:szCs w:val="32"/>
          <w:lang w:eastAsia="zh-CN"/>
        </w:rPr>
        <w:t>；</w:t>
      </w:r>
      <w:r>
        <w:rPr>
          <w:rFonts w:ascii="仿宋_GB2312" w:eastAsia="仿宋_GB2312"/>
          <w:sz w:val="32"/>
          <w:szCs w:val="32"/>
          <w:lang w:eastAsia="zh-CN"/>
        </w:rPr>
        <w:t>三是为农服务基础较为薄弱，作为经营性和公益性兼顾项目，农业社会化服务中心和村级综合服务社的组织架构基本搭建，但受到资金和人才制约，服务水平还有待提升，服务功能有待拓展。下一步改进措施：一是加强部门绩效评价人员专业知识培训，提高指标设计科学性和绩效评价专业性。由专业人员开展定期绩效目标评价工作，聘请第三方机构，如社会绩效评价组织，专家，高效研究人员等。加强部门整体绩效评价公开管理，广泛接受社会及大众监督</w:t>
      </w:r>
      <w:r>
        <w:rPr>
          <w:rFonts w:hint="eastAsia" w:ascii="仿宋_GB2312" w:eastAsia="仿宋_GB2312"/>
          <w:sz w:val="32"/>
          <w:szCs w:val="32"/>
          <w:lang w:eastAsia="zh-CN"/>
        </w:rPr>
        <w:t>；</w:t>
      </w:r>
      <w:r>
        <w:rPr>
          <w:rFonts w:ascii="仿宋_GB2312" w:eastAsia="仿宋_GB2312"/>
          <w:sz w:val="32"/>
          <w:szCs w:val="32"/>
          <w:lang w:eastAsia="zh-CN"/>
        </w:rPr>
        <w:t>二是提高部门整体支出绩效目标设定的合理性，绩效目标的设立要以中央、自治区、乌鲁木齐市的发展规划、政府重要战略等为指导，结合部门单位履职的核心任务，不是仅依赖于部门单位的工作计划，要从全局高度出发，要围绕事业发展规划，以预算资金为主线，分析提炼部门单位年度目标，再细化为具体的三级指标，梳理集中反映部门履职效能、社会效应等效果的个性化、效益类绩效指标。具体附部门整体支出绩效自评表。</w:t>
      </w:r>
    </w:p>
    <w:p w14:paraId="73D76255">
      <w:pPr>
        <w:spacing w:after="0" w:line="240" w:lineRule="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636F76A2">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6270D0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F4423C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32AA545">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61333F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乌鲁木齐市米东区供销合作社联合社</w:t>
            </w:r>
          </w:p>
        </w:tc>
        <w:tc>
          <w:tcPr>
            <w:tcW w:w="284" w:type="dxa"/>
            <w:tcBorders>
              <w:top w:val="nil"/>
              <w:left w:val="nil"/>
              <w:bottom w:val="nil"/>
              <w:right w:val="nil"/>
            </w:tcBorders>
            <w:noWrap/>
            <w:vAlign w:val="center"/>
          </w:tcPr>
          <w:p w14:paraId="59BD53C9">
            <w:pPr>
              <w:rPr>
                <w:rFonts w:hint="eastAsia" w:ascii="宋体" w:hAnsi="宋体" w:eastAsia="宋体" w:cs="宋体"/>
                <w:b/>
                <w:bCs/>
                <w:sz w:val="18"/>
                <w:szCs w:val="18"/>
                <w:lang w:eastAsia="zh-CN"/>
              </w:rPr>
            </w:pPr>
          </w:p>
        </w:tc>
      </w:tr>
      <w:tr w14:paraId="322C94A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41C85D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5487EEC">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93A057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1EF947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F209AC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0DFECC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98ACE87">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D21FB24">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BAC75B6">
            <w:pPr>
              <w:jc w:val="center"/>
              <w:rPr>
                <w:rFonts w:hint="eastAsia" w:ascii="宋体" w:hAnsi="宋体" w:eastAsia="宋体" w:cs="宋体"/>
                <w:b/>
                <w:bCs/>
                <w:sz w:val="18"/>
                <w:szCs w:val="18"/>
              </w:rPr>
            </w:pPr>
          </w:p>
        </w:tc>
      </w:tr>
      <w:tr w14:paraId="305C865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503DE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6862F82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7D76735">
            <w:pPr>
              <w:jc w:val="center"/>
              <w:rPr>
                <w:rFonts w:hint="eastAsia" w:ascii="宋体" w:hAnsi="宋体" w:eastAsia="宋体" w:cs="宋体"/>
                <w:sz w:val="18"/>
                <w:szCs w:val="18"/>
              </w:rPr>
            </w:pPr>
            <w:r>
              <w:rPr>
                <w:rFonts w:hint="eastAsia" w:ascii="宋体" w:hAnsi="宋体" w:eastAsia="宋体" w:cs="宋体"/>
                <w:sz w:val="18"/>
                <w:szCs w:val="18"/>
              </w:rPr>
              <w:t>194.18</w:t>
            </w:r>
          </w:p>
        </w:tc>
        <w:tc>
          <w:tcPr>
            <w:tcW w:w="1276" w:type="dxa"/>
            <w:tcBorders>
              <w:top w:val="nil"/>
              <w:left w:val="nil"/>
              <w:bottom w:val="single" w:color="auto" w:sz="4" w:space="0"/>
              <w:right w:val="single" w:color="auto" w:sz="4" w:space="0"/>
            </w:tcBorders>
            <w:vAlign w:val="center"/>
          </w:tcPr>
          <w:p w14:paraId="5D9F3112">
            <w:pPr>
              <w:jc w:val="center"/>
              <w:rPr>
                <w:rFonts w:hint="eastAsia" w:ascii="宋体" w:hAnsi="宋体" w:eastAsia="宋体" w:cs="宋体"/>
                <w:sz w:val="18"/>
                <w:szCs w:val="18"/>
              </w:rPr>
            </w:pPr>
            <w:r>
              <w:rPr>
                <w:rFonts w:hint="eastAsia" w:ascii="宋体" w:hAnsi="宋体" w:eastAsia="宋体" w:cs="宋体"/>
                <w:sz w:val="18"/>
                <w:szCs w:val="18"/>
              </w:rPr>
              <w:t>171.76</w:t>
            </w:r>
          </w:p>
        </w:tc>
        <w:tc>
          <w:tcPr>
            <w:tcW w:w="1701" w:type="dxa"/>
            <w:tcBorders>
              <w:top w:val="nil"/>
              <w:left w:val="nil"/>
              <w:bottom w:val="single" w:color="auto" w:sz="4" w:space="0"/>
              <w:right w:val="single" w:color="auto" w:sz="4" w:space="0"/>
            </w:tcBorders>
            <w:vAlign w:val="center"/>
          </w:tcPr>
          <w:p w14:paraId="3F2A710E">
            <w:pPr>
              <w:jc w:val="center"/>
              <w:rPr>
                <w:rFonts w:hint="eastAsia" w:ascii="宋体" w:hAnsi="宋体" w:eastAsia="宋体" w:cs="宋体"/>
                <w:sz w:val="18"/>
                <w:szCs w:val="18"/>
              </w:rPr>
            </w:pPr>
            <w:r>
              <w:rPr>
                <w:rFonts w:hint="eastAsia" w:ascii="宋体" w:hAnsi="宋体" w:eastAsia="宋体" w:cs="宋体"/>
                <w:sz w:val="18"/>
                <w:szCs w:val="18"/>
              </w:rPr>
              <w:t>162.61</w:t>
            </w:r>
          </w:p>
        </w:tc>
        <w:tc>
          <w:tcPr>
            <w:tcW w:w="1134" w:type="dxa"/>
            <w:tcBorders>
              <w:top w:val="nil"/>
              <w:left w:val="nil"/>
              <w:bottom w:val="single" w:color="auto" w:sz="4" w:space="0"/>
              <w:right w:val="single" w:color="auto" w:sz="4" w:space="0"/>
            </w:tcBorders>
            <w:vAlign w:val="center"/>
          </w:tcPr>
          <w:p w14:paraId="5A40070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55B0C7B">
            <w:pPr>
              <w:jc w:val="center"/>
              <w:rPr>
                <w:rFonts w:hint="eastAsia" w:ascii="宋体" w:hAnsi="宋体" w:eastAsia="宋体" w:cs="宋体"/>
                <w:sz w:val="18"/>
                <w:szCs w:val="18"/>
              </w:rPr>
            </w:pPr>
            <w:r>
              <w:rPr>
                <w:rFonts w:hint="eastAsia" w:ascii="宋体" w:hAnsi="宋体" w:eastAsia="宋体" w:cs="宋体"/>
                <w:sz w:val="18"/>
                <w:szCs w:val="18"/>
              </w:rPr>
              <w:t>94.67%</w:t>
            </w:r>
          </w:p>
        </w:tc>
        <w:tc>
          <w:tcPr>
            <w:tcW w:w="720" w:type="dxa"/>
            <w:tcBorders>
              <w:top w:val="nil"/>
              <w:left w:val="nil"/>
              <w:bottom w:val="single" w:color="auto" w:sz="4" w:space="0"/>
              <w:right w:val="single" w:color="auto" w:sz="4" w:space="0"/>
            </w:tcBorders>
            <w:vAlign w:val="center"/>
          </w:tcPr>
          <w:p w14:paraId="70FAC291">
            <w:pPr>
              <w:jc w:val="center"/>
              <w:rPr>
                <w:rFonts w:hint="eastAsia" w:ascii="宋体" w:hAnsi="宋体" w:eastAsia="宋体" w:cs="宋体"/>
                <w:sz w:val="18"/>
                <w:szCs w:val="18"/>
              </w:rPr>
            </w:pPr>
            <w:r>
              <w:rPr>
                <w:rFonts w:hint="eastAsia" w:ascii="宋体" w:hAnsi="宋体" w:eastAsia="宋体" w:cs="宋体"/>
                <w:sz w:val="18"/>
                <w:szCs w:val="18"/>
              </w:rPr>
              <w:t>9.47</w:t>
            </w:r>
          </w:p>
        </w:tc>
        <w:tc>
          <w:tcPr>
            <w:tcW w:w="284" w:type="dxa"/>
            <w:tcBorders>
              <w:top w:val="nil"/>
              <w:left w:val="nil"/>
              <w:bottom w:val="nil"/>
              <w:right w:val="nil"/>
            </w:tcBorders>
            <w:noWrap/>
            <w:vAlign w:val="center"/>
          </w:tcPr>
          <w:p w14:paraId="5F07267E">
            <w:pPr>
              <w:jc w:val="center"/>
              <w:rPr>
                <w:rFonts w:hint="eastAsia" w:ascii="宋体" w:hAnsi="宋体" w:eastAsia="宋体" w:cs="宋体"/>
                <w:b/>
                <w:bCs/>
                <w:sz w:val="18"/>
                <w:szCs w:val="18"/>
              </w:rPr>
            </w:pPr>
          </w:p>
        </w:tc>
      </w:tr>
      <w:tr w14:paraId="49E105A5">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99A36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91E4E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4AC7CAB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6DB9CEA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C39277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7AC01E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CD2F16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3841CD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E5339E6">
            <w:pPr>
              <w:jc w:val="center"/>
              <w:rPr>
                <w:rFonts w:hint="eastAsia" w:ascii="宋体" w:hAnsi="宋体" w:eastAsia="宋体" w:cs="宋体"/>
                <w:sz w:val="18"/>
                <w:szCs w:val="18"/>
              </w:rPr>
            </w:pPr>
          </w:p>
        </w:tc>
      </w:tr>
      <w:tr w14:paraId="025D921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8A263A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8D6004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4D5218B">
            <w:pPr>
              <w:jc w:val="center"/>
              <w:rPr>
                <w:rFonts w:hint="eastAsia" w:ascii="宋体" w:hAnsi="宋体" w:eastAsia="宋体" w:cs="宋体"/>
                <w:sz w:val="18"/>
                <w:szCs w:val="18"/>
              </w:rPr>
            </w:pPr>
            <w:r>
              <w:rPr>
                <w:rFonts w:hint="eastAsia" w:ascii="宋体" w:hAnsi="宋体" w:eastAsia="宋体" w:cs="宋体"/>
                <w:sz w:val="18"/>
                <w:szCs w:val="18"/>
              </w:rPr>
              <w:t>192.18</w:t>
            </w:r>
          </w:p>
        </w:tc>
        <w:tc>
          <w:tcPr>
            <w:tcW w:w="1276" w:type="dxa"/>
            <w:tcBorders>
              <w:top w:val="nil"/>
              <w:left w:val="nil"/>
              <w:bottom w:val="single" w:color="auto" w:sz="4" w:space="0"/>
              <w:right w:val="single" w:color="auto" w:sz="4" w:space="0"/>
            </w:tcBorders>
            <w:vAlign w:val="center"/>
          </w:tcPr>
          <w:p w14:paraId="2F74C077">
            <w:pPr>
              <w:jc w:val="center"/>
              <w:rPr>
                <w:rFonts w:hint="eastAsia" w:ascii="宋体" w:hAnsi="宋体" w:eastAsia="宋体" w:cs="宋体"/>
                <w:sz w:val="18"/>
                <w:szCs w:val="18"/>
              </w:rPr>
            </w:pPr>
            <w:r>
              <w:rPr>
                <w:rFonts w:hint="eastAsia" w:ascii="宋体" w:hAnsi="宋体" w:eastAsia="宋体" w:cs="宋体"/>
                <w:sz w:val="18"/>
                <w:szCs w:val="18"/>
              </w:rPr>
              <w:t>171.76</w:t>
            </w:r>
          </w:p>
        </w:tc>
        <w:tc>
          <w:tcPr>
            <w:tcW w:w="1701" w:type="dxa"/>
            <w:tcBorders>
              <w:top w:val="nil"/>
              <w:left w:val="nil"/>
              <w:bottom w:val="single" w:color="auto" w:sz="4" w:space="0"/>
              <w:right w:val="single" w:color="auto" w:sz="4" w:space="0"/>
            </w:tcBorders>
            <w:vAlign w:val="center"/>
          </w:tcPr>
          <w:p w14:paraId="2D086F85">
            <w:pPr>
              <w:jc w:val="center"/>
              <w:rPr>
                <w:rFonts w:hint="eastAsia" w:ascii="宋体" w:hAnsi="宋体" w:eastAsia="宋体" w:cs="宋体"/>
                <w:sz w:val="18"/>
                <w:szCs w:val="18"/>
              </w:rPr>
            </w:pPr>
            <w:r>
              <w:rPr>
                <w:rFonts w:hint="eastAsia" w:ascii="宋体" w:hAnsi="宋体" w:eastAsia="宋体" w:cs="宋体"/>
                <w:sz w:val="18"/>
                <w:szCs w:val="18"/>
              </w:rPr>
              <w:t>162.61</w:t>
            </w:r>
          </w:p>
        </w:tc>
        <w:tc>
          <w:tcPr>
            <w:tcW w:w="1134" w:type="dxa"/>
            <w:tcBorders>
              <w:top w:val="nil"/>
              <w:left w:val="nil"/>
              <w:bottom w:val="single" w:color="auto" w:sz="4" w:space="0"/>
              <w:right w:val="single" w:color="auto" w:sz="4" w:space="0"/>
            </w:tcBorders>
            <w:vAlign w:val="center"/>
          </w:tcPr>
          <w:p w14:paraId="37AB167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988875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5BD582B">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BEC469C">
            <w:pPr>
              <w:jc w:val="center"/>
              <w:rPr>
                <w:rFonts w:hint="eastAsia" w:ascii="宋体" w:hAnsi="宋体" w:eastAsia="宋体" w:cs="宋体"/>
                <w:sz w:val="18"/>
                <w:szCs w:val="18"/>
              </w:rPr>
            </w:pPr>
          </w:p>
        </w:tc>
      </w:tr>
      <w:tr w14:paraId="29A00BF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BB01E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345E56C">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B7F4889">
            <w:pPr>
              <w:jc w:val="center"/>
              <w:rPr>
                <w:rFonts w:hint="eastAsia" w:ascii="宋体" w:hAnsi="宋体" w:eastAsia="宋体" w:cs="宋体"/>
                <w:sz w:val="18"/>
                <w:szCs w:val="18"/>
              </w:rPr>
            </w:pPr>
            <w:r>
              <w:rPr>
                <w:rFonts w:hint="eastAsia" w:ascii="宋体" w:hAnsi="宋体" w:eastAsia="宋体" w:cs="宋体"/>
                <w:sz w:val="18"/>
                <w:szCs w:val="18"/>
              </w:rPr>
              <w:t>2.00</w:t>
            </w:r>
          </w:p>
        </w:tc>
        <w:tc>
          <w:tcPr>
            <w:tcW w:w="1276" w:type="dxa"/>
            <w:tcBorders>
              <w:top w:val="nil"/>
              <w:left w:val="nil"/>
              <w:bottom w:val="single" w:color="auto" w:sz="4" w:space="0"/>
              <w:right w:val="single" w:color="auto" w:sz="4" w:space="0"/>
            </w:tcBorders>
            <w:vAlign w:val="center"/>
          </w:tcPr>
          <w:p w14:paraId="1D0E839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0DC01B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339AD1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6B2BB6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1CD1D8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74F301FC">
            <w:pPr>
              <w:jc w:val="center"/>
              <w:rPr>
                <w:rFonts w:hint="eastAsia" w:ascii="宋体" w:hAnsi="宋体" w:eastAsia="宋体" w:cs="宋体"/>
                <w:sz w:val="18"/>
                <w:szCs w:val="18"/>
              </w:rPr>
            </w:pPr>
          </w:p>
        </w:tc>
      </w:tr>
      <w:tr w14:paraId="144F643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BF8FB6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9D12FA7">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91DEB1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5BD1A262">
            <w:pPr>
              <w:rPr>
                <w:rFonts w:hint="eastAsia" w:ascii="宋体" w:hAnsi="宋体" w:eastAsia="宋体" w:cs="宋体"/>
                <w:b/>
                <w:bCs/>
                <w:sz w:val="18"/>
                <w:szCs w:val="18"/>
              </w:rPr>
            </w:pPr>
          </w:p>
        </w:tc>
      </w:tr>
      <w:tr w14:paraId="13AE9DAF">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C3766E">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9A33081">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贯彻落实中央、自治区和我市有关农村经济和社会发展的方针、政策，组织指导全区供销系统积极参与和推进农业产业化经营、农村社会化服务，组织、协调农村经营服务，深化供销社改革，持续推动“三位一体”综合合作试点工作，发挥供销系统桥梁纽带作用及行业优势，助力乡村振兴、和美乡村建设。二、2024年工作任务：1、建立健全农资保供工作机制；2、强化农产品对接；3、优化再生资源回收体系；4、强化科技教育服务能力。</w:t>
            </w:r>
          </w:p>
        </w:tc>
        <w:tc>
          <w:tcPr>
            <w:tcW w:w="4547" w:type="dxa"/>
            <w:gridSpan w:val="4"/>
            <w:tcBorders>
              <w:top w:val="single" w:color="auto" w:sz="4" w:space="0"/>
              <w:left w:val="nil"/>
              <w:bottom w:val="single" w:color="auto" w:sz="4" w:space="0"/>
              <w:right w:val="single" w:color="auto" w:sz="4" w:space="0"/>
            </w:tcBorders>
          </w:tcPr>
          <w:p w14:paraId="248896D6">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米东区供销合作社联合社始终坚持以习近平新时代中国特色社会主义思想为指导，认真学习贯彻党的二十大和二十届三次全会精神，紧紧围绕米东区委、区政府和上级社的重点工作，结合我单位实际，以为农服务中心建设、拓宽为农服务领域、提升社属企业资产效益为重点，进一步深化综合改革，提升为农服务实力，各项工作取得了显著成效。1、与羊毛工镇留子庙村个体经营户合作设立的废旧地膜、滴灌带回收服务站，能够促进资源循环利用，助力解决农村废旧农膜污染治理难题，改善生态环境，建设和美乡村。2、组织引导社有企业、农民专业合作社参加疆内外农产品展销会，通过组织引导社有企业、农民专业合作社参与疆内外展销会，有效推动产销对接、品牌建设和农民增收，筑起联农助农桥梁。3、组织农民实用技能培训。通过开展农民实用技术培训，有效提高农民科学种养殖技术水平，促进农民增收，提升农业现代化水平。</w:t>
            </w:r>
          </w:p>
        </w:tc>
        <w:tc>
          <w:tcPr>
            <w:tcW w:w="284" w:type="dxa"/>
            <w:tcBorders>
              <w:top w:val="nil"/>
              <w:left w:val="nil"/>
              <w:bottom w:val="nil"/>
              <w:right w:val="nil"/>
            </w:tcBorders>
            <w:noWrap/>
            <w:vAlign w:val="center"/>
          </w:tcPr>
          <w:p w14:paraId="270F5EA5">
            <w:pPr>
              <w:rPr>
                <w:rFonts w:hint="eastAsia" w:ascii="宋体" w:hAnsi="宋体" w:eastAsia="宋体" w:cs="宋体"/>
                <w:sz w:val="18"/>
                <w:szCs w:val="18"/>
                <w:lang w:eastAsia="zh-CN"/>
              </w:rPr>
            </w:pPr>
          </w:p>
        </w:tc>
      </w:tr>
      <w:tr w14:paraId="242EF49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CE40FD4">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3FF5E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4C9A07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61DF79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6B0D13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85832DB">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5AA3D4A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A21BD0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B5D450D">
            <w:pPr>
              <w:rPr>
                <w:rFonts w:hint="eastAsia" w:ascii="宋体" w:hAnsi="宋体" w:eastAsia="宋体" w:cs="宋体"/>
                <w:b/>
                <w:bCs/>
                <w:sz w:val="18"/>
                <w:szCs w:val="18"/>
              </w:rPr>
            </w:pPr>
          </w:p>
        </w:tc>
      </w:tr>
      <w:tr w14:paraId="47AD006E">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869274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514CF5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A643DA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建废旧地膜和滴灌带回收网点</w:t>
            </w:r>
          </w:p>
        </w:tc>
        <w:tc>
          <w:tcPr>
            <w:tcW w:w="1276" w:type="dxa"/>
            <w:tcBorders>
              <w:top w:val="nil"/>
              <w:left w:val="nil"/>
              <w:bottom w:val="single" w:color="auto" w:sz="4" w:space="0"/>
              <w:right w:val="single" w:color="auto" w:sz="4" w:space="0"/>
            </w:tcBorders>
            <w:noWrap/>
            <w:vAlign w:val="center"/>
          </w:tcPr>
          <w:p w14:paraId="729E678A">
            <w:pPr>
              <w:jc w:val="center"/>
              <w:rPr>
                <w:rFonts w:hint="eastAsia" w:ascii="宋体" w:hAnsi="宋体" w:eastAsia="宋体" w:cs="宋体"/>
                <w:sz w:val="18"/>
                <w:szCs w:val="18"/>
              </w:rPr>
            </w:pPr>
            <w:r>
              <w:rPr>
                <w:rFonts w:hint="eastAsia" w:ascii="宋体" w:hAnsi="宋体" w:eastAsia="宋体" w:cs="宋体"/>
                <w:sz w:val="18"/>
                <w:szCs w:val="18"/>
              </w:rPr>
              <w:t>=1个</w:t>
            </w:r>
          </w:p>
        </w:tc>
        <w:tc>
          <w:tcPr>
            <w:tcW w:w="1701" w:type="dxa"/>
            <w:tcBorders>
              <w:top w:val="nil"/>
              <w:left w:val="nil"/>
              <w:bottom w:val="single" w:color="auto" w:sz="4" w:space="0"/>
              <w:right w:val="single" w:color="auto" w:sz="4" w:space="0"/>
            </w:tcBorders>
            <w:noWrap/>
            <w:vAlign w:val="center"/>
          </w:tcPr>
          <w:p w14:paraId="41F70FBF">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nil"/>
              <w:left w:val="nil"/>
              <w:bottom w:val="single" w:color="auto" w:sz="4" w:space="0"/>
              <w:right w:val="single" w:color="auto" w:sz="4" w:space="0"/>
            </w:tcBorders>
            <w:noWrap/>
            <w:vAlign w:val="center"/>
          </w:tcPr>
          <w:p w14:paraId="3E23DA8B">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0083DD4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DCC3A3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EE238E1">
            <w:pPr>
              <w:jc w:val="center"/>
              <w:rPr>
                <w:rFonts w:hint="eastAsia" w:ascii="宋体" w:hAnsi="宋体" w:eastAsia="宋体" w:cs="宋体"/>
                <w:sz w:val="18"/>
                <w:szCs w:val="18"/>
              </w:rPr>
            </w:pPr>
          </w:p>
        </w:tc>
      </w:tr>
      <w:tr w14:paraId="1AF48DD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2F65CF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05A5EBB">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5F0F95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支持社有企业、农民专业合作社参加疆内外农产品展销会</w:t>
            </w:r>
          </w:p>
        </w:tc>
        <w:tc>
          <w:tcPr>
            <w:tcW w:w="1276" w:type="dxa"/>
            <w:tcBorders>
              <w:top w:val="nil"/>
              <w:left w:val="nil"/>
              <w:bottom w:val="single" w:color="auto" w:sz="4" w:space="0"/>
              <w:right w:val="single" w:color="auto" w:sz="4" w:space="0"/>
            </w:tcBorders>
            <w:noWrap/>
            <w:vAlign w:val="center"/>
          </w:tcPr>
          <w:p w14:paraId="789A2411">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nil"/>
              <w:left w:val="nil"/>
              <w:bottom w:val="single" w:color="auto" w:sz="4" w:space="0"/>
              <w:right w:val="single" w:color="auto" w:sz="4" w:space="0"/>
            </w:tcBorders>
            <w:noWrap/>
            <w:vAlign w:val="center"/>
          </w:tcPr>
          <w:p w14:paraId="4C66997C">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nil"/>
              <w:left w:val="nil"/>
              <w:bottom w:val="single" w:color="auto" w:sz="4" w:space="0"/>
              <w:right w:val="single" w:color="auto" w:sz="4" w:space="0"/>
            </w:tcBorders>
            <w:noWrap/>
            <w:vAlign w:val="center"/>
          </w:tcPr>
          <w:p w14:paraId="171B06E3">
            <w:pPr>
              <w:jc w:val="center"/>
              <w:rPr>
                <w:rFonts w:hint="eastAsia" w:ascii="宋体" w:hAnsi="宋体" w:eastAsia="宋体" w:cs="宋体"/>
                <w:sz w:val="18"/>
                <w:szCs w:val="18"/>
              </w:rPr>
            </w:pPr>
            <w:r>
              <w:rPr>
                <w:rFonts w:hint="eastAsia" w:ascii="宋体" w:hAnsi="宋体" w:eastAsia="宋体" w:cs="宋体"/>
                <w:sz w:val="18"/>
                <w:szCs w:val="18"/>
              </w:rPr>
              <w:t>2</w:t>
            </w:r>
          </w:p>
        </w:tc>
        <w:tc>
          <w:tcPr>
            <w:tcW w:w="992" w:type="dxa"/>
            <w:tcBorders>
              <w:top w:val="nil"/>
              <w:left w:val="nil"/>
              <w:bottom w:val="single" w:color="auto" w:sz="4" w:space="0"/>
              <w:right w:val="single" w:color="auto" w:sz="4" w:space="0"/>
            </w:tcBorders>
            <w:noWrap/>
            <w:vAlign w:val="center"/>
          </w:tcPr>
          <w:p w14:paraId="02E3E7F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C46BCB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0C32F26">
            <w:pPr>
              <w:jc w:val="center"/>
              <w:rPr>
                <w:rFonts w:hint="eastAsia" w:ascii="宋体" w:hAnsi="宋体" w:eastAsia="宋体" w:cs="宋体"/>
                <w:sz w:val="18"/>
                <w:szCs w:val="18"/>
              </w:rPr>
            </w:pPr>
          </w:p>
        </w:tc>
      </w:tr>
      <w:tr w14:paraId="75991A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2F30E9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18345EB">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41E0F6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加强农民实用技能培训</w:t>
            </w:r>
          </w:p>
        </w:tc>
        <w:tc>
          <w:tcPr>
            <w:tcW w:w="1276" w:type="dxa"/>
            <w:tcBorders>
              <w:top w:val="single" w:color="auto" w:sz="4" w:space="0"/>
              <w:left w:val="nil"/>
              <w:bottom w:val="single" w:color="auto" w:sz="4" w:space="0"/>
              <w:right w:val="single" w:color="auto" w:sz="4" w:space="0"/>
            </w:tcBorders>
            <w:noWrap/>
            <w:vAlign w:val="center"/>
          </w:tcPr>
          <w:p w14:paraId="6041C3C0">
            <w:pPr>
              <w:jc w:val="center"/>
              <w:rPr>
                <w:rFonts w:hint="eastAsia" w:ascii="宋体" w:hAnsi="宋体" w:eastAsia="宋体" w:cs="宋体"/>
                <w:sz w:val="18"/>
                <w:szCs w:val="18"/>
              </w:rPr>
            </w:pPr>
            <w:r>
              <w:rPr>
                <w:rFonts w:hint="eastAsia" w:ascii="宋体" w:hAnsi="宋体" w:eastAsia="宋体" w:cs="宋体"/>
                <w:sz w:val="18"/>
                <w:szCs w:val="18"/>
              </w:rPr>
              <w:t>&gt;=100人</w:t>
            </w:r>
          </w:p>
        </w:tc>
        <w:tc>
          <w:tcPr>
            <w:tcW w:w="1701" w:type="dxa"/>
            <w:tcBorders>
              <w:top w:val="single" w:color="auto" w:sz="4" w:space="0"/>
              <w:left w:val="nil"/>
              <w:bottom w:val="single" w:color="auto" w:sz="4" w:space="0"/>
              <w:right w:val="single" w:color="auto" w:sz="4" w:space="0"/>
            </w:tcBorders>
            <w:noWrap/>
            <w:vAlign w:val="center"/>
          </w:tcPr>
          <w:p w14:paraId="55FF74B7">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米东区供销合作社2024年重点工作任务分解方案</w:t>
            </w:r>
          </w:p>
        </w:tc>
        <w:tc>
          <w:tcPr>
            <w:tcW w:w="1134" w:type="dxa"/>
            <w:tcBorders>
              <w:top w:val="single" w:color="auto" w:sz="4" w:space="0"/>
              <w:left w:val="nil"/>
              <w:bottom w:val="single" w:color="auto" w:sz="4" w:space="0"/>
              <w:right w:val="single" w:color="auto" w:sz="4" w:space="0"/>
            </w:tcBorders>
            <w:noWrap/>
            <w:vAlign w:val="center"/>
          </w:tcPr>
          <w:p w14:paraId="442D73C3">
            <w:pPr>
              <w:jc w:val="center"/>
              <w:rPr>
                <w:rFonts w:hint="eastAsia" w:ascii="宋体" w:hAnsi="宋体" w:eastAsia="宋体" w:cs="宋体"/>
                <w:sz w:val="18"/>
                <w:szCs w:val="18"/>
              </w:rPr>
            </w:pPr>
            <w:r>
              <w:rPr>
                <w:rFonts w:hint="eastAsia" w:ascii="宋体" w:hAnsi="宋体" w:eastAsia="宋体" w:cs="宋体"/>
                <w:sz w:val="18"/>
                <w:szCs w:val="18"/>
              </w:rPr>
              <w:t>163</w:t>
            </w:r>
          </w:p>
        </w:tc>
        <w:tc>
          <w:tcPr>
            <w:tcW w:w="992" w:type="dxa"/>
            <w:tcBorders>
              <w:top w:val="single" w:color="auto" w:sz="4" w:space="0"/>
              <w:left w:val="nil"/>
              <w:bottom w:val="single" w:color="auto" w:sz="4" w:space="0"/>
              <w:right w:val="single" w:color="auto" w:sz="4" w:space="0"/>
            </w:tcBorders>
            <w:noWrap/>
            <w:vAlign w:val="center"/>
          </w:tcPr>
          <w:p w14:paraId="1EBECD2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8D1AF7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F45D8C0">
            <w:pPr>
              <w:jc w:val="center"/>
              <w:rPr>
                <w:rFonts w:hint="eastAsia" w:ascii="宋体" w:hAnsi="宋体" w:eastAsia="宋体" w:cs="宋体"/>
                <w:sz w:val="18"/>
                <w:szCs w:val="18"/>
              </w:rPr>
            </w:pPr>
          </w:p>
        </w:tc>
      </w:tr>
      <w:tr w14:paraId="26A0929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D8C892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3759DB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2305072">
            <w:pPr>
              <w:jc w:val="center"/>
              <w:rPr>
                <w:rFonts w:hint="eastAsia" w:ascii="宋体" w:hAnsi="宋体" w:eastAsia="宋体" w:cs="宋体"/>
                <w:sz w:val="18"/>
                <w:szCs w:val="18"/>
              </w:rPr>
            </w:pPr>
            <w:r>
              <w:rPr>
                <w:rFonts w:hint="eastAsia" w:ascii="宋体" w:hAnsi="宋体" w:eastAsia="宋体" w:cs="宋体"/>
                <w:sz w:val="18"/>
                <w:szCs w:val="18"/>
              </w:rPr>
              <w:t>99.47</w:t>
            </w:r>
          </w:p>
        </w:tc>
        <w:tc>
          <w:tcPr>
            <w:tcW w:w="284" w:type="dxa"/>
            <w:tcBorders>
              <w:top w:val="nil"/>
              <w:left w:val="nil"/>
              <w:bottom w:val="nil"/>
              <w:right w:val="nil"/>
            </w:tcBorders>
            <w:noWrap/>
            <w:vAlign w:val="center"/>
          </w:tcPr>
          <w:p w14:paraId="028AEC86">
            <w:pPr>
              <w:jc w:val="center"/>
              <w:rPr>
                <w:rFonts w:hint="eastAsia" w:ascii="宋体" w:hAnsi="宋体" w:eastAsia="宋体" w:cs="宋体"/>
                <w:sz w:val="18"/>
                <w:szCs w:val="18"/>
              </w:rPr>
            </w:pPr>
          </w:p>
        </w:tc>
      </w:tr>
    </w:tbl>
    <w:p w14:paraId="79258B3E">
      <w:pPr>
        <w:spacing w:after="0" w:line="240" w:lineRule="auto"/>
        <w:ind w:firstLine="640" w:firstLineChars="200"/>
        <w:jc w:val="both"/>
        <w:rPr>
          <w:rFonts w:ascii="仿宋_GB2312" w:eastAsia="仿宋_GB2312"/>
          <w:sz w:val="32"/>
          <w:szCs w:val="32"/>
        </w:rPr>
      </w:pPr>
    </w:p>
    <w:p w14:paraId="305BC42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554285E0">
      <w:pPr>
        <w:spacing w:after="0" w:line="240" w:lineRule="auto"/>
        <w:ind w:firstLine="640" w:firstLineChars="200"/>
        <w:jc w:val="both"/>
        <w:rPr>
          <w:rFonts w:hint="eastAsia" w:ascii="仿宋_GB2312" w:eastAsia="仿宋_GB2312"/>
          <w:sz w:val="32"/>
          <w:szCs w:val="32"/>
          <w:lang w:eastAsia="zh-CN"/>
        </w:rPr>
      </w:pPr>
      <w:bookmarkStart w:id="0" w:name="_Hlk207053964"/>
      <w:r>
        <w:rPr>
          <w:rFonts w:hint="eastAsia" w:ascii="仿宋_GB2312" w:eastAsia="仿宋_GB2312"/>
          <w:sz w:val="32"/>
          <w:szCs w:val="32"/>
          <w:lang w:eastAsia="zh-CN"/>
        </w:rPr>
        <w:t>我单位2024年度无政府采购支出，授予中小企业合同金额0.00万元</w:t>
      </w:r>
      <w:bookmarkEnd w:id="0"/>
      <w:r>
        <w:rPr>
          <w:rFonts w:ascii="仿宋_GB2312" w:eastAsia="仿宋_GB2312"/>
          <w:sz w:val="32"/>
          <w:szCs w:val="32"/>
          <w:lang w:eastAsia="zh-CN"/>
        </w:rPr>
        <w:t>。</w:t>
      </w:r>
    </w:p>
    <w:p w14:paraId="7416B71E">
      <w:pPr>
        <w:rPr>
          <w:lang w:eastAsia="zh-CN"/>
        </w:rPr>
      </w:pPr>
      <w:r>
        <w:rPr>
          <w:sz w:val="0"/>
          <w:szCs w:val="0"/>
          <w:lang w:eastAsia="zh-CN"/>
        </w:rPr>
        <w:br w:type="page"/>
      </w:r>
    </w:p>
    <w:p w14:paraId="267BE473">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79F7CEA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F52A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D1B77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87732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FD691C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5A38E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E8F839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2B8135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CAE8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545F53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7DD9F8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C3E59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EF9CB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F4144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1BAB199">
      <w:pPr>
        <w:rPr>
          <w:lang w:eastAsia="zh-CN"/>
        </w:rPr>
      </w:pPr>
      <w:r>
        <w:rPr>
          <w:sz w:val="0"/>
          <w:szCs w:val="0"/>
          <w:lang w:eastAsia="zh-CN"/>
        </w:rPr>
        <w:br w:type="page"/>
      </w:r>
    </w:p>
    <w:p w14:paraId="123C1134">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256CAA7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4D4885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88088F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614420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234F00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3E8803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8C027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B46A3F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00BDD7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177504"/>
    <w:rsid w:val="00177504"/>
    <w:rsid w:val="004C27CE"/>
    <w:rsid w:val="005B153B"/>
    <w:rsid w:val="009E600C"/>
    <w:rsid w:val="08EC0C19"/>
    <w:rsid w:val="13340991"/>
    <w:rsid w:val="14D94748"/>
    <w:rsid w:val="19F3005A"/>
    <w:rsid w:val="1B391A9C"/>
    <w:rsid w:val="1C146065"/>
    <w:rsid w:val="1D84721B"/>
    <w:rsid w:val="20825C93"/>
    <w:rsid w:val="21F4496F"/>
    <w:rsid w:val="2A41096D"/>
    <w:rsid w:val="2E8F0BDD"/>
    <w:rsid w:val="2F283EAA"/>
    <w:rsid w:val="33466FF4"/>
    <w:rsid w:val="360016DD"/>
    <w:rsid w:val="365437D6"/>
    <w:rsid w:val="47BB1907"/>
    <w:rsid w:val="49F11610"/>
    <w:rsid w:val="4F42290E"/>
    <w:rsid w:val="520B348B"/>
    <w:rsid w:val="53BA0CC5"/>
    <w:rsid w:val="57BB14B0"/>
    <w:rsid w:val="5B51235D"/>
    <w:rsid w:val="5C702869"/>
    <w:rsid w:val="609A4358"/>
    <w:rsid w:val="672A7CFA"/>
    <w:rsid w:val="6E9248C1"/>
    <w:rsid w:val="70F727E4"/>
    <w:rsid w:val="719D061C"/>
    <w:rsid w:val="7F9D4E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1">
    <w:name w:val="Title"/>
    <w:basedOn w:val="1"/>
    <w:next w:val="1"/>
    <w:link w:val="23"/>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3">
    <w:name w:val="Table Grid"/>
    <w:basedOn w:val="12"/>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000FF"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F81BD"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F81BD"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F81BD"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4">
    <w:name w:val="页脚 字符"/>
    <w:basedOn w:val="14"/>
    <w:link w:val="8"/>
    <w:uiPriority w:val="99"/>
    <w:rPr>
      <w:rFonts w:eastAsiaTheme="minorHAnsi"/>
      <w:sz w:val="18"/>
      <w:szCs w:val="18"/>
      <w:lang w:eastAsia="en-U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16</Pages>
  <Words>6776</Words>
  <Characters>7364</Characters>
  <Lines>247</Lines>
  <Paragraphs>206</Paragraphs>
  <TotalTime>5</TotalTime>
  <ScaleCrop>false</ScaleCrop>
  <LinksUpToDate>false</LinksUpToDate>
  <CharactersWithSpaces>7374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2025-10-10T03:42:00Z</dcterms:created>
  <dc:creator>雍虹虹</dc:creator>
  <cp:lastModifiedBy>辣庅小</cp:lastModifiedBy>
  <dcterms:modified xsi:type="dcterms:W3CDTF">2025-10-15T08:10:18Z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921BB375D85B4C4C8D9EDE00B5E84229_12</vt:lpwstr>
  </property>
</Properties>
</file>