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5B262" w14:textId="77777777" w:rsidR="00943FA9" w:rsidRDefault="00943FA9">
      <w:pPr>
        <w:spacing w:after="0" w:line="240" w:lineRule="auto"/>
        <w:rPr>
          <w:rFonts w:ascii="宋体" w:eastAsia="宋体"/>
          <w:sz w:val="32"/>
          <w:szCs w:val="32"/>
        </w:rPr>
      </w:pPr>
    </w:p>
    <w:p w14:paraId="44093DEE" w14:textId="77777777" w:rsidR="00943FA9" w:rsidRDefault="00943FA9">
      <w:pPr>
        <w:spacing w:after="0" w:line="240" w:lineRule="auto"/>
        <w:rPr>
          <w:rFonts w:ascii="宋体" w:eastAsia="宋体"/>
          <w:sz w:val="44"/>
          <w:szCs w:val="44"/>
        </w:rPr>
      </w:pPr>
    </w:p>
    <w:p w14:paraId="3199B59E" w14:textId="77777777" w:rsidR="00943FA9" w:rsidRDefault="00943FA9">
      <w:pPr>
        <w:spacing w:after="0" w:line="240" w:lineRule="auto"/>
        <w:rPr>
          <w:rFonts w:ascii="宋体" w:eastAsia="宋体"/>
          <w:sz w:val="44"/>
          <w:szCs w:val="44"/>
        </w:rPr>
      </w:pPr>
    </w:p>
    <w:p w14:paraId="70D94649" w14:textId="77777777" w:rsidR="00943FA9" w:rsidRDefault="00943FA9">
      <w:pPr>
        <w:spacing w:after="0" w:line="240" w:lineRule="auto"/>
        <w:rPr>
          <w:rFonts w:ascii="宋体" w:eastAsia="宋体"/>
          <w:sz w:val="44"/>
          <w:szCs w:val="44"/>
        </w:rPr>
      </w:pPr>
    </w:p>
    <w:p w14:paraId="5A6A6131" w14:textId="77777777" w:rsidR="00943FA9" w:rsidRDefault="001463DA">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乌鲁木齐市米东区矿业医院</w:t>
      </w:r>
    </w:p>
    <w:p w14:paraId="3E1F8C9D" w14:textId="77777777" w:rsidR="00943FA9" w:rsidRDefault="001463DA">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B622785" w14:textId="77777777" w:rsidR="00943FA9" w:rsidRDefault="001463DA">
      <w:pPr>
        <w:rPr>
          <w:lang w:eastAsia="zh-CN"/>
        </w:rPr>
      </w:pPr>
      <w:r>
        <w:rPr>
          <w:sz w:val="0"/>
          <w:szCs w:val="0"/>
          <w:lang w:eastAsia="zh-CN"/>
        </w:rPr>
        <w:br w:type="page"/>
      </w:r>
    </w:p>
    <w:p w14:paraId="5F92F3E7" w14:textId="77777777" w:rsidR="00943FA9" w:rsidRDefault="001463DA">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3A3D5E9" w14:textId="77777777" w:rsidR="00943FA9" w:rsidRDefault="001463DA">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F52222F"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CF65D68"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26A540B" w14:textId="77777777" w:rsidR="00943FA9" w:rsidRDefault="001463DA">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4270E2E"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957A891"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2EAA2CF"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E74BAC3"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F2DA355"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4DFBB36"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61DDD76"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2C5BF59"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74A9E1C"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4A07DC6"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C05FA74"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C663911"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8A7FDA5"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FBA6CD1"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DED91DF"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E021344"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0AA1030"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73BDE47"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ECAFF4B" w14:textId="77777777" w:rsidR="00943FA9" w:rsidRDefault="001463DA">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 专业名词解释</w:t>
      </w:r>
    </w:p>
    <w:p w14:paraId="6CB0AE3E" w14:textId="77777777" w:rsidR="00943FA9" w:rsidRDefault="001463DA">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1198419"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AED8B6C"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660A8DFE"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DF6285C"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7771828"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EE67BFE"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B2F815D"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8828834"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2B00E4F" w14:textId="77777777" w:rsidR="00943FA9" w:rsidRDefault="001463D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72190E4" w14:textId="77777777" w:rsidR="00943FA9" w:rsidRDefault="001463DA">
      <w:pPr>
        <w:rPr>
          <w:lang w:eastAsia="zh-CN"/>
        </w:rPr>
      </w:pPr>
      <w:r>
        <w:rPr>
          <w:sz w:val="0"/>
          <w:szCs w:val="0"/>
          <w:lang w:eastAsia="zh-CN"/>
        </w:rPr>
        <w:br w:type="page"/>
      </w:r>
    </w:p>
    <w:p w14:paraId="1DC04A68" w14:textId="77777777" w:rsidR="00943FA9" w:rsidRDefault="001463D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74F33E83"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2B2136A" w14:textId="343AAE05" w:rsidR="00943FA9" w:rsidRDefault="006A5EF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1463DA">
        <w:rPr>
          <w:rFonts w:ascii="仿宋_GB2312" w:eastAsia="仿宋_GB2312"/>
          <w:sz w:val="32"/>
          <w:szCs w:val="32"/>
          <w:lang w:eastAsia="zh-CN"/>
        </w:rPr>
        <w:t>研究拟订宣传思想文化工作的方针、政策和事业发展总体规划，按照区委统一部署，协调宣传思想文化系统各部门之间的工作。</w:t>
      </w:r>
    </w:p>
    <w:p w14:paraId="749F8BAB" w14:textId="248A1C5A" w:rsidR="00943FA9" w:rsidRDefault="006A5EF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1463DA">
        <w:rPr>
          <w:rFonts w:ascii="仿宋_GB2312" w:eastAsia="仿宋_GB2312"/>
          <w:sz w:val="32"/>
          <w:szCs w:val="32"/>
          <w:lang w:eastAsia="zh-CN"/>
        </w:rPr>
        <w:t>贯彻执行国家、自治区卫生工作方针、政策、法律、法规和相关标准，为人民健康提供医疗与护理保健服务。加强医疗质量管理确保医疗安全和服务质量，不断提高服务水平，保障人民身体健康，并开展诊疗护理、康复等服务。对医务人员进行经常性的培训与考核，同时开展社区公共卫生服务工作及全民免费体检工作，群众突发公共卫生事件应急处置等工作，保障全区人民的健康。</w:t>
      </w:r>
    </w:p>
    <w:p w14:paraId="27BE07DF"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4040CD74"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乌鲁木齐市米东区矿业医院2024年度，实有人数137人，其中：在职人员83人，增加1人；离休人员0人，较上年无变化；退休人员54人，增加7人。</w:t>
      </w:r>
    </w:p>
    <w:p w14:paraId="1116B402"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矿业医院无下属预算单位，下设24个科室，分别是：预防保健科、急诊医学科、内科、外科、妇科、儿科、口腔科、职业病科、推拿理疗科、中医科、中西医结合科、麻醉科、医学检验科、医学影像科、健康体检科、社区管理科、药剂科、党政办公室、财务科、医务科、护理部、</w:t>
      </w:r>
      <w:proofErr w:type="gramStart"/>
      <w:r>
        <w:rPr>
          <w:rFonts w:ascii="仿宋_GB2312" w:eastAsia="仿宋_GB2312"/>
          <w:sz w:val="32"/>
          <w:szCs w:val="32"/>
          <w:lang w:eastAsia="zh-CN"/>
        </w:rPr>
        <w:t>院感办公室</w:t>
      </w:r>
      <w:proofErr w:type="gramEnd"/>
      <w:r>
        <w:rPr>
          <w:rFonts w:ascii="仿宋_GB2312" w:eastAsia="仿宋_GB2312"/>
          <w:sz w:val="32"/>
          <w:szCs w:val="32"/>
          <w:lang w:eastAsia="zh-CN"/>
        </w:rPr>
        <w:t>、劳资科、</w:t>
      </w:r>
      <w:proofErr w:type="gramStart"/>
      <w:r>
        <w:rPr>
          <w:rFonts w:ascii="仿宋_GB2312" w:eastAsia="仿宋_GB2312"/>
          <w:sz w:val="32"/>
          <w:szCs w:val="32"/>
          <w:lang w:eastAsia="zh-CN"/>
        </w:rPr>
        <w:t>医</w:t>
      </w:r>
      <w:proofErr w:type="gramEnd"/>
      <w:r>
        <w:rPr>
          <w:rFonts w:ascii="仿宋_GB2312" w:eastAsia="仿宋_GB2312"/>
          <w:sz w:val="32"/>
          <w:szCs w:val="32"/>
          <w:lang w:eastAsia="zh-CN"/>
        </w:rPr>
        <w:t>保办公室。</w:t>
      </w:r>
    </w:p>
    <w:p w14:paraId="2F04748A" w14:textId="77777777" w:rsidR="00943FA9" w:rsidRDefault="001463DA">
      <w:pPr>
        <w:rPr>
          <w:lang w:eastAsia="zh-CN"/>
        </w:rPr>
      </w:pPr>
      <w:r>
        <w:rPr>
          <w:sz w:val="0"/>
          <w:szCs w:val="0"/>
          <w:lang w:eastAsia="zh-CN"/>
        </w:rPr>
        <w:br w:type="page"/>
      </w:r>
    </w:p>
    <w:p w14:paraId="58F7945E" w14:textId="77777777" w:rsidR="00943FA9" w:rsidRDefault="001463D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2D03C9DE"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05641CD3"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2024年度收入总计7,047.84万元，其中：本年收入合计7,047.84万元，使用非财政拨款结余（含专用结余）0.00万元，年初结转和结余0.00万元。</w:t>
      </w:r>
    </w:p>
    <w:p w14:paraId="6CB26F97"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2024年度支出总计7,047.84万元，其中：本年支出合计7,044.50万元，结余分配3.34万元，年末结转和结余0.00万元。</w:t>
      </w:r>
    </w:p>
    <w:p w14:paraId="146FE2C1"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收入支出总体与上年相比，增加3,748.01万元，增长113.58%，主要原因是：本年在职人员</w:t>
      </w:r>
      <w:r>
        <w:rPr>
          <w:rFonts w:ascii="仿宋_GB2312" w:eastAsia="仿宋_GB2312" w:hint="eastAsia"/>
          <w:sz w:val="32"/>
          <w:szCs w:val="32"/>
          <w:lang w:eastAsia="zh-CN"/>
        </w:rPr>
        <w:t>增加、人员薪资调增，基本工资、津贴补贴、社保等人员经费增加；本年单位</w:t>
      </w:r>
      <w:r>
        <w:rPr>
          <w:rFonts w:ascii="仿宋_GB2312" w:eastAsia="仿宋_GB2312"/>
          <w:sz w:val="32"/>
          <w:szCs w:val="32"/>
          <w:lang w:eastAsia="zh-CN"/>
        </w:rPr>
        <w:t>新建煤矿职业病医技住院楼项目资金</w:t>
      </w:r>
      <w:r>
        <w:rPr>
          <w:rFonts w:ascii="仿宋_GB2312" w:eastAsia="仿宋_GB2312" w:hint="eastAsia"/>
          <w:sz w:val="32"/>
          <w:szCs w:val="32"/>
          <w:lang w:eastAsia="zh-CN"/>
        </w:rPr>
        <w:t>增加</w:t>
      </w:r>
      <w:r>
        <w:rPr>
          <w:rFonts w:ascii="仿宋_GB2312" w:eastAsia="仿宋_GB2312"/>
          <w:sz w:val="32"/>
          <w:szCs w:val="32"/>
          <w:lang w:eastAsia="zh-CN"/>
        </w:rPr>
        <w:t>。</w:t>
      </w:r>
    </w:p>
    <w:p w14:paraId="235AB2FF"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6991B2E8"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7,047.84万元，其中：财政拨款收入4,607.11万元,占65.37%；上级补助收入0.00万元,占0.00%；事业收入1,977.00万元，占28.05%；经营收入0.00万元,占0.00%；附属单位上缴收入0.00万元，占0.00%；其他收入463.73万元，占6.58%。</w:t>
      </w:r>
    </w:p>
    <w:p w14:paraId="1589590F"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12A41B5"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本年支出7,044.50万元，其中：基本支出3,521.66万元，占49.99%；项目支出3,522.84万元，占50.01%；上缴上级支出0.00万元，占0.00%；经营支出0.00万元，占0.00%；对附属单位补助支出0.00万元，占0.00%。</w:t>
      </w:r>
    </w:p>
    <w:p w14:paraId="5D278B81"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11FAA08"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收入总计4,607.11万元，其中：年初财政拨款结转和结余0.00万元，本年财政拨款收入4,607.11万元。财政拨款支出总计4,607.11万元，其中：年末财政拨款结转和结余0.00万元，本年财政拨款支出4,607.11万元。</w:t>
      </w:r>
    </w:p>
    <w:p w14:paraId="46CACA66" w14:textId="0694782A"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财政拨款收入支出总体与上年相比，增加3,362.71万元，增长270.23%，主要原因是：本年在职人员</w:t>
      </w:r>
      <w:r>
        <w:rPr>
          <w:rFonts w:ascii="仿宋_GB2312" w:eastAsia="仿宋_GB2312" w:hint="eastAsia"/>
          <w:sz w:val="32"/>
          <w:szCs w:val="32"/>
          <w:lang w:eastAsia="zh-CN"/>
        </w:rPr>
        <w:t>增加、人员薪资调增，基本工资、津贴补贴、社保等人员经费增加；本年单位</w:t>
      </w:r>
      <w:r>
        <w:rPr>
          <w:rFonts w:ascii="仿宋_GB2312" w:eastAsia="仿宋_GB2312"/>
          <w:sz w:val="32"/>
          <w:szCs w:val="32"/>
          <w:lang w:eastAsia="zh-CN"/>
        </w:rPr>
        <w:t>新建煤矿职业病医技住院楼项目资金</w:t>
      </w:r>
      <w:r>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。与年初预算相比，年初预算数5,245.90万元，决算数4,607.11万元，预决算差异率-12.18%，主要原因是：</w:t>
      </w:r>
      <w:r w:rsidR="00B20056" w:rsidRPr="00B20056">
        <w:rPr>
          <w:rFonts w:ascii="仿宋_GB2312" w:eastAsia="仿宋_GB2312" w:hint="eastAsia"/>
          <w:sz w:val="32"/>
          <w:szCs w:val="32"/>
          <w:lang w:eastAsia="zh-CN"/>
        </w:rPr>
        <w:t>本年矿业医院专项债券实际业务金额小于年初预算安排金额</w:t>
      </w:r>
      <w:r>
        <w:rPr>
          <w:rFonts w:ascii="仿宋_GB2312" w:eastAsia="仿宋_GB2312"/>
          <w:sz w:val="32"/>
          <w:szCs w:val="32"/>
          <w:lang w:eastAsia="zh-CN"/>
        </w:rPr>
        <w:t>。</w:t>
      </w:r>
    </w:p>
    <w:p w14:paraId="6CC38E8F"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540E62F" w14:textId="77777777" w:rsidR="00943FA9" w:rsidRDefault="001463D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5CB51A5"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2024年度一般公共预算财政拨款支出1,207.11万元，占本年支出合计的17.14%。与上年相比，增加222.71万元，增长22.62%，主要原因是：本年在职人员</w:t>
      </w:r>
      <w:r>
        <w:rPr>
          <w:rFonts w:ascii="仿宋_GB2312" w:eastAsia="仿宋_GB2312" w:hint="eastAsia"/>
          <w:sz w:val="32"/>
          <w:szCs w:val="32"/>
          <w:lang w:eastAsia="zh-CN"/>
        </w:rPr>
        <w:t>增加、人员薪资调增，基本工资、津贴补贴、社保等人员经费增加</w:t>
      </w:r>
      <w:r>
        <w:rPr>
          <w:rFonts w:ascii="仿宋_GB2312" w:eastAsia="仿宋_GB2312"/>
          <w:sz w:val="32"/>
          <w:szCs w:val="32"/>
          <w:lang w:eastAsia="zh-CN"/>
        </w:rPr>
        <w:t>。与年初预算相比，年初预算数505.90万元，决算数1,207.11万元，预决算差异率138.61%，主要原因是：</w:t>
      </w:r>
      <w:r>
        <w:rPr>
          <w:rFonts w:ascii="仿宋_GB2312" w:eastAsia="仿宋_GB2312" w:hint="eastAsia"/>
          <w:sz w:val="32"/>
          <w:szCs w:val="32"/>
          <w:lang w:eastAsia="zh-CN"/>
        </w:rPr>
        <w:t>年中追加基本工资、津贴补贴、社保等人员经费</w:t>
      </w:r>
      <w:r>
        <w:rPr>
          <w:rFonts w:ascii="仿宋_GB2312" w:eastAsia="仿宋_GB2312"/>
          <w:sz w:val="32"/>
          <w:szCs w:val="32"/>
          <w:lang w:eastAsia="zh-CN"/>
        </w:rPr>
        <w:t>。</w:t>
      </w:r>
    </w:p>
    <w:p w14:paraId="2408061A" w14:textId="77777777" w:rsidR="00943FA9" w:rsidRDefault="001463D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2DEE125"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社会保障和就业支出（类）1,082.57万元，占89.68%。</w:t>
      </w:r>
    </w:p>
    <w:p w14:paraId="1B703025"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卫生健康支出（类）124.54万元，占10.32%。</w:t>
      </w:r>
    </w:p>
    <w:p w14:paraId="39F3BDE7" w14:textId="77777777" w:rsidR="00943FA9" w:rsidRDefault="001463D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lastRenderedPageBreak/>
        <w:t>（三）一般公共预算财政拨款支出决算具体情况</w:t>
      </w:r>
    </w:p>
    <w:p w14:paraId="56C9252D"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1、社会保障和就业支出（类）行政事业单位养老支出（款）机关事业单位基本养老保险缴费支出（项）：支出决算数为60.26万元，比上年决算减少28.58万元，下降32.17%，主要原因是：</w:t>
      </w:r>
      <w:r>
        <w:rPr>
          <w:rFonts w:ascii="仿宋_GB2312" w:eastAsia="仿宋_GB2312" w:hint="eastAsia"/>
          <w:sz w:val="32"/>
          <w:szCs w:val="32"/>
          <w:lang w:eastAsia="zh-CN"/>
        </w:rPr>
        <w:t>本年单位将部分人员</w:t>
      </w:r>
      <w:r>
        <w:rPr>
          <w:rFonts w:ascii="仿宋_GB2312" w:eastAsia="仿宋_GB2312"/>
          <w:sz w:val="32"/>
          <w:szCs w:val="32"/>
          <w:lang w:eastAsia="zh-CN"/>
        </w:rPr>
        <w:t>基本养老保险缴费支出</w:t>
      </w:r>
      <w:r>
        <w:rPr>
          <w:rFonts w:ascii="仿宋_GB2312" w:eastAsia="仿宋_GB2312" w:hint="eastAsia"/>
          <w:sz w:val="32"/>
          <w:szCs w:val="32"/>
          <w:lang w:eastAsia="zh-CN"/>
        </w:rPr>
        <w:t>调整至其他企业改革发展补助款项中核算，导致此项经费减少。</w:t>
      </w:r>
    </w:p>
    <w:p w14:paraId="7DA41C84"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2、社会保障和就业支出（类）行政事业单位养老支出（款）机关事业单位职业年金缴费支出（项）：支出决算数为30.13万元，比上年决算增加1.77万元，增长6.24%，主要原因是：</w:t>
      </w:r>
      <w:r>
        <w:rPr>
          <w:rFonts w:ascii="仿宋_GB2312" w:eastAsia="仿宋_GB2312" w:hint="eastAsia"/>
          <w:sz w:val="32"/>
          <w:szCs w:val="32"/>
          <w:lang w:eastAsia="zh-CN"/>
        </w:rPr>
        <w:t>本年新增退休人员，一次性</w:t>
      </w:r>
      <w:r>
        <w:rPr>
          <w:rFonts w:ascii="仿宋_GB2312" w:eastAsia="仿宋_GB2312"/>
          <w:sz w:val="32"/>
          <w:szCs w:val="32"/>
          <w:lang w:eastAsia="zh-CN"/>
        </w:rPr>
        <w:t>职业年金缴费支出</w:t>
      </w:r>
      <w:r>
        <w:rPr>
          <w:rFonts w:ascii="仿宋_GB2312" w:eastAsia="仿宋_GB2312" w:hint="eastAsia"/>
          <w:sz w:val="32"/>
          <w:szCs w:val="32"/>
          <w:lang w:eastAsia="zh-CN"/>
        </w:rPr>
        <w:t>增加</w:t>
      </w:r>
      <w:r>
        <w:rPr>
          <w:rFonts w:ascii="仿宋_GB2312" w:eastAsia="仿宋_GB2312"/>
          <w:sz w:val="32"/>
          <w:szCs w:val="32"/>
          <w:lang w:eastAsia="zh-CN"/>
        </w:rPr>
        <w:t>。</w:t>
      </w:r>
    </w:p>
    <w:p w14:paraId="1BE6E6BF"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3、社会保障和就业支出（类）企业改革补助（款）其他企业改革发展补助（项）：支出决算数为992.18万元，比上年决算增加414.95万元，增长71.89%，主要原因是：</w:t>
      </w:r>
      <w:r>
        <w:rPr>
          <w:rFonts w:ascii="仿宋_GB2312" w:eastAsia="仿宋_GB2312" w:hint="eastAsia"/>
          <w:sz w:val="32"/>
          <w:szCs w:val="32"/>
          <w:lang w:eastAsia="zh-CN"/>
        </w:rPr>
        <w:t>本年单位部分人员工资、津贴补贴等经费，由综合医院款项调整至本款项中核算，导致此项经费增加</w:t>
      </w:r>
      <w:r>
        <w:rPr>
          <w:rFonts w:ascii="仿宋_GB2312" w:eastAsia="仿宋_GB2312"/>
          <w:sz w:val="32"/>
          <w:szCs w:val="32"/>
          <w:lang w:eastAsia="zh-CN"/>
        </w:rPr>
        <w:t>。</w:t>
      </w:r>
    </w:p>
    <w:p w14:paraId="042EEB5B"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4、卫生健康支出（类）公立医院（款）综合医院（项）：支出决算数为124.54万元，比上年决算减少165.42万元，下降57.05%，主要原因是：</w:t>
      </w:r>
      <w:r>
        <w:rPr>
          <w:rFonts w:ascii="仿宋_GB2312" w:eastAsia="仿宋_GB2312" w:hint="eastAsia"/>
          <w:sz w:val="32"/>
          <w:szCs w:val="32"/>
          <w:lang w:eastAsia="zh-CN"/>
        </w:rPr>
        <w:t>本年单位将部分人员工资、津贴补贴等经费调整至其他企业改革发展补助款项中核算，导致此项经费减少</w:t>
      </w:r>
      <w:r>
        <w:rPr>
          <w:rFonts w:ascii="仿宋_GB2312" w:eastAsia="仿宋_GB2312"/>
          <w:sz w:val="32"/>
          <w:szCs w:val="32"/>
          <w:lang w:eastAsia="zh-CN"/>
        </w:rPr>
        <w:t>。</w:t>
      </w:r>
    </w:p>
    <w:p w14:paraId="1707BDDB"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F0B2C17"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2024年度一般公共预算财政拨款基本支出1,207.11万元，其中：人员经费1,207.11万元，包括：基本工资、津贴</w:t>
      </w:r>
      <w:r>
        <w:rPr>
          <w:rFonts w:ascii="仿宋_GB2312" w:eastAsia="仿宋_GB2312"/>
          <w:sz w:val="32"/>
          <w:szCs w:val="32"/>
          <w:lang w:eastAsia="zh-CN"/>
        </w:rPr>
        <w:lastRenderedPageBreak/>
        <w:t>补贴、奖金、绩效工资、机关事业单位基本养老保险缴费和职业年金缴费。</w:t>
      </w:r>
    </w:p>
    <w:p w14:paraId="0AA7244F"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公用经费0.00万元。</w:t>
      </w:r>
    </w:p>
    <w:p w14:paraId="492895C8"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5070481"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2024年度政府性基金预算财政拨款收入总计3,400.00万元，其中：年初结转和结余0.00万元，本年收入3,400.00万元。政府性基金预算财政拨款支出总计3,400.00万元，其中：年末结转和结余0.00万元，本年支出3,400.00万元。</w:t>
      </w:r>
    </w:p>
    <w:p w14:paraId="6944A373" w14:textId="165414BA"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政府性基金预算财政拨款收入支出总体与上年相比，增加3,140.00万元，增长1,207.69%，主要原因是：</w:t>
      </w:r>
      <w:r w:rsidR="000B260A" w:rsidRPr="000B260A">
        <w:rPr>
          <w:rFonts w:ascii="仿宋_GB2312" w:eastAsia="仿宋_GB2312" w:hint="eastAsia"/>
          <w:sz w:val="32"/>
          <w:szCs w:val="32"/>
          <w:lang w:eastAsia="zh-CN"/>
        </w:rPr>
        <w:t>单位本年新院区建设项目经费增加</w:t>
      </w:r>
      <w:r>
        <w:rPr>
          <w:rFonts w:ascii="仿宋_GB2312" w:eastAsia="仿宋_GB2312"/>
          <w:sz w:val="32"/>
          <w:szCs w:val="32"/>
          <w:lang w:eastAsia="zh-CN"/>
        </w:rPr>
        <w:t>。与年初预算相比，年初预算数4,740.00万元，决算数3,400.00万元，预决算差异率-28.27%，主要原因是：</w:t>
      </w:r>
      <w:r w:rsidR="000B260A">
        <w:rPr>
          <w:rFonts w:ascii="仿宋_GB2312" w:eastAsia="仿宋_GB2312" w:hint="eastAsia"/>
          <w:sz w:val="32"/>
          <w:szCs w:val="32"/>
          <w:lang w:eastAsia="zh-CN"/>
        </w:rPr>
        <w:t>本年</w:t>
      </w:r>
      <w:r w:rsidR="000B260A" w:rsidRPr="000B260A">
        <w:rPr>
          <w:rFonts w:ascii="仿宋_GB2312" w:eastAsia="仿宋_GB2312" w:hint="eastAsia"/>
          <w:sz w:val="32"/>
          <w:szCs w:val="32"/>
          <w:lang w:eastAsia="zh-CN"/>
        </w:rPr>
        <w:t>矿业医院专项债券实际业务金额小于年初预算安排金额</w:t>
      </w:r>
      <w:r>
        <w:rPr>
          <w:rFonts w:ascii="仿宋_GB2312" w:eastAsia="仿宋_GB2312"/>
          <w:sz w:val="32"/>
          <w:szCs w:val="32"/>
          <w:lang w:eastAsia="zh-CN"/>
        </w:rPr>
        <w:t>。</w:t>
      </w:r>
    </w:p>
    <w:p w14:paraId="093F63C6"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政府性基金预算财政拨款支出3,400.00万元。</w:t>
      </w:r>
    </w:p>
    <w:p w14:paraId="5FE3531B" w14:textId="445D7FEE"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其他支出（类）其他政府性基金及对应专项债务收入安排的支出（款）其他地方自行试点项目收益专项债券收入安排的支出（项）：支出决算数为3,400.00万元，比上年决算增加3,140.00万元，增长1,207.69%，主要原因是：</w:t>
      </w:r>
      <w:r w:rsidR="000B260A">
        <w:rPr>
          <w:rFonts w:ascii="仿宋_GB2312" w:eastAsia="仿宋_GB2312" w:hint="eastAsia"/>
          <w:sz w:val="32"/>
          <w:szCs w:val="32"/>
          <w:lang w:eastAsia="zh-CN"/>
        </w:rPr>
        <w:t>单位本年</w:t>
      </w:r>
      <w:r w:rsidR="000B260A" w:rsidRPr="000B260A">
        <w:rPr>
          <w:rFonts w:ascii="仿宋_GB2312" w:eastAsia="仿宋_GB2312" w:hint="eastAsia"/>
          <w:sz w:val="32"/>
          <w:szCs w:val="32"/>
          <w:lang w:eastAsia="zh-CN"/>
        </w:rPr>
        <w:t>新院区建设项目</w:t>
      </w:r>
      <w:r w:rsidR="000B260A">
        <w:rPr>
          <w:rFonts w:ascii="仿宋_GB2312" w:eastAsia="仿宋_GB2312" w:hint="eastAsia"/>
          <w:sz w:val="32"/>
          <w:szCs w:val="32"/>
          <w:lang w:eastAsia="zh-CN"/>
        </w:rPr>
        <w:t>经费</w:t>
      </w:r>
      <w:r>
        <w:rPr>
          <w:rFonts w:ascii="仿宋_GB2312" w:eastAsia="仿宋_GB2312" w:hint="eastAsia"/>
          <w:sz w:val="32"/>
          <w:szCs w:val="32"/>
          <w:lang w:eastAsia="zh-CN"/>
        </w:rPr>
        <w:t>增加。</w:t>
      </w:r>
    </w:p>
    <w:p w14:paraId="2EF82B25"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19BF958"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7B962B5"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E0CAD5E"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4763DEDE"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D69BDE4"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无因公出国（境）费支出。单位全年安排的因公出国（境）团组0个，因公出国（境）0人次。</w:t>
      </w:r>
    </w:p>
    <w:p w14:paraId="3CA6CC77"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w:t>
      </w:r>
      <w:r>
        <w:rPr>
          <w:rFonts w:ascii="仿宋_GB2312" w:eastAsia="仿宋_GB2312"/>
          <w:sz w:val="32"/>
          <w:szCs w:val="32"/>
          <w:lang w:eastAsia="zh-CN"/>
        </w:rPr>
        <w:t>无公务用车运行维护费。公务用车购置数0辆，公务用车保有量0辆。国有资产占用情况中固定资产车辆8辆，与公务用车保有量差异原因是：</w:t>
      </w:r>
      <w:r>
        <w:rPr>
          <w:rFonts w:ascii="仿宋_GB2312" w:eastAsia="仿宋_GB2312" w:hint="eastAsia"/>
          <w:sz w:val="32"/>
          <w:szCs w:val="32"/>
          <w:lang w:eastAsia="zh-CN"/>
        </w:rPr>
        <w:t>差异车辆为一般业务用车8辆，车辆费用未使用财政拨款公务用车运行维护费支付</w:t>
      </w:r>
      <w:r>
        <w:rPr>
          <w:rFonts w:ascii="仿宋_GB2312" w:eastAsia="仿宋_GB2312"/>
          <w:sz w:val="32"/>
          <w:szCs w:val="32"/>
          <w:lang w:eastAsia="zh-CN"/>
        </w:rPr>
        <w:t>。</w:t>
      </w:r>
    </w:p>
    <w:p w14:paraId="65FEB5A3"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无公务接待费。单位全年安排的国内公务接待0批次，0人次。</w:t>
      </w:r>
    </w:p>
    <w:p w14:paraId="778B2832"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091FB47"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B61A908" w14:textId="77777777" w:rsidR="00943FA9" w:rsidRDefault="001463D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C9E9ABC"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2024年度乌鲁木齐市米东区矿业医院单位（事业单位）公用经费支出0.00万元，比上年减少5.87万元，下降100.00%，主要原因是：</w:t>
      </w:r>
      <w:r>
        <w:rPr>
          <w:rFonts w:ascii="仿宋_GB2312" w:eastAsia="仿宋_GB2312" w:hint="eastAsia"/>
          <w:sz w:val="32"/>
          <w:szCs w:val="32"/>
          <w:lang w:eastAsia="zh-CN"/>
        </w:rPr>
        <w:t>本年单位办公费较上年减少</w:t>
      </w:r>
      <w:r>
        <w:rPr>
          <w:rFonts w:ascii="仿宋_GB2312" w:eastAsia="仿宋_GB2312"/>
          <w:sz w:val="32"/>
          <w:szCs w:val="32"/>
          <w:lang w:eastAsia="zh-CN"/>
        </w:rPr>
        <w:t>。</w:t>
      </w:r>
    </w:p>
    <w:p w14:paraId="0BA2D778" w14:textId="77777777" w:rsidR="00943FA9" w:rsidRDefault="001463D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0130E0C7"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4B2BDF06"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6D17D3E0" w14:textId="77777777" w:rsidR="00943FA9" w:rsidRDefault="001463D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lastRenderedPageBreak/>
        <w:t>（三）国有资产占用情况说明</w:t>
      </w:r>
    </w:p>
    <w:p w14:paraId="462836DB"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截至2024年12月31日，房屋1,988.49平方米，价值</w:t>
      </w:r>
      <w:proofErr w:type="gramStart"/>
      <w:r>
        <w:rPr>
          <w:rFonts w:ascii="仿宋_GB2312" w:eastAsia="仿宋_GB2312"/>
          <w:sz w:val="32"/>
          <w:szCs w:val="32"/>
        </w:rPr>
        <w:t>41.33万元。</w:t>
      </w:r>
      <w:r>
        <w:rPr>
          <w:rFonts w:ascii="仿宋_GB2312" w:eastAsia="仿宋_GB2312"/>
          <w:sz w:val="32"/>
          <w:szCs w:val="32"/>
          <w:lang w:eastAsia="zh-CN"/>
        </w:rPr>
        <w:t>车辆</w:t>
      </w:r>
      <w:proofErr w:type="gramEnd"/>
      <w:r>
        <w:rPr>
          <w:rFonts w:ascii="仿宋_GB2312" w:eastAsia="仿宋_GB2312"/>
          <w:sz w:val="32"/>
          <w:szCs w:val="32"/>
          <w:lang w:eastAsia="zh-CN"/>
        </w:rPr>
        <w:t>8辆，价值193.69万元，其中：副部（省）级及以上领导用车0辆、主要负责人用车0辆、机要通信用车0辆、应急保障用车0辆、执法执勤用车0辆、特种专业技术用车7辆、离退休干部服务用车0辆、其他用车1辆，其他用车主要是：</w:t>
      </w:r>
      <w:r>
        <w:rPr>
          <w:rFonts w:ascii="仿宋_GB2312" w:eastAsia="仿宋_GB2312" w:hint="eastAsia"/>
          <w:sz w:val="32"/>
          <w:szCs w:val="32"/>
          <w:lang w:eastAsia="zh-CN"/>
        </w:rPr>
        <w:t>单位业务用车</w:t>
      </w:r>
      <w:r>
        <w:rPr>
          <w:rFonts w:ascii="仿宋_GB2312" w:eastAsia="仿宋_GB2312"/>
          <w:sz w:val="32"/>
          <w:szCs w:val="32"/>
          <w:lang w:eastAsia="zh-CN"/>
        </w:rPr>
        <w:t>;单价100万元（含）以上设备（不含车辆）1台（套）。</w:t>
      </w:r>
    </w:p>
    <w:p w14:paraId="0FCD3A6A"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F46B997"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7,047.84</w:t>
      </w:r>
      <w:r>
        <w:rPr>
          <w:rFonts w:ascii="仿宋_GB2312" w:eastAsia="仿宋_GB2312"/>
          <w:sz w:val="32"/>
          <w:szCs w:val="32"/>
          <w:lang w:eastAsia="zh-CN"/>
        </w:rPr>
        <w:t>万元，实际执行总额</w:t>
      </w:r>
      <w:r>
        <w:rPr>
          <w:rFonts w:ascii="仿宋_GB2312" w:eastAsia="仿宋_GB2312" w:hint="eastAsia"/>
          <w:sz w:val="32"/>
          <w:szCs w:val="32"/>
          <w:lang w:eastAsia="zh-CN"/>
        </w:rPr>
        <w:t>7,044.50</w:t>
      </w:r>
      <w:r>
        <w:rPr>
          <w:rFonts w:ascii="仿宋_GB2312" w:eastAsia="仿宋_GB2312"/>
          <w:sz w:val="32"/>
          <w:szCs w:val="32"/>
          <w:lang w:eastAsia="zh-CN"/>
        </w:rPr>
        <w:t>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w:t>
      </w:r>
      <w:r>
        <w:rPr>
          <w:rFonts w:ascii="仿宋_GB2312" w:eastAsia="仿宋_GB2312" w:hint="eastAsia"/>
          <w:sz w:val="32"/>
          <w:szCs w:val="32"/>
          <w:lang w:eastAsia="zh-CN"/>
        </w:rPr>
        <w:t>0.00</w:t>
      </w:r>
      <w:r>
        <w:rPr>
          <w:rFonts w:ascii="仿宋_GB2312" w:eastAsia="仿宋_GB2312"/>
          <w:sz w:val="32"/>
          <w:szCs w:val="32"/>
          <w:lang w:eastAsia="zh-CN"/>
        </w:rPr>
        <w:t>万元，全年执行数</w:t>
      </w:r>
      <w:r>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一是提高资金配置效率和使用效益，通过合理设置绩效目标，一定程度发挥了资金的使用效益；二是有助于决策的科学性，有效落实重点工作。发现的问题及原因：一是绩效目标的设置缺乏全局性。我单位在对整体绩效设置目标的时候，主要从财务人员的角度进行出发，难以从单位全局视角设置。这是由于单位领导对这项工作缺乏重视性，而相关人员也缺乏必要的预算绩效工作的知识和技能</w:t>
      </w:r>
      <w:r>
        <w:rPr>
          <w:rFonts w:ascii="仿宋_GB2312" w:eastAsia="仿宋_GB2312" w:hint="eastAsia"/>
          <w:sz w:val="32"/>
          <w:szCs w:val="32"/>
          <w:lang w:eastAsia="zh-CN"/>
        </w:rPr>
        <w:t>；</w:t>
      </w:r>
      <w:r>
        <w:rPr>
          <w:rFonts w:ascii="仿宋_GB2312" w:eastAsia="仿宋_GB2312"/>
          <w:sz w:val="32"/>
          <w:szCs w:val="32"/>
          <w:lang w:eastAsia="zh-CN"/>
        </w:rPr>
        <w:t>二是部门整体绩效工作机制不健全。在该项工作的部署中，基本所有工作都落实到了财务人员身上，缺乏内部绩效工作的协调机制。因财务人员的专业知识水平比较局限，对于实际工作的开展与分析难以深入，导致该项工作较浮于表面。下一步改进措施：一是提高部门整</w:t>
      </w:r>
      <w:r>
        <w:rPr>
          <w:rFonts w:ascii="仿宋_GB2312" w:eastAsia="仿宋_GB2312"/>
          <w:sz w:val="32"/>
          <w:szCs w:val="32"/>
          <w:lang w:eastAsia="zh-CN"/>
        </w:rPr>
        <w:lastRenderedPageBreak/>
        <w:t>体支出绩效目标设定的合理性。通过培训、会议等方式，提高单位领导及相关科室人员对预算绩效工作的认识和重视程度。要树立全局观，在执行过程中，加强科室之间的沟通，明确各相关人员的职责，从单位的法定职能入手，围绕事业发展规划，统筹考虑任务目标和大事要事清单，梳理集中反映单位履职效能、社会效应等效果的个性化、效益类绩效指标，确保绩效目标的合理性</w:t>
      </w:r>
      <w:r>
        <w:rPr>
          <w:rFonts w:ascii="仿宋_GB2312" w:eastAsia="仿宋_GB2312" w:hint="eastAsia"/>
          <w:sz w:val="32"/>
          <w:szCs w:val="32"/>
          <w:lang w:eastAsia="zh-CN"/>
        </w:rPr>
        <w:t>；</w:t>
      </w:r>
      <w:r>
        <w:rPr>
          <w:rFonts w:ascii="仿宋_GB2312" w:eastAsia="仿宋_GB2312"/>
          <w:sz w:val="32"/>
          <w:szCs w:val="32"/>
          <w:lang w:eastAsia="zh-CN"/>
        </w:rPr>
        <w:t>二是</w:t>
      </w:r>
      <w:proofErr w:type="gramStart"/>
      <w:r>
        <w:rPr>
          <w:rFonts w:ascii="仿宋_GB2312" w:eastAsia="仿宋_GB2312"/>
          <w:sz w:val="32"/>
          <w:szCs w:val="32"/>
          <w:lang w:eastAsia="zh-CN"/>
        </w:rPr>
        <w:t>完善部门</w:t>
      </w:r>
      <w:proofErr w:type="gramEnd"/>
      <w:r>
        <w:rPr>
          <w:rFonts w:ascii="仿宋_GB2312" w:eastAsia="仿宋_GB2312"/>
          <w:sz w:val="32"/>
          <w:szCs w:val="32"/>
          <w:lang w:eastAsia="zh-CN"/>
        </w:rPr>
        <w:t>整体绩效工作机制。提升单位领导对这项工作的重视程度，明确单位内部各科室在预算绩效工作中的职责和协作方式。同时，建立绩效工作的约束机制，通过制定制度等措施激励各科室积极参与绩效工作，对</w:t>
      </w:r>
      <w:proofErr w:type="gramStart"/>
      <w:r>
        <w:rPr>
          <w:rFonts w:ascii="仿宋_GB2312" w:eastAsia="仿宋_GB2312"/>
          <w:sz w:val="32"/>
          <w:szCs w:val="32"/>
          <w:lang w:eastAsia="zh-CN"/>
        </w:rPr>
        <w:t>怠</w:t>
      </w:r>
      <w:proofErr w:type="gramEnd"/>
      <w:r>
        <w:rPr>
          <w:rFonts w:ascii="仿宋_GB2312" w:eastAsia="仿宋_GB2312"/>
          <w:sz w:val="32"/>
          <w:szCs w:val="32"/>
          <w:lang w:eastAsia="zh-CN"/>
        </w:rPr>
        <w:t>于执行的科室，在绩效考核中给予一定的惩罚。有了各科室的有效配合，能较大提升整体绩效工作的质量。具体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674AC1D3" w14:textId="77777777" w:rsidR="00943FA9" w:rsidRDefault="001463DA">
      <w:pPr>
        <w:rPr>
          <w:rFonts w:ascii="仿宋_GB2312" w:eastAsia="仿宋_GB2312"/>
          <w:sz w:val="32"/>
          <w:szCs w:val="32"/>
          <w:lang w:eastAsia="zh-CN"/>
        </w:rPr>
      </w:pPr>
      <w:r>
        <w:rPr>
          <w:rFonts w:ascii="仿宋_GB2312" w:eastAsia="仿宋_GB2312"/>
          <w:sz w:val="32"/>
          <w:szCs w:val="32"/>
          <w:lang w:eastAsia="zh-CN"/>
        </w:rPr>
        <w:br w:type="page"/>
      </w:r>
    </w:p>
    <w:p w14:paraId="39FAB20A" w14:textId="77777777" w:rsidR="00943FA9" w:rsidRDefault="001463DA">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618D032C" w14:textId="77777777" w:rsidR="00943FA9" w:rsidRDefault="001463DA">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943FA9" w14:paraId="69F955E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9BF8B25"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449F451"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乌鲁木齐市米东区矿业医院</w:t>
            </w:r>
          </w:p>
        </w:tc>
        <w:tc>
          <w:tcPr>
            <w:tcW w:w="284" w:type="dxa"/>
            <w:tcBorders>
              <w:top w:val="nil"/>
              <w:left w:val="nil"/>
              <w:bottom w:val="nil"/>
              <w:right w:val="nil"/>
            </w:tcBorders>
            <w:noWrap/>
            <w:vAlign w:val="center"/>
          </w:tcPr>
          <w:p w14:paraId="642E943A" w14:textId="77777777" w:rsidR="00943FA9" w:rsidRDefault="00943FA9">
            <w:pPr>
              <w:spacing w:after="0" w:line="240" w:lineRule="auto"/>
              <w:rPr>
                <w:rFonts w:ascii="宋体" w:eastAsia="宋体" w:hAnsi="宋体" w:cs="宋体"/>
                <w:b/>
                <w:bCs/>
                <w:sz w:val="18"/>
                <w:szCs w:val="18"/>
                <w:lang w:eastAsia="zh-CN"/>
              </w:rPr>
            </w:pPr>
          </w:p>
        </w:tc>
      </w:tr>
      <w:tr w:rsidR="00943FA9" w14:paraId="0F1192DE"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D60664B"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640FEA6"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5675F102"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05ABB73E"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27A16D03"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76DFDB5C"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04EF5F5F"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6E2A783B"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E535C87" w14:textId="77777777" w:rsidR="00943FA9" w:rsidRDefault="00943FA9">
            <w:pPr>
              <w:spacing w:after="0" w:line="240" w:lineRule="auto"/>
              <w:jc w:val="center"/>
              <w:rPr>
                <w:rFonts w:ascii="宋体" w:eastAsia="宋体" w:hAnsi="宋体" w:cs="宋体"/>
                <w:b/>
                <w:bCs/>
                <w:sz w:val="18"/>
                <w:szCs w:val="18"/>
                <w:lang w:eastAsia="zh-CN"/>
              </w:rPr>
            </w:pPr>
          </w:p>
        </w:tc>
      </w:tr>
      <w:tr w:rsidR="00943FA9" w14:paraId="26FAA2B9"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303C10D0" w14:textId="77777777" w:rsidR="00943FA9" w:rsidRDefault="00943FA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B5DBDF4"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264CEA92"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5,245.90</w:t>
            </w:r>
          </w:p>
        </w:tc>
        <w:tc>
          <w:tcPr>
            <w:tcW w:w="1276" w:type="dxa"/>
            <w:tcBorders>
              <w:top w:val="nil"/>
              <w:left w:val="nil"/>
              <w:bottom w:val="single" w:sz="4" w:space="0" w:color="auto"/>
              <w:right w:val="single" w:sz="4" w:space="0" w:color="auto"/>
            </w:tcBorders>
            <w:vAlign w:val="center"/>
          </w:tcPr>
          <w:p w14:paraId="6FCFADF7"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7,047.84</w:t>
            </w:r>
          </w:p>
        </w:tc>
        <w:tc>
          <w:tcPr>
            <w:tcW w:w="1701" w:type="dxa"/>
            <w:tcBorders>
              <w:top w:val="nil"/>
              <w:left w:val="nil"/>
              <w:bottom w:val="single" w:sz="4" w:space="0" w:color="auto"/>
              <w:right w:val="single" w:sz="4" w:space="0" w:color="auto"/>
            </w:tcBorders>
            <w:vAlign w:val="center"/>
          </w:tcPr>
          <w:p w14:paraId="0D51CF26"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7,044.50</w:t>
            </w:r>
          </w:p>
        </w:tc>
        <w:tc>
          <w:tcPr>
            <w:tcW w:w="1134" w:type="dxa"/>
            <w:tcBorders>
              <w:top w:val="nil"/>
              <w:left w:val="nil"/>
              <w:bottom w:val="single" w:sz="4" w:space="0" w:color="auto"/>
              <w:right w:val="single" w:sz="4" w:space="0" w:color="auto"/>
            </w:tcBorders>
            <w:vAlign w:val="center"/>
          </w:tcPr>
          <w:p w14:paraId="1684A65F"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79EF3B83"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99.95%</w:t>
            </w:r>
          </w:p>
        </w:tc>
        <w:tc>
          <w:tcPr>
            <w:tcW w:w="720" w:type="dxa"/>
            <w:tcBorders>
              <w:top w:val="nil"/>
              <w:left w:val="nil"/>
              <w:bottom w:val="single" w:sz="4" w:space="0" w:color="auto"/>
              <w:right w:val="single" w:sz="4" w:space="0" w:color="auto"/>
            </w:tcBorders>
            <w:vAlign w:val="center"/>
          </w:tcPr>
          <w:p w14:paraId="69CB08D9"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9.99</w:t>
            </w:r>
          </w:p>
        </w:tc>
        <w:tc>
          <w:tcPr>
            <w:tcW w:w="284" w:type="dxa"/>
            <w:tcBorders>
              <w:top w:val="nil"/>
              <w:left w:val="nil"/>
              <w:bottom w:val="nil"/>
              <w:right w:val="nil"/>
            </w:tcBorders>
            <w:noWrap/>
            <w:vAlign w:val="center"/>
          </w:tcPr>
          <w:p w14:paraId="2D1F5B34" w14:textId="77777777" w:rsidR="00943FA9" w:rsidRDefault="00943FA9">
            <w:pPr>
              <w:spacing w:after="0" w:line="240" w:lineRule="auto"/>
              <w:jc w:val="center"/>
              <w:rPr>
                <w:rFonts w:ascii="宋体" w:eastAsia="宋体" w:hAnsi="宋体" w:cs="宋体"/>
                <w:b/>
                <w:bCs/>
                <w:sz w:val="18"/>
                <w:szCs w:val="18"/>
                <w:lang w:eastAsia="zh-CN"/>
              </w:rPr>
            </w:pPr>
          </w:p>
        </w:tc>
      </w:tr>
      <w:tr w:rsidR="00943FA9" w14:paraId="4D2BF40C"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78415BF6" w14:textId="77777777" w:rsidR="00943FA9" w:rsidRDefault="00943FA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7E71D484"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6FF2B85F"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4D980E6B"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5D6E0D17"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61F90C9C"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A65B409"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AB87E4F"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2D269A7" w14:textId="77777777" w:rsidR="00943FA9" w:rsidRDefault="00943FA9">
            <w:pPr>
              <w:spacing w:after="0" w:line="240" w:lineRule="auto"/>
              <w:jc w:val="center"/>
              <w:rPr>
                <w:rFonts w:ascii="宋体" w:eastAsia="宋体" w:hAnsi="宋体" w:cs="宋体"/>
                <w:sz w:val="18"/>
                <w:szCs w:val="18"/>
                <w:lang w:eastAsia="zh-CN"/>
              </w:rPr>
            </w:pPr>
          </w:p>
        </w:tc>
      </w:tr>
      <w:tr w:rsidR="00943FA9" w14:paraId="5C4D184C"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A3E5C08" w14:textId="77777777" w:rsidR="00943FA9" w:rsidRDefault="00943FA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355D796C"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5E07E7E5"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356.29</w:t>
            </w:r>
          </w:p>
        </w:tc>
        <w:tc>
          <w:tcPr>
            <w:tcW w:w="1276" w:type="dxa"/>
            <w:tcBorders>
              <w:top w:val="nil"/>
              <w:left w:val="nil"/>
              <w:bottom w:val="single" w:sz="4" w:space="0" w:color="auto"/>
              <w:right w:val="single" w:sz="4" w:space="0" w:color="auto"/>
            </w:tcBorders>
            <w:vAlign w:val="center"/>
          </w:tcPr>
          <w:p w14:paraId="705816DA"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1,207.11</w:t>
            </w:r>
          </w:p>
        </w:tc>
        <w:tc>
          <w:tcPr>
            <w:tcW w:w="1701" w:type="dxa"/>
            <w:tcBorders>
              <w:top w:val="nil"/>
              <w:left w:val="nil"/>
              <w:bottom w:val="single" w:sz="4" w:space="0" w:color="auto"/>
              <w:right w:val="single" w:sz="4" w:space="0" w:color="auto"/>
            </w:tcBorders>
            <w:vAlign w:val="center"/>
          </w:tcPr>
          <w:p w14:paraId="7E71A127"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1,207.11</w:t>
            </w:r>
          </w:p>
        </w:tc>
        <w:tc>
          <w:tcPr>
            <w:tcW w:w="1134" w:type="dxa"/>
            <w:tcBorders>
              <w:top w:val="nil"/>
              <w:left w:val="nil"/>
              <w:bottom w:val="single" w:sz="4" w:space="0" w:color="auto"/>
              <w:right w:val="single" w:sz="4" w:space="0" w:color="auto"/>
            </w:tcBorders>
            <w:vAlign w:val="center"/>
          </w:tcPr>
          <w:p w14:paraId="68404E06"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5FE3BF0"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54E0E0E"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E7DD47A" w14:textId="77777777" w:rsidR="00943FA9" w:rsidRDefault="00943FA9">
            <w:pPr>
              <w:spacing w:after="0" w:line="240" w:lineRule="auto"/>
              <w:jc w:val="center"/>
              <w:rPr>
                <w:rFonts w:ascii="宋体" w:eastAsia="宋体" w:hAnsi="宋体" w:cs="宋体"/>
                <w:sz w:val="18"/>
                <w:szCs w:val="18"/>
                <w:lang w:eastAsia="zh-CN"/>
              </w:rPr>
            </w:pPr>
          </w:p>
        </w:tc>
      </w:tr>
      <w:tr w:rsidR="00943FA9" w14:paraId="0EF11BFC"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4A9FC7F" w14:textId="77777777" w:rsidR="00943FA9" w:rsidRDefault="00943FA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5848424B"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67240CE3"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4,889.61</w:t>
            </w:r>
          </w:p>
        </w:tc>
        <w:tc>
          <w:tcPr>
            <w:tcW w:w="1276" w:type="dxa"/>
            <w:tcBorders>
              <w:top w:val="nil"/>
              <w:left w:val="nil"/>
              <w:bottom w:val="single" w:sz="4" w:space="0" w:color="auto"/>
              <w:right w:val="single" w:sz="4" w:space="0" w:color="auto"/>
            </w:tcBorders>
            <w:vAlign w:val="center"/>
          </w:tcPr>
          <w:p w14:paraId="6D0F51E7"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5,840.73</w:t>
            </w:r>
          </w:p>
        </w:tc>
        <w:tc>
          <w:tcPr>
            <w:tcW w:w="1701" w:type="dxa"/>
            <w:tcBorders>
              <w:top w:val="nil"/>
              <w:left w:val="nil"/>
              <w:bottom w:val="single" w:sz="4" w:space="0" w:color="auto"/>
              <w:right w:val="single" w:sz="4" w:space="0" w:color="auto"/>
            </w:tcBorders>
            <w:vAlign w:val="center"/>
          </w:tcPr>
          <w:p w14:paraId="7FC60B44"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5,837.39</w:t>
            </w:r>
          </w:p>
        </w:tc>
        <w:tc>
          <w:tcPr>
            <w:tcW w:w="1134" w:type="dxa"/>
            <w:tcBorders>
              <w:top w:val="nil"/>
              <w:left w:val="nil"/>
              <w:bottom w:val="single" w:sz="4" w:space="0" w:color="auto"/>
              <w:right w:val="single" w:sz="4" w:space="0" w:color="auto"/>
            </w:tcBorders>
            <w:vAlign w:val="center"/>
          </w:tcPr>
          <w:p w14:paraId="6BAB35BF"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2239DEF1"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212A9573"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79B424B5" w14:textId="77777777" w:rsidR="00943FA9" w:rsidRDefault="00943FA9">
            <w:pPr>
              <w:spacing w:after="0" w:line="240" w:lineRule="auto"/>
              <w:jc w:val="center"/>
              <w:rPr>
                <w:rFonts w:ascii="宋体" w:eastAsia="宋体" w:hAnsi="宋体" w:cs="宋体"/>
                <w:sz w:val="18"/>
                <w:szCs w:val="18"/>
                <w:lang w:eastAsia="zh-CN"/>
              </w:rPr>
            </w:pPr>
          </w:p>
        </w:tc>
      </w:tr>
      <w:tr w:rsidR="00943FA9" w14:paraId="6124302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2CB3922"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595BBC18"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2F4BD064"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0A8666D8" w14:textId="77777777" w:rsidR="00943FA9" w:rsidRDefault="00943FA9">
            <w:pPr>
              <w:spacing w:after="0" w:line="240" w:lineRule="auto"/>
              <w:rPr>
                <w:rFonts w:ascii="宋体" w:eastAsia="宋体" w:hAnsi="宋体" w:cs="宋体"/>
                <w:b/>
                <w:bCs/>
                <w:sz w:val="18"/>
                <w:szCs w:val="18"/>
                <w:lang w:eastAsia="zh-CN"/>
              </w:rPr>
            </w:pPr>
          </w:p>
        </w:tc>
      </w:tr>
      <w:tr w:rsidR="00943FA9" w14:paraId="1207B3D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4573CA7" w14:textId="77777777" w:rsidR="00943FA9" w:rsidRDefault="00943FA9">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61BEA443" w14:textId="77777777" w:rsidR="00943FA9" w:rsidRDefault="001463D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我单位主要职能：贯彻执行国家、自治区卫生工作方针、政策、法律、法规和相关标准，为人民健康提供医疗与护理保健服务。加强医疗质量管理确保医疗安全和服务质量，不断提高服务水平，保障人民身体健康，并开展诊疗护理、康复等服务。2024年主要工作计划：1、积极推进人员素质和业务能力培养。2、加强医院特色科室建设。3、加强医院内部控制管理。4、提升医院服务能力，提高公共卫生工作服务质量。</w:t>
            </w:r>
          </w:p>
        </w:tc>
        <w:tc>
          <w:tcPr>
            <w:tcW w:w="4547" w:type="dxa"/>
            <w:gridSpan w:val="4"/>
            <w:tcBorders>
              <w:top w:val="single" w:sz="4" w:space="0" w:color="auto"/>
              <w:left w:val="nil"/>
              <w:bottom w:val="single" w:sz="4" w:space="0" w:color="auto"/>
              <w:right w:val="single" w:sz="4" w:space="0" w:color="auto"/>
            </w:tcBorders>
          </w:tcPr>
          <w:p w14:paraId="69B0971F" w14:textId="77777777" w:rsidR="00943FA9" w:rsidRDefault="001463D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1、积极推进人员素质和业务能力培养，加强医务人员经常性的培训与考核。2、加强医院特色科室建设，提升医疗服务能力。3、加强医院内部控制管理，强化成本控制意识。4、提高公共卫生工作服务质量，保障辖区人民的健康。</w:t>
            </w:r>
          </w:p>
        </w:tc>
        <w:tc>
          <w:tcPr>
            <w:tcW w:w="284" w:type="dxa"/>
            <w:tcBorders>
              <w:top w:val="nil"/>
              <w:left w:val="nil"/>
              <w:bottom w:val="nil"/>
              <w:right w:val="nil"/>
            </w:tcBorders>
            <w:noWrap/>
            <w:vAlign w:val="center"/>
          </w:tcPr>
          <w:p w14:paraId="36A278F9" w14:textId="77777777" w:rsidR="00943FA9" w:rsidRDefault="00943FA9">
            <w:pPr>
              <w:spacing w:after="0" w:line="240" w:lineRule="auto"/>
              <w:rPr>
                <w:rFonts w:ascii="宋体" w:eastAsia="宋体" w:hAnsi="宋体" w:cs="宋体"/>
                <w:sz w:val="18"/>
                <w:szCs w:val="18"/>
                <w:lang w:eastAsia="zh-CN"/>
              </w:rPr>
            </w:pPr>
          </w:p>
        </w:tc>
      </w:tr>
      <w:tr w:rsidR="00943FA9" w14:paraId="41BCF587"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C8AE83E"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07FC61A7"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783AEFF3"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08142488"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07CA3493"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734FA399"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51440743"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39D777B9" w14:textId="77777777" w:rsidR="00943FA9" w:rsidRDefault="001463D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A18BAA4" w14:textId="77777777" w:rsidR="00943FA9" w:rsidRDefault="00943FA9">
            <w:pPr>
              <w:spacing w:after="0" w:line="240" w:lineRule="auto"/>
              <w:rPr>
                <w:rFonts w:ascii="宋体" w:eastAsia="宋体" w:hAnsi="宋体" w:cs="宋体"/>
                <w:b/>
                <w:bCs/>
                <w:sz w:val="18"/>
                <w:szCs w:val="18"/>
                <w:lang w:eastAsia="zh-CN"/>
              </w:rPr>
            </w:pPr>
          </w:p>
        </w:tc>
      </w:tr>
      <w:tr w:rsidR="00943FA9" w14:paraId="2AF50A31"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9240E9E"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47517D51"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1C4175ED"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7岁以下儿童健康管理率</w:t>
            </w:r>
          </w:p>
        </w:tc>
        <w:tc>
          <w:tcPr>
            <w:tcW w:w="1276" w:type="dxa"/>
            <w:tcBorders>
              <w:top w:val="nil"/>
              <w:left w:val="nil"/>
              <w:bottom w:val="single" w:sz="4" w:space="0" w:color="auto"/>
              <w:right w:val="single" w:sz="4" w:space="0" w:color="auto"/>
            </w:tcBorders>
            <w:noWrap/>
            <w:vAlign w:val="center"/>
          </w:tcPr>
          <w:p w14:paraId="1655D559"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&gt;=85%</w:t>
            </w:r>
          </w:p>
        </w:tc>
        <w:tc>
          <w:tcPr>
            <w:tcW w:w="1701" w:type="dxa"/>
            <w:tcBorders>
              <w:top w:val="nil"/>
              <w:left w:val="nil"/>
              <w:bottom w:val="single" w:sz="4" w:space="0" w:color="auto"/>
              <w:right w:val="single" w:sz="4" w:space="0" w:color="auto"/>
            </w:tcBorders>
            <w:noWrap/>
            <w:vAlign w:val="center"/>
          </w:tcPr>
          <w:p w14:paraId="75E67F69" w14:textId="77777777" w:rsidR="00943FA9" w:rsidRDefault="001463D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《国家基本公共卫生服务规范（第三版）》</w:t>
            </w:r>
          </w:p>
        </w:tc>
        <w:tc>
          <w:tcPr>
            <w:tcW w:w="1134" w:type="dxa"/>
            <w:tcBorders>
              <w:top w:val="nil"/>
              <w:left w:val="nil"/>
              <w:bottom w:val="single" w:sz="4" w:space="0" w:color="auto"/>
              <w:right w:val="single" w:sz="4" w:space="0" w:color="auto"/>
            </w:tcBorders>
            <w:noWrap/>
            <w:vAlign w:val="center"/>
          </w:tcPr>
          <w:p w14:paraId="26B2D54F"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91.16%</w:t>
            </w:r>
          </w:p>
        </w:tc>
        <w:tc>
          <w:tcPr>
            <w:tcW w:w="992" w:type="dxa"/>
            <w:tcBorders>
              <w:top w:val="nil"/>
              <w:left w:val="nil"/>
              <w:bottom w:val="single" w:sz="4" w:space="0" w:color="auto"/>
              <w:right w:val="single" w:sz="4" w:space="0" w:color="auto"/>
            </w:tcBorders>
            <w:noWrap/>
            <w:vAlign w:val="center"/>
          </w:tcPr>
          <w:p w14:paraId="35ADFC69"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6EB91146"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4CD88F0F" w14:textId="77777777" w:rsidR="00943FA9" w:rsidRDefault="00943FA9">
            <w:pPr>
              <w:spacing w:after="0" w:line="240" w:lineRule="auto"/>
              <w:jc w:val="center"/>
              <w:rPr>
                <w:rFonts w:ascii="宋体" w:eastAsia="宋体" w:hAnsi="宋体" w:cs="宋体"/>
                <w:sz w:val="18"/>
                <w:szCs w:val="18"/>
                <w:lang w:eastAsia="zh-CN"/>
              </w:rPr>
            </w:pPr>
          </w:p>
        </w:tc>
      </w:tr>
      <w:tr w:rsidR="00943FA9" w14:paraId="7E21D703" w14:textId="77777777">
        <w:trPr>
          <w:cantSplit/>
          <w:trHeight w:val="740"/>
        </w:trPr>
        <w:tc>
          <w:tcPr>
            <w:tcW w:w="993" w:type="dxa"/>
            <w:vMerge/>
            <w:tcBorders>
              <w:left w:val="single" w:sz="4" w:space="0" w:color="auto"/>
              <w:right w:val="single" w:sz="4" w:space="0" w:color="auto"/>
            </w:tcBorders>
            <w:noWrap/>
            <w:vAlign w:val="center"/>
          </w:tcPr>
          <w:p w14:paraId="1594C82E" w14:textId="77777777" w:rsidR="00943FA9" w:rsidRDefault="00943FA9">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07D0400A" w14:textId="77777777" w:rsidR="00943FA9" w:rsidRDefault="00943FA9">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5B35835E" w14:textId="77777777" w:rsidR="00943FA9" w:rsidRDefault="001463DA">
            <w:pPr>
              <w:spacing w:after="0" w:line="240" w:lineRule="auto"/>
              <w:jc w:val="center"/>
              <w:rPr>
                <w:rFonts w:ascii="宋体" w:eastAsia="宋体" w:hAnsi="宋体" w:cs="宋体"/>
                <w:sz w:val="18"/>
                <w:szCs w:val="18"/>
                <w:lang w:eastAsia="zh-CN"/>
              </w:rPr>
            </w:pPr>
            <w:proofErr w:type="gramStart"/>
            <w:r>
              <w:rPr>
                <w:rFonts w:ascii="宋体" w:eastAsia="宋体" w:hAnsi="宋体" w:cs="宋体" w:hint="eastAsia"/>
                <w:sz w:val="18"/>
                <w:szCs w:val="18"/>
                <w:lang w:eastAsia="zh-CN"/>
              </w:rPr>
              <w:t>孕</w:t>
            </w:r>
            <w:proofErr w:type="gramEnd"/>
            <w:r>
              <w:rPr>
                <w:rFonts w:ascii="宋体" w:eastAsia="宋体" w:hAnsi="宋体" w:cs="宋体" w:hint="eastAsia"/>
                <w:sz w:val="18"/>
                <w:szCs w:val="18"/>
                <w:lang w:eastAsia="zh-CN"/>
              </w:rPr>
              <w:t>产妇系统管理率</w:t>
            </w:r>
          </w:p>
        </w:tc>
        <w:tc>
          <w:tcPr>
            <w:tcW w:w="1276" w:type="dxa"/>
            <w:tcBorders>
              <w:top w:val="nil"/>
              <w:left w:val="nil"/>
              <w:bottom w:val="single" w:sz="4" w:space="0" w:color="auto"/>
              <w:right w:val="single" w:sz="4" w:space="0" w:color="auto"/>
            </w:tcBorders>
            <w:noWrap/>
            <w:vAlign w:val="center"/>
          </w:tcPr>
          <w:p w14:paraId="2EFD8EC8"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&gt;=85%</w:t>
            </w:r>
          </w:p>
        </w:tc>
        <w:tc>
          <w:tcPr>
            <w:tcW w:w="1701" w:type="dxa"/>
            <w:tcBorders>
              <w:top w:val="nil"/>
              <w:left w:val="nil"/>
              <w:bottom w:val="single" w:sz="4" w:space="0" w:color="auto"/>
              <w:right w:val="single" w:sz="4" w:space="0" w:color="auto"/>
            </w:tcBorders>
            <w:noWrap/>
            <w:vAlign w:val="center"/>
          </w:tcPr>
          <w:p w14:paraId="505B5C22" w14:textId="77777777" w:rsidR="00943FA9" w:rsidRDefault="001463D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《国家基本公共卫生服务规范（第三版）》</w:t>
            </w:r>
          </w:p>
        </w:tc>
        <w:tc>
          <w:tcPr>
            <w:tcW w:w="1134" w:type="dxa"/>
            <w:tcBorders>
              <w:top w:val="nil"/>
              <w:left w:val="nil"/>
              <w:bottom w:val="single" w:sz="4" w:space="0" w:color="auto"/>
              <w:right w:val="single" w:sz="4" w:space="0" w:color="auto"/>
            </w:tcBorders>
            <w:noWrap/>
            <w:vAlign w:val="center"/>
          </w:tcPr>
          <w:p w14:paraId="5BEA5725"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95.67%</w:t>
            </w:r>
          </w:p>
        </w:tc>
        <w:tc>
          <w:tcPr>
            <w:tcW w:w="992" w:type="dxa"/>
            <w:tcBorders>
              <w:top w:val="nil"/>
              <w:left w:val="nil"/>
              <w:bottom w:val="single" w:sz="4" w:space="0" w:color="auto"/>
              <w:right w:val="single" w:sz="4" w:space="0" w:color="auto"/>
            </w:tcBorders>
            <w:noWrap/>
            <w:vAlign w:val="center"/>
          </w:tcPr>
          <w:p w14:paraId="481E1BA1"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4616CCA0"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73B4E77F" w14:textId="77777777" w:rsidR="00943FA9" w:rsidRDefault="00943FA9">
            <w:pPr>
              <w:spacing w:after="0" w:line="240" w:lineRule="auto"/>
              <w:jc w:val="center"/>
              <w:rPr>
                <w:rFonts w:ascii="宋体" w:eastAsia="宋体" w:hAnsi="宋体" w:cs="宋体"/>
                <w:sz w:val="18"/>
                <w:szCs w:val="18"/>
                <w:lang w:eastAsia="zh-CN"/>
              </w:rPr>
            </w:pPr>
          </w:p>
        </w:tc>
      </w:tr>
      <w:tr w:rsidR="00943FA9" w14:paraId="24AAA166"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7342933C" w14:textId="77777777" w:rsidR="00943FA9" w:rsidRDefault="00943FA9">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5C175C75" w14:textId="77777777" w:rsidR="00943FA9" w:rsidRDefault="00943FA9">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0742D17E"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健康教育覆盖率</w:t>
            </w:r>
          </w:p>
        </w:tc>
        <w:tc>
          <w:tcPr>
            <w:tcW w:w="1276" w:type="dxa"/>
            <w:tcBorders>
              <w:top w:val="single" w:sz="4" w:space="0" w:color="auto"/>
              <w:left w:val="nil"/>
              <w:bottom w:val="single" w:sz="4" w:space="0" w:color="auto"/>
              <w:right w:val="single" w:sz="4" w:space="0" w:color="auto"/>
            </w:tcBorders>
            <w:noWrap/>
            <w:vAlign w:val="center"/>
          </w:tcPr>
          <w:p w14:paraId="296B9236"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&gt;=90%</w:t>
            </w:r>
          </w:p>
        </w:tc>
        <w:tc>
          <w:tcPr>
            <w:tcW w:w="1701" w:type="dxa"/>
            <w:tcBorders>
              <w:top w:val="single" w:sz="4" w:space="0" w:color="auto"/>
              <w:left w:val="nil"/>
              <w:bottom w:val="single" w:sz="4" w:space="0" w:color="auto"/>
              <w:right w:val="single" w:sz="4" w:space="0" w:color="auto"/>
            </w:tcBorders>
            <w:noWrap/>
            <w:vAlign w:val="center"/>
          </w:tcPr>
          <w:p w14:paraId="1ED4E761" w14:textId="77777777" w:rsidR="00943FA9" w:rsidRDefault="001463D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《国家基本公共卫生服务规范（第三版）》</w:t>
            </w:r>
          </w:p>
        </w:tc>
        <w:tc>
          <w:tcPr>
            <w:tcW w:w="1134" w:type="dxa"/>
            <w:tcBorders>
              <w:top w:val="single" w:sz="4" w:space="0" w:color="auto"/>
              <w:left w:val="nil"/>
              <w:bottom w:val="single" w:sz="4" w:space="0" w:color="auto"/>
              <w:right w:val="single" w:sz="4" w:space="0" w:color="auto"/>
            </w:tcBorders>
            <w:noWrap/>
            <w:vAlign w:val="center"/>
          </w:tcPr>
          <w:p w14:paraId="68BD2BD5"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90%</w:t>
            </w:r>
          </w:p>
        </w:tc>
        <w:tc>
          <w:tcPr>
            <w:tcW w:w="992" w:type="dxa"/>
            <w:tcBorders>
              <w:top w:val="single" w:sz="4" w:space="0" w:color="auto"/>
              <w:left w:val="nil"/>
              <w:bottom w:val="single" w:sz="4" w:space="0" w:color="auto"/>
              <w:right w:val="single" w:sz="4" w:space="0" w:color="auto"/>
            </w:tcBorders>
            <w:noWrap/>
            <w:vAlign w:val="center"/>
          </w:tcPr>
          <w:p w14:paraId="3C47820A"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1E54968C"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2E203554" w14:textId="77777777" w:rsidR="00943FA9" w:rsidRDefault="00943FA9">
            <w:pPr>
              <w:spacing w:after="0" w:line="240" w:lineRule="auto"/>
              <w:jc w:val="center"/>
              <w:rPr>
                <w:rFonts w:ascii="宋体" w:eastAsia="宋体" w:hAnsi="宋体" w:cs="宋体"/>
                <w:sz w:val="18"/>
                <w:szCs w:val="18"/>
                <w:lang w:eastAsia="zh-CN"/>
              </w:rPr>
            </w:pPr>
          </w:p>
        </w:tc>
      </w:tr>
      <w:tr w:rsidR="00943FA9" w14:paraId="13682F0D"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40FE7D47"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7E18E19C"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1B940F31" w14:textId="77777777" w:rsidR="00943FA9" w:rsidRDefault="001463D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99.99</w:t>
            </w:r>
          </w:p>
        </w:tc>
        <w:tc>
          <w:tcPr>
            <w:tcW w:w="284" w:type="dxa"/>
            <w:tcBorders>
              <w:top w:val="nil"/>
              <w:left w:val="nil"/>
              <w:bottom w:val="nil"/>
              <w:right w:val="nil"/>
            </w:tcBorders>
            <w:noWrap/>
            <w:vAlign w:val="center"/>
          </w:tcPr>
          <w:p w14:paraId="1A178579" w14:textId="77777777" w:rsidR="00943FA9" w:rsidRDefault="00943FA9">
            <w:pPr>
              <w:spacing w:after="0" w:line="240" w:lineRule="auto"/>
              <w:jc w:val="center"/>
              <w:rPr>
                <w:rFonts w:ascii="宋体" w:eastAsia="宋体" w:hAnsi="宋体" w:cs="宋体"/>
                <w:sz w:val="18"/>
                <w:szCs w:val="18"/>
                <w:lang w:eastAsia="zh-CN"/>
              </w:rPr>
            </w:pPr>
          </w:p>
        </w:tc>
      </w:tr>
    </w:tbl>
    <w:p w14:paraId="1EE1D320" w14:textId="77777777" w:rsidR="00943FA9" w:rsidRDefault="00943FA9">
      <w:pPr>
        <w:spacing w:after="0" w:line="240" w:lineRule="auto"/>
        <w:ind w:firstLineChars="200" w:firstLine="640"/>
        <w:jc w:val="both"/>
        <w:rPr>
          <w:rFonts w:ascii="仿宋_GB2312" w:eastAsia="仿宋_GB2312"/>
          <w:sz w:val="32"/>
          <w:szCs w:val="32"/>
        </w:rPr>
      </w:pPr>
    </w:p>
    <w:p w14:paraId="586D3E74" w14:textId="77777777" w:rsidR="00943FA9" w:rsidRDefault="001463D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7201BB15" w14:textId="77777777" w:rsidR="00943FA9" w:rsidRDefault="001463D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477317C1" w14:textId="77777777" w:rsidR="00943FA9" w:rsidRDefault="00943FA9">
      <w:pPr>
        <w:spacing w:after="0" w:line="240" w:lineRule="auto"/>
        <w:ind w:firstLineChars="200" w:firstLine="640"/>
        <w:rPr>
          <w:rFonts w:ascii="仿宋_GB2312" w:eastAsia="仿宋_GB2312"/>
          <w:sz w:val="32"/>
          <w:szCs w:val="32"/>
          <w:lang w:eastAsia="zh-CN"/>
        </w:rPr>
      </w:pPr>
    </w:p>
    <w:p w14:paraId="25631C29" w14:textId="77777777" w:rsidR="00943FA9" w:rsidRDefault="001463DA">
      <w:pPr>
        <w:rPr>
          <w:lang w:eastAsia="zh-CN"/>
        </w:rPr>
      </w:pPr>
      <w:r>
        <w:rPr>
          <w:sz w:val="0"/>
          <w:szCs w:val="0"/>
          <w:lang w:eastAsia="zh-CN"/>
        </w:rPr>
        <w:br w:type="page"/>
      </w:r>
    </w:p>
    <w:p w14:paraId="663C0A96" w14:textId="77777777" w:rsidR="00943FA9" w:rsidRDefault="001463D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86F1774"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8E37363"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8CE8A49"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69BECE3"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6DB7631"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C51F258"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ECAEAD0"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99F2D64"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A9D2AAB"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A7ADE0D"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56A58358"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6ACB318"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A5F5751"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6A58FB9" w14:textId="77777777" w:rsidR="00943FA9" w:rsidRDefault="001463D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887891E" w14:textId="77777777" w:rsidR="00943FA9" w:rsidRDefault="001463DA">
      <w:pPr>
        <w:rPr>
          <w:lang w:eastAsia="zh-CN"/>
        </w:rPr>
      </w:pPr>
      <w:r>
        <w:rPr>
          <w:sz w:val="0"/>
          <w:szCs w:val="0"/>
          <w:lang w:eastAsia="zh-CN"/>
        </w:rPr>
        <w:br w:type="page"/>
      </w:r>
    </w:p>
    <w:p w14:paraId="62A426BA" w14:textId="77777777" w:rsidR="00943FA9" w:rsidRDefault="001463D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E6E9DD0" w14:textId="77777777" w:rsidR="00943FA9" w:rsidRDefault="001463D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04A91227" w14:textId="77777777" w:rsidR="00943FA9" w:rsidRDefault="001463D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52A109F" w14:textId="77777777" w:rsidR="00943FA9" w:rsidRDefault="001463D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9CC9548" w14:textId="77777777" w:rsidR="00943FA9" w:rsidRDefault="001463D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887A5C0" w14:textId="77777777" w:rsidR="00943FA9" w:rsidRDefault="001463D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6EE923C" w14:textId="77777777" w:rsidR="00943FA9" w:rsidRDefault="001463D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96CFFAE" w14:textId="77777777" w:rsidR="00943FA9" w:rsidRDefault="001463D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599A808" w14:textId="77777777" w:rsidR="00943FA9" w:rsidRDefault="001463D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2CFEB03" w14:textId="77777777" w:rsidR="00943FA9" w:rsidRDefault="001463D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43FA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5C4F5" w14:textId="77777777" w:rsidR="007046DE" w:rsidRDefault="007046DE">
      <w:pPr>
        <w:spacing w:line="240" w:lineRule="auto"/>
      </w:pPr>
      <w:r>
        <w:separator/>
      </w:r>
    </w:p>
  </w:endnote>
  <w:endnote w:type="continuationSeparator" w:id="0">
    <w:p w14:paraId="256EA15B" w14:textId="77777777" w:rsidR="007046DE" w:rsidRDefault="007046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2F6AFA" w14:textId="77777777" w:rsidR="007046DE" w:rsidRDefault="007046DE">
      <w:pPr>
        <w:spacing w:after="0"/>
      </w:pPr>
      <w:r>
        <w:separator/>
      </w:r>
    </w:p>
  </w:footnote>
  <w:footnote w:type="continuationSeparator" w:id="0">
    <w:p w14:paraId="023884F7" w14:textId="77777777" w:rsidR="007046DE" w:rsidRDefault="007046D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943FA9"/>
    <w:rsid w:val="000B260A"/>
    <w:rsid w:val="001463DA"/>
    <w:rsid w:val="006A5EFC"/>
    <w:rsid w:val="007046DE"/>
    <w:rsid w:val="00943FA9"/>
    <w:rsid w:val="00B20056"/>
    <w:rsid w:val="00D66128"/>
    <w:rsid w:val="0E5F56E6"/>
    <w:rsid w:val="3556504E"/>
    <w:rsid w:val="3E3446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3D13272"/>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6A5EFC"/>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6A5EFC"/>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16</Pages>
  <Words>1119</Words>
  <Characters>6379</Characters>
  <Application>Microsoft Office Word</Application>
  <DocSecurity>0</DocSecurity>
  <Lines>53</Lines>
  <Paragraphs>14</Paragraphs>
  <ScaleCrop>false</ScaleCrop>
  <Company/>
  <LinksUpToDate>false</LinksUpToDate>
  <CharactersWithSpaces>7484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Lenovo</cp:lastModifiedBy>
  <cp:revision>3</cp:revision>
  <dcterms:created xsi:type="dcterms:W3CDTF">2025-09-29T04:14:00Z</dcterms:created>
  <dcterms:modified xsi:type="dcterms:W3CDTF">2025-10-15T02:56:00Z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04AD50E264A14C0E86F4A755131B970B_12</vt:lpwstr>
  </property>
</Properties>
</file>