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4FBC2">
      <w:pPr>
        <w:spacing w:after="0" w:line="240" w:lineRule="auto"/>
        <w:rPr>
          <w:rFonts w:ascii="宋体" w:eastAsia="宋体"/>
          <w:sz w:val="32"/>
          <w:szCs w:val="32"/>
        </w:rPr>
      </w:pPr>
    </w:p>
    <w:p w14:paraId="4A9B33D1">
      <w:pPr>
        <w:spacing w:after="0" w:line="240" w:lineRule="auto"/>
        <w:rPr>
          <w:rFonts w:ascii="宋体" w:eastAsia="宋体"/>
          <w:sz w:val="44"/>
          <w:szCs w:val="44"/>
        </w:rPr>
      </w:pPr>
    </w:p>
    <w:p w14:paraId="3F1FB9F5">
      <w:pPr>
        <w:spacing w:after="0" w:line="240" w:lineRule="auto"/>
        <w:rPr>
          <w:rFonts w:ascii="宋体" w:eastAsia="宋体"/>
          <w:sz w:val="44"/>
          <w:szCs w:val="44"/>
        </w:rPr>
      </w:pPr>
    </w:p>
    <w:p w14:paraId="3F2DCE76">
      <w:pPr>
        <w:spacing w:after="0" w:line="240" w:lineRule="auto"/>
        <w:rPr>
          <w:rFonts w:ascii="宋体" w:eastAsia="宋体"/>
          <w:sz w:val="44"/>
          <w:szCs w:val="44"/>
        </w:rPr>
      </w:pPr>
    </w:p>
    <w:p w14:paraId="5B565244">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乌鲁木齐市米东区红十字会</w:t>
      </w:r>
    </w:p>
    <w:p w14:paraId="199EECE6">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0F2E024">
      <w:pPr>
        <w:rPr>
          <w:lang w:eastAsia="zh-CN"/>
        </w:rPr>
      </w:pPr>
      <w:r>
        <w:rPr>
          <w:sz w:val="0"/>
          <w:szCs w:val="0"/>
          <w:lang w:eastAsia="zh-CN"/>
        </w:rPr>
        <w:br w:type="page"/>
      </w:r>
    </w:p>
    <w:p w14:paraId="008D7B7B">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4EC6CC3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B95379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682E376">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65D21E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DE9597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C19912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BE17EA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4C564AE">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3B412B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E3FF151">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61998A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F020B8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C81BB4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7FA35D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4F1130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F7513FE">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98CE6B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D7AF1F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0A1462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60D339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37FFCA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00C1DE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BE4308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C27D1A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EA2456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24EB0C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FDFB8A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4BB9EA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CC2718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A89B0A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F4B503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750008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3112A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CA4B7A7">
      <w:pPr>
        <w:rPr>
          <w:lang w:eastAsia="zh-CN"/>
        </w:rPr>
      </w:pPr>
      <w:r>
        <w:rPr>
          <w:sz w:val="0"/>
          <w:szCs w:val="0"/>
          <w:lang w:eastAsia="zh-CN"/>
        </w:rPr>
        <w:br w:type="page"/>
      </w:r>
    </w:p>
    <w:p w14:paraId="66266399">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9C7CDE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1340C2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.宣传贯彻落实《中华人民共和国红十字会法</w:t>
      </w:r>
      <w:r>
        <w:rPr>
          <w:rFonts w:hint="eastAsia" w:ascii="仿宋_GB2312" w:eastAsia="仿宋_GB2312"/>
          <w:sz w:val="32"/>
          <w:szCs w:val="32"/>
          <w:lang w:eastAsia="zh-CN"/>
        </w:rPr>
        <w:t>》《</w:t>
      </w:r>
      <w:r>
        <w:rPr>
          <w:rFonts w:ascii="仿宋_GB2312" w:eastAsia="仿宋_GB2312"/>
          <w:sz w:val="32"/>
          <w:szCs w:val="32"/>
          <w:lang w:eastAsia="zh-CN"/>
        </w:rPr>
        <w:t>中国红十字会章程</w:t>
      </w:r>
      <w:r>
        <w:rPr>
          <w:rFonts w:hint="eastAsia" w:ascii="仿宋_GB2312" w:eastAsia="仿宋_GB2312"/>
          <w:sz w:val="32"/>
          <w:szCs w:val="32"/>
          <w:lang w:eastAsia="zh-CN"/>
        </w:rPr>
        <w:t>》《</w:t>
      </w:r>
      <w:r>
        <w:rPr>
          <w:rFonts w:ascii="仿宋_GB2312" w:eastAsia="仿宋_GB2312"/>
          <w:sz w:val="32"/>
          <w:szCs w:val="32"/>
          <w:lang w:eastAsia="zh-CN"/>
        </w:rPr>
        <w:t>中华人民共和国红十字标志使用办法》和《新疆维吾尔自治区实施&lt;中华人民共和国红十字会法&gt;办法》，指导和协调全区各级红十字会工作。</w:t>
      </w:r>
    </w:p>
    <w:p w14:paraId="34C26B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.开展救灾的相关工作，建立红十字应急救援体系。在战争、武装冲突和自然灾害、事故灾害、公共卫生时间等突发事件中，对伤病人员和其他受害者提供紧急救援和人道救助。</w:t>
      </w:r>
    </w:p>
    <w:p w14:paraId="21912DA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.开展应急救护培训，普及应急救护、防灾避险和卫生健康知识，组织志愿者参与现场救护。</w:t>
      </w:r>
    </w:p>
    <w:p w14:paraId="59925E4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.参与、推动无偿献血、遗体和人体器官捐献工作，参与开展造血干细胞的相关工作。</w:t>
      </w:r>
    </w:p>
    <w:p w14:paraId="5F36A89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.组织开展红十字会志愿服务、红十字青少年工作。</w:t>
      </w:r>
    </w:p>
    <w:p w14:paraId="4EEFC0C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.参加国际人道主义援助工作。</w:t>
      </w:r>
    </w:p>
    <w:p w14:paraId="5EC2F35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.宣传国际红十字会和红新月运动基本原则和日内瓦公约及其附加议定书。</w:t>
      </w:r>
    </w:p>
    <w:p w14:paraId="77FE767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.依照国际红十字和红新月运动的基本原则，完成人民政府委托事宜。</w:t>
      </w:r>
    </w:p>
    <w:p w14:paraId="7814C5D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.依照日内瓦公约及其附加议定书的有关规定开展工作。</w:t>
      </w:r>
    </w:p>
    <w:p w14:paraId="4FF5E17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0.协助区人民政府开展与其职责相关的其他人道主义服务活动。</w:t>
      </w:r>
    </w:p>
    <w:p w14:paraId="26D7FD9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1.承办区委、区人民政府交办的其他事项。</w:t>
      </w:r>
    </w:p>
    <w:p w14:paraId="472805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556F8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乌鲁木齐市米东区红十字会2024年度，实有人数4人，其中：在职人员2人，减少1人；离休人员0人，较上年无变化；退休人员2人，增加1人。</w:t>
      </w:r>
    </w:p>
    <w:p w14:paraId="548ED1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乌鲁木齐市米东区红十字会无下属预算单位，下设2个科室，分别是：行政办公室、业务办公室。</w:t>
      </w:r>
    </w:p>
    <w:p w14:paraId="06108DFD">
      <w:pPr>
        <w:rPr>
          <w:lang w:eastAsia="zh-CN"/>
        </w:rPr>
      </w:pPr>
      <w:r>
        <w:rPr>
          <w:sz w:val="0"/>
          <w:szCs w:val="0"/>
          <w:lang w:eastAsia="zh-CN"/>
        </w:rPr>
        <w:br w:type="page"/>
      </w:r>
    </w:p>
    <w:p w14:paraId="4423C5FA">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2B6EE1F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7DF61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2024年度收入总计61.47万元，其中：本年收入合计60.63万元，使用非财政拨款结余（含专用结余）0.00万元，年初结转和结余0.84万元。</w:t>
      </w:r>
    </w:p>
    <w:p w14:paraId="2FAE27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2024年度支出总计61.47万元，其中：本年支出合计57.94万元，结余分配0.00万元，年末结转和结余3.53万元。</w:t>
      </w:r>
    </w:p>
    <w:p w14:paraId="471FEC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收入支出总体与上年相比，减少6.47万元，下降9.52%，主要原因是：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2EC8E62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C32061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本年收入60.63万元，其中：财政拨款收入58.48万元,占96.45%；上级补助收入0.00万元,占0.00%；事业收入0.00万元，占0.00%；经营收入0.00万元,占0.00%；附属单位上缴收入0.00万元，占0.00%；其他收入2.15万元，占3.55%。</w:t>
      </w:r>
    </w:p>
    <w:p w14:paraId="5620625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36A8B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本年支出57.94万元，其中：基本支出57.94万元，占100.00%；项目支出0.00万元，占0.00%；上缴上级支出0.00万元，占0.00%；经营支出0.00万元，占0.00%；对附属单位补助支出0.00万元，占0.00%。</w:t>
      </w:r>
    </w:p>
    <w:p w14:paraId="1964BEC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8F777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2024年度财政拨款收入总计58.48万元，其中：年初财政拨款结转和结余0.00万元，本年财政拨款收入58.48万元。财政拨款支出总计58.48万元，其中：年末财政拨款结转和结余1.12万元，本年财政拨款支出57.36万元。</w:t>
      </w:r>
    </w:p>
    <w:p w14:paraId="58C2F86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财政拨款收入支出总体与上年相比，减少7.16万元，下降10.91%，主要原因是：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。与年初预算相比，年初预算数53.71万元，决算数58.48万元，预决算差异率8.88%，主要原因是：</w:t>
      </w:r>
      <w:r>
        <w:rPr>
          <w:rFonts w:hint="eastAsia" w:ascii="仿宋_GB2312" w:eastAsia="仿宋_GB2312"/>
          <w:sz w:val="32"/>
          <w:szCs w:val="32"/>
          <w:lang w:eastAsia="zh-CN"/>
        </w:rPr>
        <w:t>我单位本年度年中追加代理记账服务费</w:t>
      </w:r>
      <w:r>
        <w:rPr>
          <w:rFonts w:ascii="仿宋_GB2312" w:eastAsia="仿宋_GB2312"/>
          <w:sz w:val="32"/>
          <w:szCs w:val="32"/>
          <w:lang w:eastAsia="zh-CN"/>
        </w:rPr>
        <w:t>。</w:t>
      </w:r>
    </w:p>
    <w:p w14:paraId="4ABF88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0E128E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8EB94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2024年度一般公共预算财政拨款支出57.36万元，占本年支出合计的99.00%。与上年相比，减少2.09万元，下降3.52%，主要原因是：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。与年初预算相比，年初预算数53.71万元，决算数57.36万元，预决算差异率6.80%，主要原因是：我单位本年度年中追加代理记账服务费。</w:t>
      </w:r>
    </w:p>
    <w:p w14:paraId="109E071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98295B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.社会保障和就业支出（类）57.36万元，占100.00%。</w:t>
      </w:r>
    </w:p>
    <w:p w14:paraId="41B61BD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257E8B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1、社会保障和就业支出（类）行政事业单位养老支出（款）机关事业单位基本养老保险缴费支出（项）：支出决算数为4.77万元，比上年决算减少0.13万元，下降2.65%，主要原因是：</w:t>
      </w:r>
      <w:r>
        <w:rPr>
          <w:rFonts w:hint="eastAsia" w:ascii="仿宋_GB2312" w:eastAsia="仿宋_GB2312"/>
          <w:sz w:val="32"/>
          <w:szCs w:val="32"/>
          <w:lang w:eastAsia="zh-CN"/>
        </w:rPr>
        <w:t>单位本年人员减少，人员养老保险缴费减少</w:t>
      </w:r>
      <w:r>
        <w:rPr>
          <w:rFonts w:ascii="仿宋_GB2312" w:eastAsia="仿宋_GB2312"/>
          <w:sz w:val="32"/>
          <w:szCs w:val="32"/>
          <w:lang w:eastAsia="zh-CN"/>
        </w:rPr>
        <w:t>。</w:t>
      </w:r>
    </w:p>
    <w:p w14:paraId="0186AE5D">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2、社会保障和就业支出（类）行政事业单位养老支出（款）机关事业单位职业年金缴费支出（项）：支出决算数为9.09万元，比上年决算增加9.09万元，增长100.00%，主要原因是：</w:t>
      </w:r>
      <w:r>
        <w:rPr>
          <w:rFonts w:hint="eastAsia" w:ascii="仿宋_GB2312" w:eastAsia="仿宋_GB2312"/>
          <w:sz w:val="32"/>
          <w:szCs w:val="32"/>
          <w:lang w:eastAsia="zh-CN"/>
        </w:rPr>
        <w:t>单位本年人员一次性职业年金缴费增加</w:t>
      </w:r>
      <w:r>
        <w:rPr>
          <w:rFonts w:ascii="仿宋_GB2312" w:eastAsia="仿宋_GB2312"/>
          <w:sz w:val="32"/>
          <w:szCs w:val="32"/>
          <w:lang w:eastAsia="zh-CN"/>
        </w:rPr>
        <w:t>。</w:t>
      </w:r>
    </w:p>
    <w:p w14:paraId="26DBD40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3、社会保障和就业支出（类）红十字事业（款）行政运行（项）：支出决算数为43.50万元，比上年决算减少11.05万元，下降20.26%，主要原因是：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5A61910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C06E3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57.36万元，其中：人员经费53.33万元，包括：基本工资、津贴补贴、奖金、机关事业单位基本养老保险缴费、职业年金缴费、职工基本医疗保险缴费、公务员医疗补助缴费、其他社会保障缴费和住房公积金。</w:t>
      </w:r>
    </w:p>
    <w:p w14:paraId="5F62B3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公用经费4.03万元，包括：办公费、印刷费、手续费、维修（护）费、工会经费、福利费、公务用车运行维护费和其他商品和服务支出。</w:t>
      </w:r>
    </w:p>
    <w:p w14:paraId="688AE6A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3C008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906D9A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6D8A8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0CC840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0F14EA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2024年度财政拨款“三公”经费支出2.11万元，比上年增加0.61万元，增长40.67%，主要原因是：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；公务用车购置及运行维护费支出2.11万元，占100.00%，比上年增加0.61万元，增长40.67%，主要原因是：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462C47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C17FB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1F0C91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公务用车购置及运行维护费2.11万元，其中：公务用车购置费0.00万元，公务用车运行维护费2.11万元。公务用车运行维护费开支内容包括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03950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公务接待费0.00万元，开支内容包括本年度</w:t>
      </w:r>
      <w:r>
        <w:rPr>
          <w:rFonts w:hint="eastAsia" w:ascii="仿宋_GB2312" w:eastAsia="仿宋_GB2312"/>
          <w:sz w:val="32"/>
          <w:szCs w:val="32"/>
          <w:lang w:eastAsia="zh-CN"/>
        </w:rPr>
        <w:t>本单位无公务接待费支出</w:t>
      </w:r>
      <w:r>
        <w:rPr>
          <w:rFonts w:ascii="仿宋_GB2312" w:eastAsia="仿宋_GB2312"/>
          <w:sz w:val="32"/>
          <w:szCs w:val="32"/>
          <w:lang w:eastAsia="zh-CN"/>
        </w:rPr>
        <w:t>。单位全年安排的国内公务接待0批次，0人次。</w:t>
      </w:r>
    </w:p>
    <w:p w14:paraId="71DD9C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与全年预算相比，财政拨款“三公”经费支出全年预算数2.11万元，决算数2.11万元，预决算差异率0.00%，主要原因是：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；公务用车运行维护费全年预算数2.11万元，决算数2.11万元，预决算差异率0.00%，主要原因是：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DBFD3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3168C9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31D66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2024年度乌鲁木齐市米东区红十字会单位（行政单位和参照公务员法管理事业单位）机关运行经费支出4.03万元，比上年减少1.71万元，下降29.79%，主要原因是：单位本年</w:t>
      </w:r>
      <w:r>
        <w:rPr>
          <w:rFonts w:hint="eastAsia" w:ascii="仿宋_GB2312" w:eastAsia="仿宋_GB2312"/>
          <w:sz w:val="32"/>
          <w:szCs w:val="32"/>
          <w:lang w:eastAsia="zh-CN"/>
        </w:rPr>
        <w:t>办公费、印刷费、维修（护）费、福利费减少</w:t>
      </w:r>
      <w:r>
        <w:rPr>
          <w:rFonts w:ascii="仿宋_GB2312" w:eastAsia="仿宋_GB2312"/>
          <w:sz w:val="32"/>
          <w:szCs w:val="32"/>
          <w:lang w:eastAsia="zh-CN"/>
        </w:rPr>
        <w:t>。</w:t>
      </w:r>
    </w:p>
    <w:p w14:paraId="09F6470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80F1D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6F8EC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16A5BA1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EE163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19.99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57AA102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47869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61.47万元，实际执行总额57.94万元；预算绩效评价项目0个，全年预算数0.00万元，全年执行数0.00万元。预算绩效管理取得的成效：一是我会资金支出均按照财务管理和经费管理的各项规章制度执行</w:t>
      </w:r>
      <w:r>
        <w:rPr>
          <w:rFonts w:hint="eastAsia" w:ascii="仿宋_GB2312" w:eastAsia="仿宋_GB2312"/>
          <w:sz w:val="32"/>
          <w:szCs w:val="32"/>
          <w:lang w:eastAsia="zh-CN"/>
        </w:rPr>
        <w:t>，具</w:t>
      </w:r>
      <w:r>
        <w:rPr>
          <w:rFonts w:ascii="仿宋_GB2312" w:eastAsia="仿宋_GB2312"/>
          <w:sz w:val="32"/>
          <w:szCs w:val="32"/>
          <w:lang w:eastAsia="zh-CN"/>
        </w:rPr>
        <w:t>有完整的审批程序和手续，符合项目预算批复或合同规定的用途，不存在截留、</w:t>
      </w:r>
      <w:r>
        <w:rPr>
          <w:rFonts w:hint="eastAsia" w:ascii="仿宋_GB2312" w:eastAsia="仿宋_GB2312"/>
          <w:sz w:val="32"/>
          <w:szCs w:val="32"/>
          <w:lang w:eastAsia="zh-CN"/>
        </w:rPr>
        <w:t>挤占</w:t>
      </w:r>
      <w:r>
        <w:rPr>
          <w:rFonts w:ascii="仿宋_GB2312" w:eastAsia="仿宋_GB2312"/>
          <w:sz w:val="32"/>
          <w:szCs w:val="32"/>
          <w:lang w:eastAsia="zh-CN"/>
        </w:rPr>
        <w:t>、挪用、虚列支出等情况，不存在违法违规行为。会计核算按照新的政府会计制度进行，政府的会计改革与会计预算绩效管理相辅相成相互推进，形成了会计管理的良性循环。我单位重视加强内控制度，重视内部管理制度建设及监督，加强财务管理、强化财务监督、增强法纪观念，遵守规章制度。通过强化制度执行，切实做好全面落实各项管理制度要求，努力降低行政成本，保障了我单位高效</w:t>
      </w:r>
      <w:r>
        <w:rPr>
          <w:rFonts w:hint="eastAsia" w:ascii="仿宋_GB2312" w:eastAsia="仿宋_GB2312"/>
          <w:sz w:val="32"/>
          <w:szCs w:val="32"/>
          <w:lang w:eastAsia="zh-CN"/>
        </w:rPr>
        <w:t>地履行</w:t>
      </w:r>
      <w:r>
        <w:rPr>
          <w:rFonts w:ascii="仿宋_GB2312" w:eastAsia="仿宋_GB2312"/>
          <w:sz w:val="32"/>
          <w:szCs w:val="32"/>
          <w:lang w:eastAsia="zh-CN"/>
        </w:rPr>
        <w:t>工作职能，较好</w:t>
      </w:r>
      <w:r>
        <w:rPr>
          <w:rFonts w:hint="eastAsia" w:ascii="仿宋_GB2312" w:eastAsia="仿宋_GB2312"/>
          <w:sz w:val="32"/>
          <w:szCs w:val="32"/>
          <w:lang w:eastAsia="zh-CN"/>
        </w:rPr>
        <w:t>地</w:t>
      </w:r>
      <w:r>
        <w:rPr>
          <w:rFonts w:ascii="仿宋_GB2312" w:eastAsia="仿宋_GB2312"/>
          <w:sz w:val="32"/>
          <w:szCs w:val="32"/>
          <w:lang w:eastAsia="zh-CN"/>
        </w:rPr>
        <w:t>促进了事业发展；二是我会则会依据项目预算及《内控制度》，减少成本支出，通过“三重一大”会议上会审议研究通过相关经费支出，严格按照制度规定的标准执行，物品采购严格按照政府采购或者进行招投标程序进行采购组织项目开展，实施成本控制。发现的问题及原因：一是部门职能不明确，个别工作分工不清晰，且人员培训和绩效考核制度不够完善，考核方案部分内容和人员名单更新滞后；二是预算编制合理性相对不足，主要表现在预算调整数较大，年度目标与长期规划衔接的紧密程度需要增强。预算精细化管理还需完善，预算编制管理水平仍有进一步提升的空间；三是绩效指标的明确性、可衡量性、相关性还需进一步提升。部门整体绩效指标需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加强绩效业务学习及培训，提高业务人员绩效管理</w:t>
      </w:r>
      <w:r>
        <w:rPr>
          <w:rFonts w:hint="eastAsia" w:ascii="仿宋_GB2312" w:eastAsia="仿宋_GB2312"/>
          <w:sz w:val="32"/>
          <w:szCs w:val="32"/>
          <w:lang w:eastAsia="zh-CN"/>
        </w:rPr>
        <w:t>，</w:t>
      </w:r>
      <w:r>
        <w:rPr>
          <w:rFonts w:ascii="仿宋_GB2312" w:eastAsia="仿宋_GB2312"/>
          <w:sz w:val="32"/>
          <w:szCs w:val="32"/>
          <w:lang w:eastAsia="zh-CN"/>
        </w:rPr>
        <w:t>进一步加强预算绩效管理工作，优化项目支出绩效指标体系，完善预算绩效管理制度，有效推动我单位下一年度预算绩效管理工作常态化、规范化；二是提高部门整体支出绩效目标设定的合理性。要树立全局观，在执行部门整体绩效管理工作时，从部门的法定职能入手，围绕事业发展规划等，以预算资金为主线，统筹考虑任务目标和大事要事清单，梳理集中反映部门履职效能、社会效应等效果的个性化、效益类绩效指标。同时强化绩效执行工作，制定专人负责预算执行监督管理，进一步推动预算绩效管理工作，绩效工作应从源头抓起，评价工作和意识应贯穿绩效的整个过程；三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具体附部门整体支出绩效自评表。</w:t>
      </w:r>
    </w:p>
    <w:p w14:paraId="2FBEFFAE">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1A6B29DA">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C31430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9171C23">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8E4105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052F1E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乌鲁木齐市米东区红十字会</w:t>
            </w:r>
          </w:p>
        </w:tc>
      </w:tr>
      <w:tr w14:paraId="44E60BC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69F2FC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3F99115">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83FA2A7">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C4FBA3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9A75F6B">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65044F6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1662F5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832835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34B3E6F">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5FBE4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C132E2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6DDE316">
            <w:pPr>
              <w:jc w:val="center"/>
              <w:rPr>
                <w:rFonts w:hint="eastAsia" w:ascii="宋体" w:hAnsi="宋体" w:eastAsia="宋体" w:cs="宋体"/>
                <w:sz w:val="18"/>
                <w:szCs w:val="18"/>
              </w:rPr>
            </w:pPr>
            <w:r>
              <w:rPr>
                <w:rFonts w:hint="eastAsia" w:ascii="宋体" w:hAnsi="宋体" w:eastAsia="宋体" w:cs="宋体"/>
                <w:sz w:val="18"/>
                <w:szCs w:val="18"/>
              </w:rPr>
              <w:t>53.71</w:t>
            </w:r>
          </w:p>
        </w:tc>
        <w:tc>
          <w:tcPr>
            <w:tcW w:w="1276" w:type="dxa"/>
            <w:tcBorders>
              <w:top w:val="nil"/>
              <w:left w:val="nil"/>
              <w:bottom w:val="single" w:color="auto" w:sz="4" w:space="0"/>
              <w:right w:val="single" w:color="auto" w:sz="4" w:space="0"/>
            </w:tcBorders>
            <w:vAlign w:val="center"/>
          </w:tcPr>
          <w:p w14:paraId="295D8BD3">
            <w:pPr>
              <w:jc w:val="center"/>
              <w:rPr>
                <w:rFonts w:hint="eastAsia" w:ascii="宋体" w:hAnsi="宋体" w:eastAsia="宋体" w:cs="宋体"/>
                <w:sz w:val="18"/>
                <w:szCs w:val="18"/>
              </w:rPr>
            </w:pPr>
            <w:r>
              <w:rPr>
                <w:rFonts w:hint="eastAsia" w:ascii="宋体" w:hAnsi="宋体" w:eastAsia="宋体" w:cs="宋体"/>
                <w:sz w:val="18"/>
                <w:szCs w:val="18"/>
              </w:rPr>
              <w:t>61.47</w:t>
            </w:r>
          </w:p>
        </w:tc>
        <w:tc>
          <w:tcPr>
            <w:tcW w:w="1701" w:type="dxa"/>
            <w:tcBorders>
              <w:top w:val="nil"/>
              <w:left w:val="nil"/>
              <w:bottom w:val="single" w:color="auto" w:sz="4" w:space="0"/>
              <w:right w:val="single" w:color="auto" w:sz="4" w:space="0"/>
            </w:tcBorders>
            <w:vAlign w:val="center"/>
          </w:tcPr>
          <w:p w14:paraId="04C9E669">
            <w:pPr>
              <w:jc w:val="center"/>
              <w:rPr>
                <w:rFonts w:hint="eastAsia" w:ascii="宋体" w:hAnsi="宋体" w:eastAsia="宋体" w:cs="宋体"/>
                <w:sz w:val="18"/>
                <w:szCs w:val="18"/>
              </w:rPr>
            </w:pPr>
            <w:r>
              <w:rPr>
                <w:rFonts w:hint="eastAsia" w:ascii="宋体" w:hAnsi="宋体" w:eastAsia="宋体" w:cs="宋体"/>
                <w:sz w:val="18"/>
                <w:szCs w:val="18"/>
              </w:rPr>
              <w:t>57.94</w:t>
            </w:r>
          </w:p>
        </w:tc>
        <w:tc>
          <w:tcPr>
            <w:tcW w:w="1134" w:type="dxa"/>
            <w:tcBorders>
              <w:top w:val="nil"/>
              <w:left w:val="nil"/>
              <w:bottom w:val="single" w:color="auto" w:sz="4" w:space="0"/>
              <w:right w:val="single" w:color="auto" w:sz="4" w:space="0"/>
            </w:tcBorders>
            <w:vAlign w:val="center"/>
          </w:tcPr>
          <w:p w14:paraId="50990BE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A6B95BC">
            <w:pPr>
              <w:jc w:val="center"/>
              <w:rPr>
                <w:rFonts w:hint="eastAsia" w:ascii="宋体" w:hAnsi="宋体" w:eastAsia="宋体" w:cs="宋体"/>
                <w:sz w:val="18"/>
                <w:szCs w:val="18"/>
              </w:rPr>
            </w:pPr>
            <w:r>
              <w:rPr>
                <w:rFonts w:hint="eastAsia" w:ascii="宋体" w:hAnsi="宋体" w:eastAsia="宋体" w:cs="宋体"/>
                <w:sz w:val="18"/>
                <w:szCs w:val="18"/>
              </w:rPr>
              <w:t>94.26%</w:t>
            </w:r>
          </w:p>
        </w:tc>
        <w:tc>
          <w:tcPr>
            <w:tcW w:w="720" w:type="dxa"/>
            <w:tcBorders>
              <w:top w:val="nil"/>
              <w:left w:val="nil"/>
              <w:bottom w:val="single" w:color="auto" w:sz="4" w:space="0"/>
              <w:right w:val="single" w:color="auto" w:sz="4" w:space="0"/>
            </w:tcBorders>
            <w:vAlign w:val="center"/>
          </w:tcPr>
          <w:p w14:paraId="2C5C12D5">
            <w:pPr>
              <w:jc w:val="center"/>
              <w:rPr>
                <w:rFonts w:hint="eastAsia" w:ascii="宋体" w:hAnsi="宋体" w:eastAsia="宋体" w:cs="宋体"/>
                <w:sz w:val="18"/>
                <w:szCs w:val="18"/>
              </w:rPr>
            </w:pPr>
            <w:r>
              <w:rPr>
                <w:rFonts w:hint="eastAsia" w:ascii="宋体" w:hAnsi="宋体" w:eastAsia="宋体" w:cs="宋体"/>
                <w:sz w:val="18"/>
                <w:szCs w:val="18"/>
              </w:rPr>
              <w:t>9.43</w:t>
            </w:r>
          </w:p>
        </w:tc>
      </w:tr>
      <w:tr w14:paraId="509AF8EF">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A705F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A9D705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4EB5A4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3F310C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ED6E0C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47B224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2DE65F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8FA97B6">
            <w:pPr>
              <w:jc w:val="center"/>
              <w:rPr>
                <w:rFonts w:hint="eastAsia" w:ascii="宋体" w:hAnsi="宋体" w:eastAsia="宋体" w:cs="宋体"/>
                <w:sz w:val="18"/>
                <w:szCs w:val="18"/>
              </w:rPr>
            </w:pPr>
            <w:r>
              <w:rPr>
                <w:rFonts w:hint="eastAsia" w:ascii="宋体" w:hAnsi="宋体" w:eastAsia="宋体"/>
                <w:sz w:val="18"/>
                <w:szCs w:val="18"/>
              </w:rPr>
              <w:t>-</w:t>
            </w:r>
          </w:p>
        </w:tc>
      </w:tr>
      <w:tr w14:paraId="22EBDFB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4CBE2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F284D30">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82614E8">
            <w:pPr>
              <w:jc w:val="center"/>
              <w:rPr>
                <w:rFonts w:hint="eastAsia" w:ascii="宋体" w:hAnsi="宋体" w:eastAsia="宋体" w:cs="宋体"/>
                <w:sz w:val="18"/>
                <w:szCs w:val="18"/>
              </w:rPr>
            </w:pPr>
            <w:r>
              <w:rPr>
                <w:rFonts w:hint="eastAsia" w:ascii="宋体" w:hAnsi="宋体" w:eastAsia="宋体" w:cs="宋体"/>
                <w:sz w:val="18"/>
                <w:szCs w:val="18"/>
              </w:rPr>
              <w:t>53.71</w:t>
            </w:r>
          </w:p>
        </w:tc>
        <w:tc>
          <w:tcPr>
            <w:tcW w:w="1276" w:type="dxa"/>
            <w:tcBorders>
              <w:top w:val="nil"/>
              <w:left w:val="nil"/>
              <w:bottom w:val="single" w:color="auto" w:sz="4" w:space="0"/>
              <w:right w:val="single" w:color="auto" w:sz="4" w:space="0"/>
            </w:tcBorders>
            <w:vAlign w:val="center"/>
          </w:tcPr>
          <w:p w14:paraId="67FD0CD4">
            <w:pPr>
              <w:jc w:val="center"/>
              <w:rPr>
                <w:rFonts w:hint="eastAsia" w:ascii="宋体" w:hAnsi="宋体" w:eastAsia="宋体" w:cs="宋体"/>
                <w:sz w:val="18"/>
                <w:szCs w:val="18"/>
              </w:rPr>
            </w:pPr>
            <w:r>
              <w:rPr>
                <w:rFonts w:hint="eastAsia" w:ascii="宋体" w:hAnsi="宋体" w:eastAsia="宋体" w:cs="宋体"/>
                <w:sz w:val="18"/>
                <w:szCs w:val="18"/>
              </w:rPr>
              <w:t>61.47</w:t>
            </w:r>
          </w:p>
        </w:tc>
        <w:tc>
          <w:tcPr>
            <w:tcW w:w="1701" w:type="dxa"/>
            <w:tcBorders>
              <w:top w:val="nil"/>
              <w:left w:val="nil"/>
              <w:bottom w:val="single" w:color="auto" w:sz="4" w:space="0"/>
              <w:right w:val="single" w:color="auto" w:sz="4" w:space="0"/>
            </w:tcBorders>
            <w:vAlign w:val="center"/>
          </w:tcPr>
          <w:p w14:paraId="71E2074A">
            <w:pPr>
              <w:jc w:val="center"/>
              <w:rPr>
                <w:rFonts w:hint="eastAsia" w:ascii="宋体" w:hAnsi="宋体" w:eastAsia="宋体" w:cs="宋体"/>
                <w:sz w:val="18"/>
                <w:szCs w:val="18"/>
              </w:rPr>
            </w:pPr>
            <w:r>
              <w:rPr>
                <w:rFonts w:hint="eastAsia" w:ascii="宋体" w:hAnsi="宋体" w:eastAsia="宋体" w:cs="宋体"/>
                <w:sz w:val="18"/>
                <w:szCs w:val="18"/>
              </w:rPr>
              <w:t>57.94</w:t>
            </w:r>
          </w:p>
        </w:tc>
        <w:tc>
          <w:tcPr>
            <w:tcW w:w="1134" w:type="dxa"/>
            <w:tcBorders>
              <w:top w:val="nil"/>
              <w:left w:val="nil"/>
              <w:bottom w:val="single" w:color="auto" w:sz="4" w:space="0"/>
              <w:right w:val="single" w:color="auto" w:sz="4" w:space="0"/>
            </w:tcBorders>
            <w:vAlign w:val="center"/>
          </w:tcPr>
          <w:p w14:paraId="073E9FC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883DBA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58F3B89">
            <w:pPr>
              <w:jc w:val="center"/>
              <w:rPr>
                <w:rFonts w:hint="eastAsia" w:ascii="宋体" w:hAnsi="宋体" w:eastAsia="宋体" w:cs="宋体"/>
                <w:sz w:val="18"/>
                <w:szCs w:val="18"/>
              </w:rPr>
            </w:pPr>
            <w:r>
              <w:rPr>
                <w:rFonts w:hint="eastAsia" w:ascii="宋体" w:hAnsi="宋体" w:eastAsia="宋体"/>
                <w:sz w:val="18"/>
                <w:szCs w:val="18"/>
              </w:rPr>
              <w:t>-</w:t>
            </w:r>
          </w:p>
        </w:tc>
      </w:tr>
      <w:tr w14:paraId="3248E8A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DF368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DF21147">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A8D779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032529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597708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DC4C6AD">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106E0A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FE5E9D7">
            <w:pPr>
              <w:jc w:val="center"/>
              <w:rPr>
                <w:rFonts w:hint="eastAsia" w:ascii="宋体" w:hAnsi="宋体" w:eastAsia="宋体" w:cs="宋体"/>
                <w:sz w:val="18"/>
                <w:szCs w:val="18"/>
              </w:rPr>
            </w:pPr>
            <w:r>
              <w:rPr>
                <w:rFonts w:hint="eastAsia" w:ascii="宋体" w:hAnsi="宋体" w:eastAsia="宋体" w:cs="宋体"/>
                <w:sz w:val="18"/>
                <w:szCs w:val="18"/>
              </w:rPr>
              <w:t>-</w:t>
            </w:r>
          </w:p>
        </w:tc>
      </w:tr>
      <w:tr w14:paraId="1D030D24">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211096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2A1C479">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2FB47ED">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0492CBE">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1BE0D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D8D6BE0">
            <w:pPr>
              <w:rPr>
                <w:rFonts w:hint="eastAsia" w:ascii="宋体" w:hAnsi="宋体" w:eastAsia="宋体" w:cs="宋体"/>
                <w:sz w:val="18"/>
                <w:szCs w:val="18"/>
                <w:lang w:eastAsia="zh-CN"/>
              </w:rPr>
            </w:pPr>
            <w:r>
              <w:rPr>
                <w:rFonts w:hint="eastAsia" w:ascii="宋体" w:hAnsi="宋体" w:eastAsia="宋体" w:cs="宋体"/>
                <w:sz w:val="18"/>
                <w:szCs w:val="18"/>
                <w:lang w:eastAsia="zh-CN"/>
              </w:rPr>
              <w:t>主要职责：(</w:t>
            </w:r>
            <w:bookmarkStart w:id="0" w:name="_GoBack"/>
            <w:bookmarkEnd w:id="0"/>
            <w:r>
              <w:rPr>
                <w:rFonts w:hint="eastAsia" w:ascii="宋体" w:hAnsi="宋体" w:eastAsia="宋体" w:cs="宋体"/>
                <w:sz w:val="18"/>
                <w:szCs w:val="18"/>
                <w:lang w:eastAsia="zh-CN"/>
              </w:rPr>
              <w:t>一)开展救灾的准备工作;在自然灾害和突发事件中，对伤病人员和其他受害者进行救助;(二)普及卫生救护和防病知识，进行初级卫生救护培训，组织群众参加现场救护;参与输血献血工作，推动无偿献血;开展其他人道主义服务活动;(三)开展红十字青少年活动;(四)参加国际人道主义援助工作;(五)宣传国际红十字会和红新月运动的基本原则和日内瓦公约及其附加议定书;(六)依照国际红十字和红新月运动的基本原则，完成人民政府委托事宜;(七)依照日内瓦公约及其附加议定书的有关规定开展工作;(八)完成区委、区政府交办的其他工作。2024年重点工作：（一）聚焦“三救”覆盖面，惠及更多民生；（二）加强红十字文化宣传，提升红十字社会知晓率；（三）持续推进应急救护“五进”工作，开展“关爱生命，'救'在身边”宣传活动；（四）推进基层红十字会工作，夯实基层红十字会工作；（五）坚持依法治会，提高红十字会社会公信力；</w:t>
            </w:r>
          </w:p>
        </w:tc>
        <w:tc>
          <w:tcPr>
            <w:tcW w:w="4547" w:type="dxa"/>
            <w:gridSpan w:val="4"/>
            <w:tcBorders>
              <w:top w:val="single" w:color="auto" w:sz="4" w:space="0"/>
              <w:left w:val="nil"/>
              <w:bottom w:val="single" w:color="auto" w:sz="4" w:space="0"/>
              <w:right w:val="single" w:color="auto" w:sz="4" w:space="0"/>
            </w:tcBorders>
          </w:tcPr>
          <w:p w14:paraId="15704D10">
            <w:pPr>
              <w:rPr>
                <w:rFonts w:hint="eastAsia" w:ascii="宋体" w:hAnsi="宋体" w:eastAsia="宋体" w:cs="宋体"/>
                <w:sz w:val="18"/>
                <w:szCs w:val="18"/>
              </w:rPr>
            </w:pPr>
            <w:r>
              <w:rPr>
                <w:rFonts w:hint="eastAsia" w:ascii="宋体" w:hAnsi="宋体" w:eastAsia="宋体" w:cs="宋体"/>
                <w:sz w:val="18"/>
                <w:szCs w:val="18"/>
                <w:lang w:eastAsia="zh-CN"/>
              </w:rPr>
              <w:t>（一）人道救助工作成效显著持续开展“博爱送万家”活动：2024年春节期间开展“迎新春送温暖红十字博爱送万家”活动，累计投入资金19万余元，通过志愿服务队和基层红十字会送到城乡困难群众、遗体器官捐献者困难家属及红十字志愿者手中，慰问走访1061户困难家庭，覆盖困难群众4244人，先心病救助2人。（二）不断夯实红十字会基层组织加强红十字基层组织体系建设，截止目前，在30所中小学建立红十字会基层组织，做到基层组织教育系统全覆盖。新增红十字会员2806人，新增注册志愿者74人，新增红十字志愿服务队队伍1个。建立了红十字会机关、街道（乡镇）、社区（村）、区属学校四级的213人信息员队伍，积极宣传红十字会法律法规、红十字运动和“三救三献”核心业务等内容。在米东区零距离发布信息7篇，向市红会报送信息10篇，采用6篇，向自治区红十字会报送信息10篇，采用2篇。有效传播红十字理念，弘扬红十字精神。（三）不断深入推进应急救护“五进”工作针对各企业、单位共开展各类演练培训30场次；对24个已建立应急救护示范社区完成复训，共600名志愿者参与复训。2024年进校园培训近6万人，进社区培训3016人，进机关培训1259人，进农村培训1475人，进企业培训276人。（四）稳步推进无偿献血、遗体、人体器官、造血干细胞捐献宣传登记工作积极在社区、学校、企业等场所开展无偿献血宣传活动，提高公众对无偿献血的认知度与参与度；提高遗体、人体器官、造血干细胞捐献登记率，2024年新增人体器官捐献志愿登记者15人，2024年采集造血干细胞血样67人份，举办了1场遗体、人体器官捐献登记志愿者及家属座谈会，组织遗体、人体器官家属参加了1场捐献缅怀纪念活动。（五）不断拓展人道资金募集渠道秉承“人道、博爱、奉献”的红十字精神，积极拓宽筹资范围，搭建企业和困难群众之间的爱心桥梁，动员更多的社会力量参与到红十字会事业中，不断提升人道救助和服务能力。</w:t>
            </w:r>
            <w:r>
              <w:rPr>
                <w:rFonts w:hint="eastAsia" w:ascii="宋体" w:hAnsi="宋体" w:eastAsia="宋体" w:cs="宋体"/>
                <w:sz w:val="18"/>
                <w:szCs w:val="18"/>
              </w:rPr>
              <w:t>今年，共计收到捐款328418元。</w:t>
            </w:r>
          </w:p>
        </w:tc>
      </w:tr>
      <w:tr w14:paraId="716B26A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24624E7">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8028E6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51CFE9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5460FC5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7BE7D7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1E0E7F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C30F55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D40939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448EDA1">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6B5C45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63AB73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592AE5D">
            <w:pPr>
              <w:jc w:val="center"/>
              <w:rPr>
                <w:rFonts w:hint="eastAsia" w:ascii="宋体" w:hAnsi="宋体" w:eastAsia="宋体" w:cs="宋体"/>
                <w:sz w:val="18"/>
                <w:szCs w:val="18"/>
              </w:rPr>
            </w:pPr>
            <w:r>
              <w:rPr>
                <w:rFonts w:hint="eastAsia" w:ascii="宋体" w:hAnsi="宋体" w:eastAsia="宋体" w:cs="宋体"/>
                <w:sz w:val="18"/>
                <w:szCs w:val="18"/>
              </w:rPr>
              <w:t>应急救护演练场次</w:t>
            </w:r>
          </w:p>
        </w:tc>
        <w:tc>
          <w:tcPr>
            <w:tcW w:w="1276" w:type="dxa"/>
            <w:tcBorders>
              <w:top w:val="nil"/>
              <w:left w:val="nil"/>
              <w:bottom w:val="single" w:color="auto" w:sz="4" w:space="0"/>
              <w:right w:val="single" w:color="auto" w:sz="4" w:space="0"/>
            </w:tcBorders>
            <w:noWrap/>
            <w:vAlign w:val="center"/>
          </w:tcPr>
          <w:p w14:paraId="2737FE6D">
            <w:pPr>
              <w:jc w:val="center"/>
              <w:rPr>
                <w:rFonts w:hint="eastAsia" w:ascii="宋体" w:hAnsi="宋体" w:eastAsia="宋体" w:cs="宋体"/>
                <w:sz w:val="18"/>
                <w:szCs w:val="18"/>
              </w:rPr>
            </w:pPr>
            <w:r>
              <w:rPr>
                <w:rFonts w:hint="eastAsia" w:ascii="宋体" w:hAnsi="宋体" w:eastAsia="宋体" w:cs="宋体"/>
                <w:sz w:val="18"/>
                <w:szCs w:val="18"/>
              </w:rPr>
              <w:t>&gt;=30场</w:t>
            </w:r>
          </w:p>
        </w:tc>
        <w:tc>
          <w:tcPr>
            <w:tcW w:w="1701" w:type="dxa"/>
            <w:tcBorders>
              <w:top w:val="nil"/>
              <w:left w:val="nil"/>
              <w:bottom w:val="single" w:color="auto" w:sz="4" w:space="0"/>
              <w:right w:val="single" w:color="auto" w:sz="4" w:space="0"/>
            </w:tcBorders>
            <w:noWrap/>
            <w:vAlign w:val="center"/>
          </w:tcPr>
          <w:p w14:paraId="2A2870D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新疆维吾尔自治区红十字会条例</w:t>
            </w:r>
          </w:p>
        </w:tc>
        <w:tc>
          <w:tcPr>
            <w:tcW w:w="1134" w:type="dxa"/>
            <w:tcBorders>
              <w:top w:val="nil"/>
              <w:left w:val="nil"/>
              <w:bottom w:val="single" w:color="auto" w:sz="4" w:space="0"/>
              <w:right w:val="single" w:color="auto" w:sz="4" w:space="0"/>
            </w:tcBorders>
            <w:noWrap/>
            <w:vAlign w:val="center"/>
          </w:tcPr>
          <w:p w14:paraId="6C7EC33F">
            <w:pPr>
              <w:jc w:val="center"/>
              <w:rPr>
                <w:rFonts w:hint="eastAsia" w:ascii="宋体" w:hAnsi="宋体" w:eastAsia="宋体" w:cs="宋体"/>
                <w:sz w:val="18"/>
                <w:szCs w:val="18"/>
              </w:rPr>
            </w:pPr>
            <w:r>
              <w:rPr>
                <w:rFonts w:hint="eastAsia" w:ascii="宋体" w:hAnsi="宋体" w:eastAsia="宋体" w:cs="宋体"/>
                <w:sz w:val="18"/>
                <w:szCs w:val="18"/>
              </w:rPr>
              <w:t>30场次</w:t>
            </w:r>
          </w:p>
        </w:tc>
        <w:tc>
          <w:tcPr>
            <w:tcW w:w="992" w:type="dxa"/>
            <w:tcBorders>
              <w:top w:val="nil"/>
              <w:left w:val="nil"/>
              <w:bottom w:val="single" w:color="auto" w:sz="4" w:space="0"/>
              <w:right w:val="single" w:color="auto" w:sz="4" w:space="0"/>
            </w:tcBorders>
            <w:noWrap/>
            <w:vAlign w:val="center"/>
          </w:tcPr>
          <w:p w14:paraId="5615367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6D7EA6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B00351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1CD0FC6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86FB6C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0C32B4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建立基层红十字会组织</w:t>
            </w:r>
          </w:p>
        </w:tc>
        <w:tc>
          <w:tcPr>
            <w:tcW w:w="1276" w:type="dxa"/>
            <w:tcBorders>
              <w:top w:val="nil"/>
              <w:left w:val="nil"/>
              <w:bottom w:val="single" w:color="auto" w:sz="4" w:space="0"/>
              <w:right w:val="single" w:color="auto" w:sz="4" w:space="0"/>
            </w:tcBorders>
            <w:noWrap/>
            <w:vAlign w:val="center"/>
          </w:tcPr>
          <w:p w14:paraId="2A605E32">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nil"/>
              <w:left w:val="nil"/>
              <w:bottom w:val="single" w:color="auto" w:sz="4" w:space="0"/>
              <w:right w:val="single" w:color="auto" w:sz="4" w:space="0"/>
            </w:tcBorders>
            <w:noWrap/>
            <w:vAlign w:val="center"/>
          </w:tcPr>
          <w:p w14:paraId="4E0A735D">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新疆维吾尔自治区红十字会条例</w:t>
            </w:r>
          </w:p>
        </w:tc>
        <w:tc>
          <w:tcPr>
            <w:tcW w:w="1134" w:type="dxa"/>
            <w:tcBorders>
              <w:top w:val="nil"/>
              <w:left w:val="nil"/>
              <w:bottom w:val="single" w:color="auto" w:sz="4" w:space="0"/>
              <w:right w:val="single" w:color="auto" w:sz="4" w:space="0"/>
            </w:tcBorders>
            <w:noWrap/>
            <w:vAlign w:val="center"/>
          </w:tcPr>
          <w:p w14:paraId="01F89067">
            <w:pPr>
              <w:jc w:val="center"/>
              <w:rPr>
                <w:rFonts w:hint="eastAsia" w:ascii="宋体" w:hAnsi="宋体" w:eastAsia="宋体" w:cs="宋体"/>
                <w:sz w:val="18"/>
                <w:szCs w:val="18"/>
              </w:rPr>
            </w:pPr>
            <w:r>
              <w:rPr>
                <w:rFonts w:hint="eastAsia" w:ascii="宋体" w:hAnsi="宋体" w:eastAsia="宋体" w:cs="宋体"/>
                <w:sz w:val="18"/>
                <w:szCs w:val="18"/>
              </w:rPr>
              <w:t>30个</w:t>
            </w:r>
          </w:p>
        </w:tc>
        <w:tc>
          <w:tcPr>
            <w:tcW w:w="992" w:type="dxa"/>
            <w:tcBorders>
              <w:top w:val="nil"/>
              <w:left w:val="nil"/>
              <w:bottom w:val="single" w:color="auto" w:sz="4" w:space="0"/>
              <w:right w:val="single" w:color="auto" w:sz="4" w:space="0"/>
            </w:tcBorders>
            <w:noWrap/>
            <w:vAlign w:val="center"/>
          </w:tcPr>
          <w:p w14:paraId="37C87C3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150FCD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05EEB6BF">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202B38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CAD8CD9">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90115A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临时救助困难群众数量</w:t>
            </w:r>
          </w:p>
        </w:tc>
        <w:tc>
          <w:tcPr>
            <w:tcW w:w="1276" w:type="dxa"/>
            <w:tcBorders>
              <w:top w:val="single" w:color="auto" w:sz="4" w:space="0"/>
              <w:left w:val="nil"/>
              <w:bottom w:val="single" w:color="auto" w:sz="4" w:space="0"/>
              <w:right w:val="single" w:color="auto" w:sz="4" w:space="0"/>
            </w:tcBorders>
            <w:noWrap/>
            <w:vAlign w:val="center"/>
          </w:tcPr>
          <w:p w14:paraId="39A8AA0B">
            <w:pPr>
              <w:jc w:val="center"/>
              <w:rPr>
                <w:rFonts w:hint="eastAsia" w:ascii="宋体" w:hAnsi="宋体" w:eastAsia="宋体" w:cs="宋体"/>
                <w:sz w:val="18"/>
                <w:szCs w:val="18"/>
              </w:rPr>
            </w:pPr>
            <w:r>
              <w:rPr>
                <w:rFonts w:hint="eastAsia" w:ascii="宋体" w:hAnsi="宋体" w:eastAsia="宋体" w:cs="宋体"/>
                <w:sz w:val="18"/>
                <w:szCs w:val="18"/>
              </w:rPr>
              <w:t>&gt;=60户</w:t>
            </w:r>
          </w:p>
        </w:tc>
        <w:tc>
          <w:tcPr>
            <w:tcW w:w="1701" w:type="dxa"/>
            <w:tcBorders>
              <w:top w:val="single" w:color="auto" w:sz="4" w:space="0"/>
              <w:left w:val="nil"/>
              <w:bottom w:val="single" w:color="auto" w:sz="4" w:space="0"/>
              <w:right w:val="single" w:color="auto" w:sz="4" w:space="0"/>
            </w:tcBorders>
            <w:noWrap/>
            <w:vAlign w:val="center"/>
          </w:tcPr>
          <w:p w14:paraId="169043F0">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新疆维吾尔自治区红十字会条例</w:t>
            </w:r>
          </w:p>
        </w:tc>
        <w:tc>
          <w:tcPr>
            <w:tcW w:w="1134" w:type="dxa"/>
            <w:tcBorders>
              <w:top w:val="single" w:color="auto" w:sz="4" w:space="0"/>
              <w:left w:val="nil"/>
              <w:bottom w:val="single" w:color="auto" w:sz="4" w:space="0"/>
              <w:right w:val="single" w:color="auto" w:sz="4" w:space="0"/>
            </w:tcBorders>
            <w:noWrap/>
            <w:vAlign w:val="center"/>
          </w:tcPr>
          <w:p w14:paraId="378AFCCB">
            <w:pPr>
              <w:jc w:val="center"/>
              <w:rPr>
                <w:rFonts w:hint="eastAsia" w:ascii="宋体" w:hAnsi="宋体" w:eastAsia="宋体" w:cs="宋体"/>
                <w:sz w:val="18"/>
                <w:szCs w:val="18"/>
              </w:rPr>
            </w:pPr>
            <w:r>
              <w:rPr>
                <w:rFonts w:hint="eastAsia" w:ascii="宋体" w:hAnsi="宋体" w:eastAsia="宋体" w:cs="宋体"/>
                <w:sz w:val="18"/>
                <w:szCs w:val="18"/>
              </w:rPr>
              <w:t>1061户</w:t>
            </w:r>
          </w:p>
        </w:tc>
        <w:tc>
          <w:tcPr>
            <w:tcW w:w="992" w:type="dxa"/>
            <w:tcBorders>
              <w:top w:val="single" w:color="auto" w:sz="4" w:space="0"/>
              <w:left w:val="nil"/>
              <w:bottom w:val="single" w:color="auto" w:sz="4" w:space="0"/>
              <w:right w:val="single" w:color="auto" w:sz="4" w:space="0"/>
            </w:tcBorders>
            <w:noWrap/>
            <w:vAlign w:val="center"/>
          </w:tcPr>
          <w:p w14:paraId="6A10D0D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2287A76">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DDFDE59">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1E56181">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7DA5A7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ECD87CF">
            <w:pPr>
              <w:jc w:val="center"/>
              <w:rPr>
                <w:rFonts w:hint="eastAsia" w:ascii="宋体" w:hAnsi="宋体" w:eastAsia="宋体" w:cs="宋体"/>
                <w:sz w:val="18"/>
                <w:szCs w:val="18"/>
              </w:rPr>
            </w:pPr>
            <w:r>
              <w:rPr>
                <w:rFonts w:hint="eastAsia" w:ascii="宋体" w:hAnsi="宋体" w:eastAsia="宋体" w:cs="宋体"/>
                <w:sz w:val="18"/>
                <w:szCs w:val="18"/>
              </w:rPr>
              <w:t>99.43</w:t>
            </w:r>
          </w:p>
        </w:tc>
      </w:tr>
    </w:tbl>
    <w:p w14:paraId="2061E77B">
      <w:pPr>
        <w:spacing w:after="0" w:line="240" w:lineRule="auto"/>
        <w:ind w:firstLine="640" w:firstLineChars="200"/>
        <w:jc w:val="both"/>
        <w:rPr>
          <w:rFonts w:ascii="仿宋_GB2312" w:eastAsia="仿宋_GB2312"/>
          <w:sz w:val="32"/>
          <w:szCs w:val="32"/>
          <w:lang w:eastAsia="zh-CN"/>
        </w:rPr>
      </w:pPr>
    </w:p>
    <w:p w14:paraId="66FA29C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621BE2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789294C">
      <w:pPr>
        <w:spacing w:after="0" w:line="240" w:lineRule="auto"/>
        <w:ind w:firstLine="640" w:firstLineChars="200"/>
        <w:rPr>
          <w:rFonts w:ascii="仿宋_GB2312" w:eastAsia="仿宋_GB2312"/>
          <w:sz w:val="32"/>
          <w:szCs w:val="32"/>
          <w:lang w:eastAsia="zh-CN"/>
        </w:rPr>
      </w:pPr>
    </w:p>
    <w:p w14:paraId="640232DB">
      <w:pPr>
        <w:rPr>
          <w:lang w:eastAsia="zh-CN"/>
        </w:rPr>
      </w:pPr>
      <w:r>
        <w:rPr>
          <w:sz w:val="0"/>
          <w:szCs w:val="0"/>
          <w:lang w:eastAsia="zh-CN"/>
        </w:rPr>
        <w:br w:type="page"/>
      </w:r>
    </w:p>
    <w:p w14:paraId="4365EB47">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7FFD5F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CC030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3FF91C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E8938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151BD1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7D0EC5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506665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190268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22352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01C095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9F07A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5F467B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C3C5A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6EC4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E692128">
      <w:pPr>
        <w:rPr>
          <w:lang w:eastAsia="zh-CN"/>
        </w:rPr>
      </w:pPr>
      <w:r>
        <w:rPr>
          <w:sz w:val="0"/>
          <w:szCs w:val="0"/>
          <w:lang w:eastAsia="zh-CN"/>
        </w:rPr>
        <w:br w:type="page"/>
      </w:r>
    </w:p>
    <w:p w14:paraId="1229CC7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8955E9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559FE7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884565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7F09D5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4D1281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6FBBC3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2707D3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080B51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4B12FB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8F3FE7"/>
    <w:rsid w:val="00172C21"/>
    <w:rsid w:val="001F2625"/>
    <w:rsid w:val="0020563D"/>
    <w:rsid w:val="00413F95"/>
    <w:rsid w:val="00691B07"/>
    <w:rsid w:val="008F3FE7"/>
    <w:rsid w:val="00C4162E"/>
    <w:rsid w:val="00F05A5C"/>
    <w:rsid w:val="00F937CA"/>
    <w:rsid w:val="28972FB8"/>
    <w:rsid w:val="50A342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7505</Words>
  <Characters>8123</Characters>
  <Lines>255</Lines>
  <Paragraphs>204</Paragraphs>
  <TotalTime>42</TotalTime>
  <ScaleCrop>false</ScaleCrop>
  <LinksUpToDate>false</LinksUpToDate>
  <CharactersWithSpaces>8133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2025-09-29T08:01:00Z</dcterms:created>
  <dc:creator>ldan</dc:creator>
  <cp:lastModifiedBy>W.w</cp:lastModifiedBy>
  <dcterms:modified xsi:type="dcterms:W3CDTF">2025-10-14T09:34:31Z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EE18A399A1F1432FACC23E0BF01B2457_12</vt:lpwstr>
  </property>
</Properties>
</file>