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0A68E" w14:textId="77777777" w:rsidR="003F24EF" w:rsidRDefault="003F24EF">
      <w:pPr>
        <w:spacing w:after="0" w:line="240" w:lineRule="auto"/>
        <w:rPr>
          <w:rFonts w:ascii="宋体" w:eastAsia="宋体" w:hint="eastAsia"/>
          <w:sz w:val="32"/>
          <w:szCs w:val="32"/>
        </w:rPr>
      </w:pPr>
    </w:p>
    <w:p w14:paraId="74125772" w14:textId="77777777" w:rsidR="003F24EF" w:rsidRDefault="003F24EF">
      <w:pPr>
        <w:spacing w:after="0" w:line="240" w:lineRule="auto"/>
        <w:rPr>
          <w:rFonts w:ascii="宋体" w:eastAsia="宋体" w:hint="eastAsia"/>
          <w:sz w:val="44"/>
          <w:szCs w:val="44"/>
        </w:rPr>
      </w:pPr>
    </w:p>
    <w:p w14:paraId="7EB1A3A6" w14:textId="77777777" w:rsidR="003F24EF" w:rsidRDefault="003F24EF">
      <w:pPr>
        <w:spacing w:after="0" w:line="240" w:lineRule="auto"/>
        <w:rPr>
          <w:rFonts w:ascii="宋体" w:eastAsia="宋体" w:hint="eastAsia"/>
          <w:sz w:val="44"/>
          <w:szCs w:val="44"/>
        </w:rPr>
      </w:pPr>
    </w:p>
    <w:p w14:paraId="7FE02597" w14:textId="77777777" w:rsidR="003F24EF" w:rsidRDefault="003F24EF">
      <w:pPr>
        <w:spacing w:after="0" w:line="240" w:lineRule="auto"/>
        <w:rPr>
          <w:rFonts w:ascii="宋体" w:eastAsia="宋体" w:hint="eastAsia"/>
          <w:sz w:val="44"/>
          <w:szCs w:val="44"/>
        </w:rPr>
      </w:pPr>
    </w:p>
    <w:p w14:paraId="550F0FA9" w14:textId="77777777" w:rsidR="003F24EF"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中共乌鲁木齐市米东区委员会宣传部</w:t>
      </w:r>
    </w:p>
    <w:p w14:paraId="3DD89F56" w14:textId="77777777" w:rsidR="003F24EF"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A657105" w14:textId="77777777" w:rsidR="003F24EF" w:rsidRDefault="00000000">
      <w:pPr>
        <w:rPr>
          <w:rFonts w:hint="eastAsia"/>
          <w:lang w:eastAsia="zh-CN"/>
        </w:rPr>
      </w:pPr>
      <w:r>
        <w:rPr>
          <w:sz w:val="0"/>
          <w:szCs w:val="0"/>
          <w:lang w:eastAsia="zh-CN"/>
        </w:rPr>
        <w:br w:type="page"/>
      </w:r>
    </w:p>
    <w:p w14:paraId="60ADB14B" w14:textId="77777777" w:rsidR="003F24EF"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2777A58" w14:textId="77777777" w:rsidR="003F24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C9D2B41"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49139AC"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25E8342" w14:textId="77777777" w:rsidR="003F24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EDE338B"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D6C6106"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1D2E199"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22569D3"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05982D0"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4FC6A7D"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28E10CE"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F278F0C"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BA77B88"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33ABE6B"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FA7B036"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F20014D"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9DED74A"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4F61670"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FC79763"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7077C7D"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53FCB35"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B639D93"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7A0EAD8" w14:textId="77777777" w:rsidR="003F24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35E1D29" w14:textId="77777777" w:rsidR="003F24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C918CAE"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6CEC06E"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4B93845"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0B06FA7"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B84989"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7E9EDF4"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45A73AB"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2D1452A5"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FB35084" w14:textId="77777777" w:rsidR="003F24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D24CA39" w14:textId="77777777" w:rsidR="003F24EF" w:rsidRDefault="00000000">
      <w:pPr>
        <w:rPr>
          <w:rFonts w:hint="eastAsia"/>
          <w:lang w:eastAsia="zh-CN"/>
        </w:rPr>
      </w:pPr>
      <w:r>
        <w:rPr>
          <w:sz w:val="0"/>
          <w:szCs w:val="0"/>
          <w:lang w:eastAsia="zh-CN"/>
        </w:rPr>
        <w:br w:type="page"/>
      </w:r>
    </w:p>
    <w:p w14:paraId="276EA056" w14:textId="77777777" w:rsidR="003F24E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A09BC7C"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290D88F"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（一）研究拟订宣传思想文化工作的方针、政策和事业发展总体规划,按照区委统一部署,协调宣传思想文化系统各部门之间的工作。</w:t>
      </w:r>
    </w:p>
    <w:p w14:paraId="49D0B4EC"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（二）统筹指导协调全区理论研究、理论学习、理论宣传工作，组织推动理论武装工作。</w:t>
      </w:r>
    </w:p>
    <w:p w14:paraId="66B9ACCE"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（三）负责规划组织领导全区思想政治工作和群众性精神文明建设活动；会同相关部门做好全区国防教育工作；配合区委组织部做好党员教育工作；会同有关部门研究和改进群众思想教育工作。</w:t>
      </w:r>
    </w:p>
    <w:p w14:paraId="7C274A53"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负责组织实施全区精神文明建设规划、协调、指导、创建工作，负责规划和统筹协调未成年人思想道德建设工作；统筹指导协调推动精神文化产品的创作和生产，协调组织中华优秀传统文化传承发展有关工作，指导协调推动群众文化建设。</w:t>
      </w:r>
    </w:p>
    <w:p w14:paraId="0A5B5D26"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(五)统筹协调对外宣传工作,指导协调有关部门研究拟订对外宣传工作战略、重大方针政策和对外宣传事业发展总体规划;拟订我区重大问题对外宣传口径。</w:t>
      </w:r>
    </w:p>
    <w:p w14:paraId="6E112C2E"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(六)统筹协调组织开展新闻发布工作;承担我区新闻发布有关组织协调工作,负责区人民政府新闻发布组织实施工作;指导协调政府各部门和各乡镇(片区)的新闻发布工作,推动新闻发言人制度建设。</w:t>
      </w:r>
    </w:p>
    <w:p w14:paraId="23D8D574"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配合组织部门抓好宣传、新闻、文化、出版、社会科学研究等方面宣传文化单位领导班子建设和领导干部的培养、教育、考察和监督工作;负责组织开展宣传思想文化系统干部教育培训和人才工作;组织协调新闻、出版、文艺和政工等系列专业技术职称评审工作。</w:t>
      </w:r>
    </w:p>
    <w:p w14:paraId="5081769E"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(八)对区互联网信息办公室互联网宣传和信息内容管理方面的工作实施方针、政策的指导。</w:t>
      </w:r>
    </w:p>
    <w:p w14:paraId="11B05D13"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(九)承办区委交办的其他事项。</w:t>
      </w:r>
    </w:p>
    <w:p w14:paraId="35EF54EE"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999FCB0"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中共乌鲁木齐市米东区委员会宣传部2024年度，实有人数21人，其中：在职人员18人，增加1人；离休人员0人，较上年无变化；退休人员3人，减少1人。</w:t>
      </w:r>
    </w:p>
    <w:p w14:paraId="637FB7B0" w14:textId="23823BF8"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中共乌鲁木齐市米东区委员会宣传部无下属预算单位，下设2个</w:t>
      </w:r>
      <w:r w:rsidR="006B5187">
        <w:rPr>
          <w:rFonts w:ascii="仿宋_GB2312" w:eastAsia="仿宋_GB2312" w:hint="eastAsia"/>
          <w:sz w:val="32"/>
          <w:szCs w:val="32"/>
          <w:lang w:eastAsia="zh-CN"/>
        </w:rPr>
        <w:t>科</w:t>
      </w:r>
      <w:r>
        <w:rPr>
          <w:rFonts w:ascii="仿宋_GB2312" w:eastAsia="仿宋_GB2312"/>
          <w:sz w:val="32"/>
          <w:szCs w:val="32"/>
          <w:lang w:eastAsia="zh-CN"/>
        </w:rPr>
        <w:t>室，分别是：米东区新闻中心、米东区精神文明创建指导中心。</w:t>
      </w:r>
    </w:p>
    <w:p w14:paraId="35B6CD47" w14:textId="77777777" w:rsidR="003F24EF" w:rsidRDefault="00000000">
      <w:pPr>
        <w:rPr>
          <w:rFonts w:hint="eastAsia"/>
          <w:lang w:eastAsia="zh-CN"/>
        </w:rPr>
      </w:pPr>
      <w:r>
        <w:rPr>
          <w:sz w:val="0"/>
          <w:szCs w:val="0"/>
          <w:lang w:eastAsia="zh-CN"/>
        </w:rPr>
        <w:br w:type="page"/>
      </w:r>
    </w:p>
    <w:p w14:paraId="40EDFDAD" w14:textId="77777777" w:rsidR="003F24E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529AA5F"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A79ADCB"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2024年度收入总计954.42万元，其中：本年收入合计952.42万元，使用非财政拨款结余（含专用结余）0.00万元，年初结转和结余2.00万元。</w:t>
      </w:r>
    </w:p>
    <w:p w14:paraId="190D0FD4"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2024年度支出总计954.42万元，其中：本年支出合计948.42万元，结余分配0.00万元，年末结转和结余6.01万元。</w:t>
      </w:r>
    </w:p>
    <w:p w14:paraId="2524EBA5" w14:textId="2C34E62B"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收入支出总体与上年相比，增加477.65万元，增长100.18%，主要原因是：</w:t>
      </w:r>
      <w:r w:rsidR="006B5187">
        <w:rPr>
          <w:rFonts w:ascii="仿宋_GB2312" w:eastAsia="仿宋_GB2312"/>
          <w:sz w:val="32"/>
          <w:szCs w:val="32"/>
          <w:lang w:eastAsia="zh-CN"/>
        </w:rPr>
        <w:t>单位</w:t>
      </w:r>
      <w:r>
        <w:rPr>
          <w:rFonts w:ascii="仿宋_GB2312" w:eastAsia="仿宋_GB2312"/>
          <w:sz w:val="32"/>
          <w:szCs w:val="32"/>
          <w:lang w:eastAsia="zh-CN"/>
        </w:rPr>
        <w:t>本年宣传思想工作</w:t>
      </w:r>
      <w:r w:rsidR="006B5187">
        <w:rPr>
          <w:rFonts w:ascii="仿宋_GB2312" w:eastAsia="仿宋_GB2312" w:hint="eastAsia"/>
          <w:sz w:val="32"/>
          <w:szCs w:val="32"/>
          <w:lang w:eastAsia="zh-CN"/>
        </w:rPr>
        <w:t>项目</w:t>
      </w:r>
      <w:r>
        <w:rPr>
          <w:rFonts w:ascii="仿宋_GB2312" w:eastAsia="仿宋_GB2312"/>
          <w:sz w:val="32"/>
          <w:szCs w:val="32"/>
          <w:lang w:eastAsia="zh-CN"/>
        </w:rPr>
        <w:t>经费、米东区新时代文明实践中心（所、站）智能电子导视屏项目</w:t>
      </w:r>
      <w:r w:rsidR="006B5187">
        <w:rPr>
          <w:rFonts w:ascii="仿宋_GB2312" w:eastAsia="仿宋_GB2312" w:hint="eastAsia"/>
          <w:sz w:val="32"/>
          <w:szCs w:val="32"/>
          <w:lang w:eastAsia="zh-CN"/>
        </w:rPr>
        <w:t>经费增加</w:t>
      </w:r>
      <w:r>
        <w:rPr>
          <w:rFonts w:ascii="仿宋_GB2312" w:eastAsia="仿宋_GB2312"/>
          <w:sz w:val="32"/>
          <w:szCs w:val="32"/>
          <w:lang w:eastAsia="zh-CN"/>
        </w:rPr>
        <w:t>。</w:t>
      </w:r>
    </w:p>
    <w:p w14:paraId="1470D231"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73C4C96"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本年收入952.42万元，其中：财政拨款收入386.99万元,占40.63%；上级补助收入0.00万元,占0.00%；事业收入0.00万元，占0.00%；经营收入0.00万元,占0.00%；附属单位上缴收入0.00万元，占0.00%；其他收入565.43万元，占59.37%。</w:t>
      </w:r>
    </w:p>
    <w:p w14:paraId="6F52E577"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A39F14D"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本年支出948.42万元，其中：基本支出322.49万元，占34.00%；项目支出625.92万元，占66.00%；上缴上级支出0.00万元，占0.00%；经营支出0.00万元，占0.00%；对附属单位补助支出0.00万元，占0.00%。</w:t>
      </w:r>
    </w:p>
    <w:p w14:paraId="7BEB068A"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266C7BC"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2024年度财政拨款收入总计388.99万元，其中：年初财政拨款结转和结余2.00万元，本年财政拨款收入386.99万元。财政拨款支出总计388.99万元，其中：年末财政拨款结转和结余1.77万元，本年财政拨款支出387.22万元。</w:t>
      </w:r>
    </w:p>
    <w:p w14:paraId="3C09247B" w14:textId="5995B96E"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财政拨款收入支出总体与上年相比，减少87.78万元，下降18.41%，主要原因是：</w:t>
      </w:r>
      <w:r w:rsidR="009A2088">
        <w:rPr>
          <w:rFonts w:ascii="仿宋_GB2312" w:eastAsia="仿宋_GB2312" w:hint="eastAsia"/>
          <w:sz w:val="32"/>
          <w:szCs w:val="32"/>
          <w:lang w:eastAsia="zh-CN"/>
        </w:rPr>
        <w:t>单位本年</w:t>
      </w:r>
      <w:r w:rsidR="009A2088" w:rsidRPr="009A2088">
        <w:rPr>
          <w:rFonts w:ascii="仿宋_GB2312" w:eastAsia="仿宋_GB2312" w:hint="eastAsia"/>
          <w:sz w:val="32"/>
          <w:szCs w:val="32"/>
          <w:lang w:eastAsia="zh-CN"/>
        </w:rPr>
        <w:t>晚报征订及投递费</w:t>
      </w:r>
      <w:r w:rsidR="009A2088">
        <w:rPr>
          <w:rFonts w:ascii="仿宋_GB2312" w:eastAsia="仿宋_GB2312" w:hint="eastAsia"/>
          <w:sz w:val="32"/>
          <w:szCs w:val="32"/>
          <w:lang w:eastAsia="zh-CN"/>
        </w:rPr>
        <w:t>、</w:t>
      </w:r>
      <w:r w:rsidR="009A2088" w:rsidRPr="009A2088">
        <w:rPr>
          <w:rFonts w:ascii="仿宋_GB2312" w:eastAsia="仿宋_GB2312" w:hint="eastAsia"/>
          <w:sz w:val="32"/>
          <w:szCs w:val="32"/>
          <w:lang w:eastAsia="zh-CN"/>
        </w:rPr>
        <w:t>东风工程出版物市场监管和版权保护工作</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经费</w:t>
      </w:r>
      <w:r w:rsidR="009A2088">
        <w:rPr>
          <w:rFonts w:ascii="仿宋_GB2312" w:eastAsia="仿宋_GB2312" w:hint="eastAsia"/>
          <w:sz w:val="32"/>
          <w:szCs w:val="32"/>
          <w:lang w:eastAsia="zh-CN"/>
        </w:rPr>
        <w:t>减少</w:t>
      </w:r>
      <w:r>
        <w:rPr>
          <w:rFonts w:ascii="仿宋_GB2312" w:eastAsia="仿宋_GB2312"/>
          <w:sz w:val="32"/>
          <w:szCs w:val="32"/>
          <w:lang w:eastAsia="zh-CN"/>
        </w:rPr>
        <w:t>。与年初预</w:t>
      </w:r>
      <w:r>
        <w:rPr>
          <w:rFonts w:ascii="仿宋_GB2312" w:eastAsia="仿宋_GB2312"/>
          <w:sz w:val="32"/>
          <w:szCs w:val="32"/>
          <w:lang w:eastAsia="zh-CN"/>
        </w:rPr>
        <w:lastRenderedPageBreak/>
        <w:t>算相比，年初预算数321.62万元，决算数388.99万元，预决算差异率20.95%，主要原因是：</w:t>
      </w:r>
      <w:r w:rsidR="009A2088">
        <w:rPr>
          <w:rFonts w:ascii="仿宋_GB2312" w:eastAsia="仿宋_GB2312" w:hint="eastAsia"/>
          <w:sz w:val="32"/>
          <w:szCs w:val="32"/>
          <w:lang w:eastAsia="zh-CN"/>
        </w:rPr>
        <w:t>年中追加</w:t>
      </w:r>
      <w:r w:rsidR="009A2088" w:rsidRPr="009A2088">
        <w:rPr>
          <w:rFonts w:ascii="仿宋_GB2312" w:eastAsia="仿宋_GB2312" w:hint="eastAsia"/>
          <w:sz w:val="32"/>
          <w:szCs w:val="32"/>
          <w:lang w:eastAsia="zh-CN"/>
        </w:rPr>
        <w:t>少数民族地区和边疆地区文化安全补助</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资金</w:t>
      </w:r>
      <w:r w:rsidR="009A2088">
        <w:rPr>
          <w:rFonts w:ascii="仿宋_GB2312" w:eastAsia="仿宋_GB2312" w:hint="eastAsia"/>
          <w:sz w:val="32"/>
          <w:szCs w:val="32"/>
          <w:lang w:eastAsia="zh-CN"/>
        </w:rPr>
        <w:t>、</w:t>
      </w:r>
      <w:r w:rsidR="009A2088" w:rsidRPr="009A2088">
        <w:rPr>
          <w:rFonts w:ascii="仿宋_GB2312" w:eastAsia="仿宋_GB2312" w:hint="eastAsia"/>
          <w:sz w:val="32"/>
          <w:szCs w:val="32"/>
          <w:lang w:eastAsia="zh-CN"/>
        </w:rPr>
        <w:t>自治区党委宣传系统项目</w:t>
      </w:r>
      <w:r w:rsidR="009A2088">
        <w:rPr>
          <w:rFonts w:ascii="仿宋_GB2312" w:eastAsia="仿宋_GB2312" w:hint="eastAsia"/>
          <w:sz w:val="32"/>
          <w:szCs w:val="32"/>
          <w:lang w:eastAsia="zh-CN"/>
        </w:rPr>
        <w:t>经费</w:t>
      </w:r>
      <w:r>
        <w:rPr>
          <w:rFonts w:ascii="仿宋_GB2312" w:eastAsia="仿宋_GB2312"/>
          <w:sz w:val="32"/>
          <w:szCs w:val="32"/>
          <w:lang w:eastAsia="zh-CN"/>
        </w:rPr>
        <w:t>。</w:t>
      </w:r>
    </w:p>
    <w:p w14:paraId="45C94A78"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63AA885" w14:textId="77777777" w:rsidR="003F24E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35FE8BC" w14:textId="5C7AE469"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2024年度一般公共预算财政拨款支出387.22万元，占本年支出合计的40.83%。与上年相比，减少83.83万元，下降17.80%，主要原因是：</w:t>
      </w:r>
      <w:r w:rsidR="009A2088">
        <w:rPr>
          <w:rFonts w:ascii="仿宋_GB2312" w:eastAsia="仿宋_GB2312" w:hint="eastAsia"/>
          <w:sz w:val="32"/>
          <w:szCs w:val="32"/>
          <w:lang w:eastAsia="zh-CN"/>
        </w:rPr>
        <w:t>单位本年</w:t>
      </w:r>
      <w:r w:rsidR="009A2088" w:rsidRPr="009A2088">
        <w:rPr>
          <w:rFonts w:ascii="仿宋_GB2312" w:eastAsia="仿宋_GB2312" w:hint="eastAsia"/>
          <w:sz w:val="32"/>
          <w:szCs w:val="32"/>
          <w:lang w:eastAsia="zh-CN"/>
        </w:rPr>
        <w:t>晚报征订及投递费</w:t>
      </w:r>
      <w:r w:rsidR="009A2088">
        <w:rPr>
          <w:rFonts w:ascii="仿宋_GB2312" w:eastAsia="仿宋_GB2312" w:hint="eastAsia"/>
          <w:sz w:val="32"/>
          <w:szCs w:val="32"/>
          <w:lang w:eastAsia="zh-CN"/>
        </w:rPr>
        <w:t>、</w:t>
      </w:r>
      <w:r w:rsidR="009A2088" w:rsidRPr="009A2088">
        <w:rPr>
          <w:rFonts w:ascii="仿宋_GB2312" w:eastAsia="仿宋_GB2312" w:hint="eastAsia"/>
          <w:sz w:val="32"/>
          <w:szCs w:val="32"/>
          <w:lang w:eastAsia="zh-CN"/>
        </w:rPr>
        <w:t>东风工程出版物市场监管和版权保护工作</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经费</w:t>
      </w:r>
      <w:r w:rsidR="009A2088">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。与年初预算相比，年初预算数321.62万元，决算数387.22万元，预决算差异率20.40%，主要原因是：</w:t>
      </w:r>
      <w:r w:rsidR="009A2088">
        <w:rPr>
          <w:rFonts w:ascii="仿宋_GB2312" w:eastAsia="仿宋_GB2312" w:hint="eastAsia"/>
          <w:sz w:val="32"/>
          <w:szCs w:val="32"/>
          <w:lang w:eastAsia="zh-CN"/>
        </w:rPr>
        <w:t>年中追加</w:t>
      </w:r>
      <w:r w:rsidR="009A2088" w:rsidRPr="009A2088">
        <w:rPr>
          <w:rFonts w:ascii="仿宋_GB2312" w:eastAsia="仿宋_GB2312" w:hint="eastAsia"/>
          <w:sz w:val="32"/>
          <w:szCs w:val="32"/>
          <w:lang w:eastAsia="zh-CN"/>
        </w:rPr>
        <w:t>少数民族地区和边疆地区文化安全补助</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资金</w:t>
      </w:r>
      <w:r w:rsidR="009A2088">
        <w:rPr>
          <w:rFonts w:ascii="仿宋_GB2312" w:eastAsia="仿宋_GB2312" w:hint="eastAsia"/>
          <w:sz w:val="32"/>
          <w:szCs w:val="32"/>
          <w:lang w:eastAsia="zh-CN"/>
        </w:rPr>
        <w:t>、</w:t>
      </w:r>
      <w:r w:rsidR="009A2088" w:rsidRPr="009A2088">
        <w:rPr>
          <w:rFonts w:ascii="仿宋_GB2312" w:eastAsia="仿宋_GB2312" w:hint="eastAsia"/>
          <w:sz w:val="32"/>
          <w:szCs w:val="32"/>
          <w:lang w:eastAsia="zh-CN"/>
        </w:rPr>
        <w:t>自治区党委宣传系统项目</w:t>
      </w:r>
      <w:r w:rsidR="009A2088">
        <w:rPr>
          <w:rFonts w:ascii="仿宋_GB2312" w:eastAsia="仿宋_GB2312" w:hint="eastAsia"/>
          <w:sz w:val="32"/>
          <w:szCs w:val="32"/>
          <w:lang w:eastAsia="zh-CN"/>
        </w:rPr>
        <w:t>经费</w:t>
      </w:r>
      <w:r>
        <w:rPr>
          <w:rFonts w:ascii="仿宋_GB2312" w:eastAsia="仿宋_GB2312"/>
          <w:sz w:val="32"/>
          <w:szCs w:val="32"/>
          <w:lang w:eastAsia="zh-CN"/>
        </w:rPr>
        <w:t>。</w:t>
      </w:r>
    </w:p>
    <w:p w14:paraId="317035C9" w14:textId="77777777" w:rsidR="003F24E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8CC306B" w14:textId="6D84AD51" w:rsidR="003F24EF" w:rsidRDefault="006B518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sidR="00000000">
        <w:rPr>
          <w:rFonts w:ascii="仿宋_GB2312" w:eastAsia="仿宋_GB2312"/>
          <w:sz w:val="32"/>
          <w:szCs w:val="32"/>
          <w:lang w:eastAsia="zh-CN"/>
        </w:rPr>
        <w:t>一般公共服务支出（类）289.15万元，占74.67%。</w:t>
      </w:r>
    </w:p>
    <w:p w14:paraId="0C6A4EE4" w14:textId="311E6C84" w:rsidR="003F24EF" w:rsidRDefault="006B518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sidR="00000000">
        <w:rPr>
          <w:rFonts w:ascii="仿宋_GB2312" w:eastAsia="仿宋_GB2312"/>
          <w:sz w:val="32"/>
          <w:szCs w:val="32"/>
          <w:lang w:eastAsia="zh-CN"/>
        </w:rPr>
        <w:t>文化旅游体育与传媒支出（类）66.69万元，占17.22%。</w:t>
      </w:r>
    </w:p>
    <w:p w14:paraId="65614862" w14:textId="68092C3C" w:rsidR="003F24EF" w:rsidRDefault="006B518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sidR="00000000">
        <w:rPr>
          <w:rFonts w:ascii="仿宋_GB2312" w:eastAsia="仿宋_GB2312"/>
          <w:sz w:val="32"/>
          <w:szCs w:val="32"/>
          <w:lang w:eastAsia="zh-CN"/>
        </w:rPr>
        <w:t>社会保障和就业支出（类）31.37万元，占8.10%。</w:t>
      </w:r>
    </w:p>
    <w:p w14:paraId="6022C359" w14:textId="77777777" w:rsidR="003F24E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30AD0ED1" w14:textId="5D682970" w:rsidR="003F24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1、一般公共服务支出（类）宣传事务（款）行政运行（项）：支出决算数为125.16万元，比上年决算减少83.14万元，下降39.91%，主要原因是：</w:t>
      </w:r>
      <w:bookmarkStart w:id="0" w:name="_Hlk209347934"/>
      <w:r w:rsidR="006B5187" w:rsidRPr="00492284">
        <w:rPr>
          <w:rFonts w:ascii="仿宋_GB2312" w:eastAsia="仿宋_GB2312" w:hint="eastAsia"/>
          <w:sz w:val="32"/>
          <w:szCs w:val="32"/>
          <w:lang w:eastAsia="zh-CN"/>
        </w:rPr>
        <w:t>单位本年长聘人员减少，长聘人员工资福利费用减少</w:t>
      </w:r>
      <w:bookmarkEnd w:id="0"/>
      <w:r w:rsidR="006B5187">
        <w:rPr>
          <w:rFonts w:ascii="仿宋_GB2312" w:eastAsia="仿宋_GB2312" w:hint="eastAsia"/>
          <w:sz w:val="32"/>
          <w:szCs w:val="32"/>
          <w:lang w:eastAsia="zh-CN"/>
        </w:rPr>
        <w:t>。</w:t>
      </w:r>
    </w:p>
    <w:p w14:paraId="7A1E2776" w14:textId="60EBC99B" w:rsidR="003F24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2、一般公共服务支出（类）宣传事务（款）事业运行（项）：支出决算数为163.99万元，比上年决算增加34.57万元，增长26.71%，主要原因是：</w:t>
      </w:r>
      <w:bookmarkStart w:id="1" w:name="_Hlk209269125"/>
      <w:r w:rsidR="006B5187" w:rsidRPr="00492284">
        <w:rPr>
          <w:rFonts w:ascii="仿宋_GB2312" w:eastAsia="仿宋_GB2312" w:hint="eastAsia"/>
          <w:sz w:val="32"/>
          <w:szCs w:val="32"/>
          <w:lang w:eastAsia="zh-CN"/>
        </w:rPr>
        <w:t>单位本年人员</w:t>
      </w:r>
      <w:r w:rsidR="006B5187">
        <w:rPr>
          <w:rFonts w:ascii="仿宋_GB2312" w:eastAsia="仿宋_GB2312" w:hint="eastAsia"/>
          <w:sz w:val="32"/>
          <w:szCs w:val="32"/>
          <w:lang w:eastAsia="zh-CN"/>
        </w:rPr>
        <w:t>增加</w:t>
      </w:r>
      <w:r w:rsidR="006B5187" w:rsidRPr="00492284">
        <w:rPr>
          <w:rFonts w:ascii="仿宋_GB2312" w:eastAsia="仿宋_GB2312" w:hint="eastAsia"/>
          <w:sz w:val="32"/>
          <w:szCs w:val="32"/>
          <w:lang w:eastAsia="zh-CN"/>
        </w:rPr>
        <w:t>，人员工资、津贴补贴、奖金等经费</w:t>
      </w:r>
      <w:r w:rsidR="006B5187">
        <w:rPr>
          <w:rFonts w:ascii="仿宋_GB2312" w:eastAsia="仿宋_GB2312" w:hint="eastAsia"/>
          <w:sz w:val="32"/>
          <w:szCs w:val="32"/>
          <w:lang w:eastAsia="zh-CN"/>
        </w:rPr>
        <w:t>增加</w:t>
      </w:r>
      <w:bookmarkEnd w:id="1"/>
      <w:r w:rsidR="006B5187">
        <w:rPr>
          <w:rFonts w:ascii="仿宋_GB2312" w:eastAsia="仿宋_GB2312" w:hint="eastAsia"/>
          <w:sz w:val="32"/>
          <w:szCs w:val="32"/>
          <w:lang w:eastAsia="zh-CN"/>
        </w:rPr>
        <w:t>。</w:t>
      </w:r>
    </w:p>
    <w:p w14:paraId="71DCDB44" w14:textId="6BC47E74" w:rsidR="003F24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3、文化旅游体育与传媒支出（类）文化和旅游（款）其他文化和旅游支出（项）：支出决算数为24.71万元，比上年决算增加24.71万元，增长100.00%，主要原因是：</w:t>
      </w:r>
      <w:r w:rsidR="009A2088">
        <w:rPr>
          <w:rFonts w:ascii="仿宋_GB2312" w:eastAsia="仿宋_GB2312" w:hint="eastAsia"/>
          <w:sz w:val="32"/>
          <w:szCs w:val="32"/>
          <w:lang w:eastAsia="zh-CN"/>
        </w:rPr>
        <w:t>单位本年</w:t>
      </w:r>
      <w:r w:rsidR="009A2088" w:rsidRPr="009A2088">
        <w:rPr>
          <w:rFonts w:ascii="仿宋_GB2312" w:eastAsia="仿宋_GB2312" w:hint="eastAsia"/>
          <w:sz w:val="32"/>
          <w:szCs w:val="32"/>
          <w:lang w:eastAsia="zh-CN"/>
        </w:rPr>
        <w:t>少数民族地区和边疆地区文化安全补助</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资金</w:t>
      </w:r>
      <w:r w:rsidR="009A2088">
        <w:rPr>
          <w:rFonts w:ascii="仿宋_GB2312" w:eastAsia="仿宋_GB2312" w:hint="eastAsia"/>
          <w:sz w:val="32"/>
          <w:szCs w:val="32"/>
          <w:lang w:eastAsia="zh-CN"/>
        </w:rPr>
        <w:t>、</w:t>
      </w:r>
      <w:r w:rsidR="009A2088" w:rsidRPr="009A2088">
        <w:rPr>
          <w:rFonts w:ascii="仿宋_GB2312" w:eastAsia="仿宋_GB2312" w:hint="eastAsia"/>
          <w:sz w:val="32"/>
          <w:szCs w:val="32"/>
          <w:lang w:eastAsia="zh-CN"/>
        </w:rPr>
        <w:t>自治区党委宣传系统项目</w:t>
      </w:r>
      <w:r w:rsidR="009A2088">
        <w:rPr>
          <w:rFonts w:ascii="仿宋_GB2312" w:eastAsia="仿宋_GB2312" w:hint="eastAsia"/>
          <w:sz w:val="32"/>
          <w:szCs w:val="32"/>
          <w:lang w:eastAsia="zh-CN"/>
        </w:rPr>
        <w:t>经费增加</w:t>
      </w:r>
      <w:r w:rsidR="006B5187">
        <w:rPr>
          <w:rFonts w:ascii="仿宋_GB2312" w:eastAsia="仿宋_GB2312" w:hint="eastAsia"/>
          <w:sz w:val="32"/>
          <w:szCs w:val="32"/>
          <w:lang w:eastAsia="zh-CN"/>
        </w:rPr>
        <w:t>。</w:t>
      </w:r>
    </w:p>
    <w:p w14:paraId="40D4B438" w14:textId="72189F08" w:rsidR="003F24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4、文化旅游体育与传媒支出（类）其他文化旅游体育与传媒支出（款）宣传文化发展专项支出（项）：支出决算数为0.00万元，比上年决算减少89.46万元，下降100.00%，主要原因是：</w:t>
      </w:r>
      <w:r w:rsidR="009A2088">
        <w:rPr>
          <w:rFonts w:ascii="仿宋_GB2312" w:eastAsia="仿宋_GB2312" w:hint="eastAsia"/>
          <w:sz w:val="32"/>
          <w:szCs w:val="32"/>
          <w:lang w:eastAsia="zh-CN"/>
        </w:rPr>
        <w:t>单位本年</w:t>
      </w:r>
      <w:r w:rsidR="009A2088" w:rsidRPr="009A2088">
        <w:rPr>
          <w:rFonts w:ascii="仿宋_GB2312" w:eastAsia="仿宋_GB2312" w:hint="eastAsia"/>
          <w:sz w:val="32"/>
          <w:szCs w:val="32"/>
          <w:lang w:eastAsia="zh-CN"/>
        </w:rPr>
        <w:t>晚报征订及投递费</w:t>
      </w:r>
      <w:r w:rsidR="009A2088">
        <w:rPr>
          <w:rFonts w:ascii="仿宋_GB2312" w:eastAsia="仿宋_GB2312" w:hint="eastAsia"/>
          <w:sz w:val="32"/>
          <w:szCs w:val="32"/>
          <w:lang w:eastAsia="zh-CN"/>
        </w:rPr>
        <w:t>、</w:t>
      </w:r>
      <w:r w:rsidR="009A2088" w:rsidRPr="009A2088">
        <w:rPr>
          <w:rFonts w:ascii="仿宋_GB2312" w:eastAsia="仿宋_GB2312" w:hint="eastAsia"/>
          <w:sz w:val="32"/>
          <w:szCs w:val="32"/>
          <w:lang w:eastAsia="zh-CN"/>
        </w:rPr>
        <w:t>东风工程出版物市场监管和版权保护工作</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经费</w:t>
      </w:r>
      <w:r w:rsidR="009A2088">
        <w:rPr>
          <w:rFonts w:ascii="仿宋_GB2312" w:eastAsia="仿宋_GB2312" w:hint="eastAsia"/>
          <w:sz w:val="32"/>
          <w:szCs w:val="32"/>
          <w:lang w:eastAsia="zh-CN"/>
        </w:rPr>
        <w:t>减少</w:t>
      </w:r>
      <w:r w:rsidR="006B5187">
        <w:rPr>
          <w:rFonts w:ascii="仿宋_GB2312" w:eastAsia="仿宋_GB2312" w:hint="eastAsia"/>
          <w:sz w:val="32"/>
          <w:szCs w:val="32"/>
          <w:lang w:eastAsia="zh-CN"/>
        </w:rPr>
        <w:t>。</w:t>
      </w:r>
    </w:p>
    <w:p w14:paraId="3B128D34" w14:textId="360F84E3" w:rsidR="003F24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5、文化旅游体育与传媒支出（类）其他文化旅游体育与传媒支出（款）其他文化旅游体育与传媒支出（项）：支出决算数为41.98万元，比上年决算增加25.73万元，增长158.34%，主要原因是：</w:t>
      </w:r>
      <w:r w:rsidR="009A2088">
        <w:rPr>
          <w:rFonts w:ascii="仿宋_GB2312" w:eastAsia="仿宋_GB2312" w:hint="eastAsia"/>
          <w:sz w:val="32"/>
          <w:szCs w:val="32"/>
          <w:lang w:eastAsia="zh-CN"/>
        </w:rPr>
        <w:t>单位本年</w:t>
      </w:r>
      <w:r w:rsidR="009A2088" w:rsidRPr="009A2088">
        <w:rPr>
          <w:rFonts w:ascii="仿宋_GB2312" w:eastAsia="仿宋_GB2312" w:hint="eastAsia"/>
          <w:sz w:val="32"/>
          <w:szCs w:val="32"/>
          <w:lang w:eastAsia="zh-CN"/>
        </w:rPr>
        <w:t>中央补助地方公共文化服务体系建设补助</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资金</w:t>
      </w:r>
      <w:r w:rsidR="009A2088">
        <w:rPr>
          <w:rFonts w:ascii="仿宋_GB2312" w:eastAsia="仿宋_GB2312" w:hint="eastAsia"/>
          <w:sz w:val="32"/>
          <w:szCs w:val="32"/>
          <w:lang w:eastAsia="zh-CN"/>
        </w:rPr>
        <w:t>、</w:t>
      </w:r>
      <w:r w:rsidR="009A2088" w:rsidRPr="009A2088">
        <w:rPr>
          <w:rFonts w:ascii="仿宋_GB2312" w:eastAsia="仿宋_GB2312" w:hint="eastAsia"/>
          <w:sz w:val="32"/>
          <w:szCs w:val="32"/>
          <w:lang w:eastAsia="zh-CN"/>
        </w:rPr>
        <w:t>少数民族地区和边疆地区文化安全补助</w:t>
      </w:r>
      <w:r w:rsidR="009A2088">
        <w:rPr>
          <w:rFonts w:ascii="仿宋_GB2312" w:eastAsia="仿宋_GB2312" w:hint="eastAsia"/>
          <w:sz w:val="32"/>
          <w:szCs w:val="32"/>
          <w:lang w:eastAsia="zh-CN"/>
        </w:rPr>
        <w:t>项目</w:t>
      </w:r>
      <w:r w:rsidR="009A2088" w:rsidRPr="009A2088">
        <w:rPr>
          <w:rFonts w:ascii="仿宋_GB2312" w:eastAsia="仿宋_GB2312" w:hint="eastAsia"/>
          <w:sz w:val="32"/>
          <w:szCs w:val="32"/>
          <w:lang w:eastAsia="zh-CN"/>
        </w:rPr>
        <w:t>资金</w:t>
      </w:r>
      <w:r w:rsidR="009A2088">
        <w:rPr>
          <w:rFonts w:ascii="仿宋_GB2312" w:eastAsia="仿宋_GB2312" w:hint="eastAsia"/>
          <w:sz w:val="32"/>
          <w:szCs w:val="32"/>
          <w:lang w:eastAsia="zh-CN"/>
        </w:rPr>
        <w:t>增加</w:t>
      </w:r>
      <w:r w:rsidR="006B5187">
        <w:rPr>
          <w:rFonts w:ascii="仿宋_GB2312" w:eastAsia="仿宋_GB2312" w:hint="eastAsia"/>
          <w:sz w:val="32"/>
          <w:szCs w:val="32"/>
          <w:lang w:eastAsia="zh-CN"/>
        </w:rPr>
        <w:t>。</w:t>
      </w:r>
    </w:p>
    <w:p w14:paraId="51BFDAF5" w14:textId="585EB63B" w:rsidR="003F24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6、社会保障和就业支出（类）行政事业单位养老支出（款）机关事业单位基本养老保险缴费支出（项）：支出决算数为31.37万元，比上年决算增加3.76万元，增长13.62%，主要原因是：</w:t>
      </w:r>
      <w:bookmarkStart w:id="2" w:name="_Hlk209267990"/>
      <w:r w:rsidR="006B5187" w:rsidRPr="00492284">
        <w:rPr>
          <w:rFonts w:ascii="仿宋_GB2312" w:eastAsia="仿宋_GB2312" w:hint="eastAsia"/>
          <w:sz w:val="32"/>
          <w:szCs w:val="32"/>
          <w:lang w:eastAsia="zh-CN"/>
        </w:rPr>
        <w:t>单位本年社保缴费基数调增，人员养老保险缴费增加</w:t>
      </w:r>
      <w:bookmarkEnd w:id="2"/>
      <w:r w:rsidR="006B5187">
        <w:rPr>
          <w:rFonts w:ascii="仿宋_GB2312" w:eastAsia="仿宋_GB2312" w:hint="eastAsia"/>
          <w:sz w:val="32"/>
          <w:szCs w:val="32"/>
          <w:lang w:eastAsia="zh-CN"/>
        </w:rPr>
        <w:t>。</w:t>
      </w:r>
    </w:p>
    <w:p w14:paraId="483FC564"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18465BE"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320.53万元，其中：人员经费305.86万元，包括：基本工资、津贴补贴、奖金、绩效工资、机关事业单位基本养老保险缴费、职工基本医疗保险缴费、公务员医疗补助缴费、其他社会保障缴费和住房公积金。</w:t>
      </w:r>
    </w:p>
    <w:p w14:paraId="5F4010C0"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公用经费14.67万元，包括：办公费、电费、邮电费、差旅费、维修（护）费、委托业务费、工会经费、福利费、公务用车运行维护费和其他商品和服务支出。</w:t>
      </w:r>
    </w:p>
    <w:p w14:paraId="37CF70B7"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C23E397"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7DED9CA"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B561497"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7060C895"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BFBF344" w14:textId="2F2BD318"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经费支出4.89万元，比上年增加0.12万元，增长2.52%，主要原因是：</w:t>
      </w:r>
      <w:bookmarkStart w:id="3" w:name="_Hlk208327975"/>
      <w:r w:rsidR="006B5187" w:rsidRPr="00734D2F">
        <w:rPr>
          <w:rFonts w:ascii="仿宋_GB2312" w:eastAsia="仿宋_GB2312" w:hint="eastAsia"/>
          <w:sz w:val="32"/>
          <w:szCs w:val="32"/>
          <w:lang w:eastAsia="zh-CN"/>
        </w:rPr>
        <w:t>单位本年车辆出行次数增加，车辆燃</w:t>
      </w:r>
      <w:r w:rsidR="006B5187" w:rsidRPr="00734D2F">
        <w:rPr>
          <w:rFonts w:ascii="仿宋_GB2312" w:eastAsia="仿宋_GB2312"/>
          <w:sz w:val="32"/>
          <w:szCs w:val="32"/>
          <w:lang w:eastAsia="zh-CN"/>
        </w:rPr>
        <w:t>油费</w:t>
      </w:r>
      <w:r w:rsidR="006B5187" w:rsidRPr="00734D2F">
        <w:rPr>
          <w:rFonts w:ascii="仿宋_GB2312" w:eastAsia="仿宋_GB2312" w:hint="eastAsia"/>
          <w:sz w:val="32"/>
          <w:szCs w:val="32"/>
          <w:lang w:eastAsia="zh-CN"/>
        </w:rPr>
        <w:t>、维修费</w:t>
      </w:r>
      <w:r w:rsidR="006B5187" w:rsidRPr="00734D2F">
        <w:rPr>
          <w:rFonts w:ascii="仿宋_GB2312" w:eastAsia="仿宋_GB2312"/>
          <w:sz w:val="32"/>
          <w:szCs w:val="32"/>
          <w:lang w:eastAsia="zh-CN"/>
        </w:rPr>
        <w:t>增加</w:t>
      </w:r>
      <w:bookmarkEnd w:id="3"/>
      <w:r>
        <w:rPr>
          <w:rFonts w:ascii="仿宋_GB2312" w:eastAsia="仿宋_GB2312"/>
          <w:sz w:val="32"/>
          <w:szCs w:val="32"/>
          <w:lang w:eastAsia="zh-CN"/>
        </w:rPr>
        <w:t>。其中：因公出国（境）费支出0.00万元,占0.00%，与上年相比无变化，主要原因是：</w:t>
      </w:r>
      <w:bookmarkStart w:id="4" w:name="_Hlk207114081"/>
      <w:bookmarkStart w:id="5" w:name="_Hlk207720892"/>
      <w:r w:rsidR="006B5187" w:rsidRPr="00D6752D">
        <w:rPr>
          <w:rFonts w:ascii="仿宋_GB2312" w:eastAsia="仿宋_GB2312" w:hint="eastAsia"/>
          <w:sz w:val="32"/>
          <w:szCs w:val="32"/>
          <w:lang w:eastAsia="zh-CN"/>
        </w:rPr>
        <w:t>我单位上年度与本年度均无</w:t>
      </w:r>
      <w:bookmarkEnd w:id="4"/>
      <w:r w:rsidR="006B5187">
        <w:rPr>
          <w:rFonts w:ascii="仿宋_GB2312" w:eastAsia="仿宋_GB2312" w:hint="eastAsia"/>
          <w:sz w:val="32"/>
          <w:szCs w:val="32"/>
          <w:lang w:eastAsia="zh-CN"/>
        </w:rPr>
        <w:t>此项经费</w:t>
      </w:r>
      <w:bookmarkEnd w:id="5"/>
      <w:r>
        <w:rPr>
          <w:rFonts w:ascii="仿宋_GB2312" w:eastAsia="仿宋_GB2312"/>
          <w:sz w:val="32"/>
          <w:szCs w:val="32"/>
          <w:lang w:eastAsia="zh-CN"/>
        </w:rPr>
        <w:t>；公务用车购置及运行维护费支出4.89万元，占100.00%，比上年增加0.12万元，增长2.52%，主要原因是：</w:t>
      </w:r>
      <w:r w:rsidR="006B5187" w:rsidRPr="00734D2F">
        <w:rPr>
          <w:rFonts w:ascii="仿宋_GB2312" w:eastAsia="仿宋_GB2312" w:hint="eastAsia"/>
          <w:sz w:val="32"/>
          <w:szCs w:val="32"/>
          <w:lang w:eastAsia="zh-CN"/>
        </w:rPr>
        <w:t>单位本年车辆出行次数增加，车辆燃</w:t>
      </w:r>
      <w:r w:rsidR="006B5187" w:rsidRPr="00734D2F">
        <w:rPr>
          <w:rFonts w:ascii="仿宋_GB2312" w:eastAsia="仿宋_GB2312"/>
          <w:sz w:val="32"/>
          <w:szCs w:val="32"/>
          <w:lang w:eastAsia="zh-CN"/>
        </w:rPr>
        <w:t>油费</w:t>
      </w:r>
      <w:r w:rsidR="006B5187" w:rsidRPr="00734D2F">
        <w:rPr>
          <w:rFonts w:ascii="仿宋_GB2312" w:eastAsia="仿宋_GB2312" w:hint="eastAsia"/>
          <w:sz w:val="32"/>
          <w:szCs w:val="32"/>
          <w:lang w:eastAsia="zh-CN"/>
        </w:rPr>
        <w:t>、维修费</w:t>
      </w:r>
      <w:r w:rsidR="006B5187"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6B5187" w:rsidRPr="00D6752D">
        <w:rPr>
          <w:rFonts w:ascii="仿宋_GB2312" w:eastAsia="仿宋_GB2312" w:hint="eastAsia"/>
          <w:sz w:val="32"/>
          <w:szCs w:val="32"/>
          <w:lang w:eastAsia="zh-CN"/>
        </w:rPr>
        <w:t>我单位上年度与本年度均无</w:t>
      </w:r>
      <w:r w:rsidR="006B5187">
        <w:rPr>
          <w:rFonts w:ascii="仿宋_GB2312" w:eastAsia="仿宋_GB2312" w:hint="eastAsia"/>
          <w:sz w:val="32"/>
          <w:szCs w:val="32"/>
          <w:lang w:eastAsia="zh-CN"/>
        </w:rPr>
        <w:t>此项经费</w:t>
      </w:r>
      <w:r>
        <w:rPr>
          <w:rFonts w:ascii="仿宋_GB2312" w:eastAsia="仿宋_GB2312"/>
          <w:sz w:val="32"/>
          <w:szCs w:val="32"/>
          <w:lang w:eastAsia="zh-CN"/>
        </w:rPr>
        <w:t>。</w:t>
      </w:r>
    </w:p>
    <w:p w14:paraId="1BB04A5A" w14:textId="77777777" w:rsidR="003F24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5211F95" w14:textId="0748EE63"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6" w:name="_Hlk207127465"/>
      <w:r w:rsidR="006B5187" w:rsidRPr="00734D2F">
        <w:rPr>
          <w:rFonts w:ascii="仿宋_GB2312" w:eastAsia="仿宋_GB2312"/>
          <w:sz w:val="32"/>
          <w:szCs w:val="32"/>
          <w:lang w:eastAsia="zh-CN"/>
        </w:rPr>
        <w:t>本单位本年无因公出国（境）费</w:t>
      </w:r>
      <w:bookmarkEnd w:id="6"/>
      <w:r>
        <w:rPr>
          <w:rFonts w:ascii="仿宋_GB2312" w:eastAsia="仿宋_GB2312"/>
          <w:sz w:val="32"/>
          <w:szCs w:val="32"/>
          <w:lang w:eastAsia="zh-CN"/>
        </w:rPr>
        <w:t>。单位全年安排的因公出国（境）团组0个，因公出国（境）0人次。</w:t>
      </w:r>
    </w:p>
    <w:p w14:paraId="72C57C81" w14:textId="625EA7F9"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公务用车购置及运行维护费4.89万元，其中：公务用车购置费0.00万元，公务用车运行维护费4.89万元。公务用车运行维护费开支内容包括</w:t>
      </w:r>
      <w:bookmarkStart w:id="7" w:name="_Hlk207110208"/>
      <w:r w:rsidR="006B5187" w:rsidRPr="00D6752D">
        <w:rPr>
          <w:rFonts w:ascii="仿宋_GB2312" w:eastAsia="仿宋_GB2312" w:hint="eastAsia"/>
          <w:sz w:val="32"/>
          <w:szCs w:val="32"/>
          <w:lang w:eastAsia="zh-CN"/>
        </w:rPr>
        <w:t>公务用车燃油费、车辆维修维护费、保险费、过路费等</w:t>
      </w:r>
      <w:bookmarkEnd w:id="7"/>
      <w:r>
        <w:rPr>
          <w:rFonts w:ascii="仿宋_GB2312" w:eastAsia="仿宋_GB2312"/>
          <w:sz w:val="32"/>
          <w:szCs w:val="32"/>
          <w:lang w:eastAsia="zh-CN"/>
        </w:rPr>
        <w:t>。公务用车购置数0辆，公务用车保有量2辆。国有资产占用情况中固定资产车辆5辆，与公务用车保有量差异原因是：</w:t>
      </w:r>
      <w:bookmarkStart w:id="8" w:name="_Hlk207720983"/>
      <w:r w:rsidR="006B5187" w:rsidRPr="00D6752D">
        <w:rPr>
          <w:rFonts w:ascii="仿宋_GB2312" w:eastAsia="仿宋_GB2312" w:hint="eastAsia"/>
          <w:sz w:val="32"/>
          <w:szCs w:val="32"/>
          <w:lang w:eastAsia="zh-CN"/>
        </w:rPr>
        <w:t>差异车辆为一般业务用车</w:t>
      </w:r>
      <w:r w:rsidR="006B5187">
        <w:rPr>
          <w:rFonts w:ascii="仿宋_GB2312" w:eastAsia="仿宋_GB2312" w:hint="eastAsia"/>
          <w:sz w:val="32"/>
          <w:szCs w:val="32"/>
          <w:lang w:eastAsia="zh-CN"/>
        </w:rPr>
        <w:t>3</w:t>
      </w:r>
      <w:r w:rsidR="006B5187" w:rsidRPr="00D6752D">
        <w:rPr>
          <w:rFonts w:ascii="仿宋_GB2312" w:eastAsia="仿宋_GB2312" w:hint="eastAsia"/>
          <w:sz w:val="32"/>
          <w:szCs w:val="32"/>
          <w:lang w:eastAsia="zh-CN"/>
        </w:rPr>
        <w:t>辆，车辆费用未使用财政拨款公务用车运行维护费支付</w:t>
      </w:r>
      <w:bookmarkEnd w:id="8"/>
      <w:r>
        <w:rPr>
          <w:rFonts w:ascii="仿宋_GB2312" w:eastAsia="仿宋_GB2312"/>
          <w:sz w:val="32"/>
          <w:szCs w:val="32"/>
          <w:lang w:eastAsia="zh-CN"/>
        </w:rPr>
        <w:t>。</w:t>
      </w:r>
    </w:p>
    <w:p w14:paraId="1D4657DA" w14:textId="44DB861A"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9" w:name="_Hlk207128367"/>
      <w:r w:rsidR="006B5187" w:rsidRPr="00734D2F">
        <w:rPr>
          <w:rFonts w:ascii="仿宋_GB2312" w:eastAsia="仿宋_GB2312"/>
          <w:sz w:val="32"/>
          <w:szCs w:val="32"/>
          <w:lang w:eastAsia="zh-CN"/>
        </w:rPr>
        <w:t>本单位本年无公务接待费</w:t>
      </w:r>
      <w:bookmarkEnd w:id="9"/>
      <w:r>
        <w:rPr>
          <w:rFonts w:ascii="仿宋_GB2312" w:eastAsia="仿宋_GB2312"/>
          <w:sz w:val="32"/>
          <w:szCs w:val="32"/>
          <w:lang w:eastAsia="zh-CN"/>
        </w:rPr>
        <w:t>。单位全年安排的国内公务接待0批次，0人次。</w:t>
      </w:r>
    </w:p>
    <w:p w14:paraId="2EA50AC2" w14:textId="426CE2C1"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经费支出全年预算数4.89万元，决算数4.89万元，预决算差异率0.00%，主要原因是：</w:t>
      </w:r>
      <w:bookmarkStart w:id="10" w:name="_Hlk207110149"/>
      <w:r w:rsidR="006B5187" w:rsidRPr="00734D2F">
        <w:rPr>
          <w:rFonts w:ascii="仿宋_GB2312" w:eastAsia="仿宋_GB2312" w:hint="eastAsia"/>
          <w:sz w:val="32"/>
          <w:szCs w:val="32"/>
          <w:lang w:eastAsia="zh-CN"/>
        </w:rPr>
        <w:t>严格按照预算执行，预决算对比无差异</w:t>
      </w:r>
      <w:bookmarkEnd w:id="10"/>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国（境）费全年预算数0.00万元，决算数0.00万元，预决算差异率0.00%，主要原因是：</w:t>
      </w:r>
      <w:r w:rsidR="006B51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6B51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；公务用车运行维护费全年预算数4.89万元，决算数4.89万元，预决算差异率0.00%，主要原因是：</w:t>
      </w:r>
      <w:r w:rsidR="006B51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6B51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C9A6FAC"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BBADFFF" w14:textId="77777777" w:rsidR="003F24E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B2FEA30" w14:textId="5BFF25CF"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2024年度中共乌鲁木齐市米东区委员会宣传部单位（行政单位和参照公务员法管理事业单位）机关运行经费支出14.67万元，比上年减少41.43万元，下降73.85%，主要原因是：</w:t>
      </w:r>
      <w:r w:rsidR="006B5187">
        <w:rPr>
          <w:rFonts w:ascii="仿宋_GB2312" w:eastAsia="仿宋_GB2312" w:hint="eastAsia"/>
          <w:sz w:val="32"/>
          <w:szCs w:val="32"/>
          <w:lang w:eastAsia="zh-CN"/>
        </w:rPr>
        <w:t>单位</w:t>
      </w:r>
      <w:r>
        <w:rPr>
          <w:rFonts w:ascii="仿宋_GB2312" w:eastAsia="仿宋_GB2312"/>
          <w:sz w:val="32"/>
          <w:szCs w:val="32"/>
          <w:lang w:eastAsia="zh-CN"/>
        </w:rPr>
        <w:t>本年</w:t>
      </w:r>
      <w:r w:rsidR="006B5187">
        <w:rPr>
          <w:rFonts w:ascii="仿宋_GB2312" w:eastAsia="仿宋_GB2312"/>
          <w:sz w:val="32"/>
          <w:szCs w:val="32"/>
          <w:lang w:eastAsia="zh-CN"/>
        </w:rPr>
        <w:t>办公费、电费、邮电费、委托业务费</w:t>
      </w:r>
      <w:r>
        <w:rPr>
          <w:rFonts w:ascii="仿宋_GB2312" w:eastAsia="仿宋_GB2312"/>
          <w:sz w:val="32"/>
          <w:szCs w:val="32"/>
          <w:lang w:eastAsia="zh-CN"/>
        </w:rPr>
        <w:t>减少。</w:t>
      </w:r>
    </w:p>
    <w:p w14:paraId="28382841" w14:textId="77777777" w:rsidR="003F24E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D6CFFFC"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2024年度政府采购支出总额166.93万元，其中：政府采购货物支出7.67万元、政府采购工程支出0.00万元、政府采购服务支出159.26万元。</w:t>
      </w:r>
    </w:p>
    <w:p w14:paraId="29A52D22"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授予中小企业合同金额166.67万元，占政府采购支出总额的99.84%，其中：授予小微企业合同金额166.05万元，占政府采购支出总额的99.47%。</w:t>
      </w:r>
    </w:p>
    <w:p w14:paraId="40C128E0" w14:textId="77777777" w:rsidR="003F24E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D49E3B4" w14:textId="77777777" w:rsidR="003F24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5辆，价值86.72万元，其中：副部（省）级及以上领导用车0辆、主要负责人用车0辆、机要通信用车0辆、应急保障用车0辆、执法执勤用车0辆、特种专业技术用车0辆、离退休干部服务用车0辆、其他用车5辆，其他用车主要是：单位业务用车;单价100万元（含）以上设备（不含车辆）0台（套）。</w:t>
      </w:r>
    </w:p>
    <w:p w14:paraId="26B1516D"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B21C788" w14:textId="40D8522F" w:rsidR="009A2088" w:rsidRPr="009A2088" w:rsidRDefault="00000000" w:rsidP="009A208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根据预算绩效管理要求，本单位2024年度预算绩效管理形成整体支出绩效自评表1个，全年预算总额954.42万元，实际执行总额948.4</w:t>
      </w:r>
      <w:r w:rsidR="009A2088">
        <w:rPr>
          <w:rFonts w:ascii="仿宋_GB2312" w:eastAsia="仿宋_GB2312" w:hint="eastAsia"/>
          <w:sz w:val="32"/>
          <w:szCs w:val="32"/>
          <w:lang w:eastAsia="zh-CN"/>
        </w:rPr>
        <w:t>1</w:t>
      </w:r>
      <w:r>
        <w:rPr>
          <w:rFonts w:ascii="仿宋_GB2312" w:eastAsia="仿宋_GB2312"/>
          <w:sz w:val="32"/>
          <w:szCs w:val="32"/>
          <w:lang w:eastAsia="zh-CN"/>
        </w:rPr>
        <w:t>万元；预算绩效评价项目7个，全年预算数625.92万元，全年执行数625.92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宣传文化引领教育作用发挥有待加强，当前宣传活动创新性匮乏，形式较为单调，文化创新力不足、办法不多、传承不够</w:t>
      </w:r>
      <w:r w:rsidR="006B5187">
        <w:rPr>
          <w:rFonts w:ascii="仿宋_GB2312" w:eastAsia="仿宋_GB2312" w:hint="eastAsia"/>
          <w:sz w:val="32"/>
          <w:szCs w:val="32"/>
          <w:lang w:eastAsia="zh-CN"/>
        </w:rPr>
        <w:t>；</w:t>
      </w:r>
      <w:r>
        <w:rPr>
          <w:rFonts w:ascii="仿宋_GB2312" w:eastAsia="仿宋_GB2312"/>
          <w:sz w:val="32"/>
          <w:szCs w:val="32"/>
          <w:lang w:eastAsia="zh-CN"/>
        </w:rPr>
        <w:t>二是预算编制科学性欠缺：预算编制过程中，对各项支出的预估不够精准。而且，在设定年度预算目标时，未能充分结合部门长期发展规划，二者缺乏紧密的关联性，不利于部门战略目标的稳步推进。下一步改进措施：一是创新活动形式，结合新媒体平台，开展直播、短视频创作、线上互动等多元宣传活动，增强内容趣味性与参与感。挖掘文化内涵，深入探索本地文化资源，从传统技艺、民俗故事中汲取灵感，打造特色文化产品，提升文化创新力。加强文化传承，举办文化传承培训、技艺传习活动，鼓励年轻人参与，拓宽传承路径，充分发挥宣传文化的引领教育作用</w:t>
      </w:r>
      <w:r w:rsidR="006B5187">
        <w:rPr>
          <w:rFonts w:ascii="仿宋_GB2312" w:eastAsia="仿宋_GB2312" w:hint="eastAsia"/>
          <w:sz w:val="32"/>
          <w:szCs w:val="32"/>
          <w:lang w:eastAsia="zh-CN"/>
        </w:rPr>
        <w:t>；</w:t>
      </w:r>
      <w:r>
        <w:rPr>
          <w:rFonts w:ascii="仿宋_GB2312" w:eastAsia="仿宋_GB2312"/>
          <w:sz w:val="32"/>
          <w:szCs w:val="32"/>
          <w:lang w:eastAsia="zh-CN"/>
        </w:rPr>
        <w:t>二是提升预算编制精准度，深入调研过往支出数据和业务实际需求，引入专业财务分析工具，细化预算项目，精确预估各项支出。强化规划衔接，制定年度预算目标前，充分研究部门长期发展规划，依据战略重点安排资金，确保年度预算成为实现长期目标的阶段性支撑，推动部门战略稳步落地。建立预算审核机制，成立审核小组，对预算编制进行多轮审核，及时发现并纠正不合理之</w:t>
      </w:r>
      <w:r>
        <w:rPr>
          <w:rFonts w:ascii="仿宋_GB2312" w:eastAsia="仿宋_GB2312"/>
          <w:sz w:val="32"/>
          <w:szCs w:val="32"/>
          <w:lang w:eastAsia="zh-CN"/>
        </w:rPr>
        <w:lastRenderedPageBreak/>
        <w:t>处。具体附部门整体支出绩效自评表，项目支出绩效自评表和部门评价报告。</w:t>
      </w:r>
      <w:bookmarkStart w:id="11" w:name="_Hlk174962300"/>
    </w:p>
    <w:p w14:paraId="69F08E2F" w14:textId="77777777" w:rsidR="009A2088" w:rsidRPr="00E12EB7" w:rsidRDefault="009A2088" w:rsidP="009A2088">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4C8BA2D9" w14:textId="77777777" w:rsidR="009A2088" w:rsidRPr="00E12EB7" w:rsidRDefault="009A2088" w:rsidP="009A2088">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9A2088" w:rsidRPr="008A51CD" w14:paraId="4BC83569" w14:textId="77777777" w:rsidTr="009A2088">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3F34FC0"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48474853" w14:textId="77777777" w:rsidR="009A2088" w:rsidRPr="008A51CD" w:rsidRDefault="009A2088" w:rsidP="00AF2762">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中共乌鲁木齐市米东区委员会宣传部</w:t>
            </w:r>
          </w:p>
        </w:tc>
      </w:tr>
      <w:tr w:rsidR="009A2088" w:rsidRPr="008A51CD" w14:paraId="4C5CE533" w14:textId="77777777" w:rsidTr="009A2088">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AB5E4C5"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0F163B6D"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62F2809D"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hideMark/>
          </w:tcPr>
          <w:p w14:paraId="0C3CF3D6"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hideMark/>
          </w:tcPr>
          <w:p w14:paraId="19630254"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065D2317"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14:paraId="3E17E347"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3576DDEE"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9A2088" w:rsidRPr="008A51CD" w14:paraId="77EA43AE" w14:textId="77777777" w:rsidTr="009A2088">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2D1A554" w14:textId="77777777" w:rsidR="009A2088" w:rsidRPr="008A51CD" w:rsidRDefault="009A2088" w:rsidP="00AF27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FC04C26" w14:textId="77777777" w:rsidR="009A2088" w:rsidRPr="006605D5" w:rsidRDefault="009A2088" w:rsidP="00AF2762">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6F363654"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321.62</w:t>
            </w:r>
          </w:p>
        </w:tc>
        <w:tc>
          <w:tcPr>
            <w:tcW w:w="1276" w:type="dxa"/>
            <w:tcBorders>
              <w:top w:val="nil"/>
              <w:left w:val="nil"/>
              <w:bottom w:val="single" w:sz="4" w:space="0" w:color="auto"/>
              <w:right w:val="single" w:sz="4" w:space="0" w:color="auto"/>
            </w:tcBorders>
            <w:vAlign w:val="center"/>
          </w:tcPr>
          <w:p w14:paraId="0DCF1D45"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954.42</w:t>
            </w:r>
          </w:p>
        </w:tc>
        <w:tc>
          <w:tcPr>
            <w:tcW w:w="1701" w:type="dxa"/>
            <w:tcBorders>
              <w:top w:val="nil"/>
              <w:left w:val="nil"/>
              <w:bottom w:val="single" w:sz="4" w:space="0" w:color="auto"/>
              <w:right w:val="single" w:sz="4" w:space="0" w:color="auto"/>
            </w:tcBorders>
            <w:vAlign w:val="center"/>
          </w:tcPr>
          <w:p w14:paraId="5DA29125"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948.41</w:t>
            </w:r>
          </w:p>
        </w:tc>
        <w:tc>
          <w:tcPr>
            <w:tcW w:w="1134" w:type="dxa"/>
            <w:tcBorders>
              <w:top w:val="nil"/>
              <w:left w:val="nil"/>
              <w:bottom w:val="single" w:sz="4" w:space="0" w:color="auto"/>
              <w:right w:val="single" w:sz="4" w:space="0" w:color="auto"/>
            </w:tcBorders>
            <w:vAlign w:val="center"/>
          </w:tcPr>
          <w:p w14:paraId="40A7114F"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644FC782"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99.37%</w:t>
            </w:r>
          </w:p>
        </w:tc>
        <w:tc>
          <w:tcPr>
            <w:tcW w:w="720" w:type="dxa"/>
            <w:tcBorders>
              <w:top w:val="nil"/>
              <w:left w:val="nil"/>
              <w:bottom w:val="single" w:sz="4" w:space="0" w:color="auto"/>
              <w:right w:val="single" w:sz="4" w:space="0" w:color="auto"/>
            </w:tcBorders>
            <w:vAlign w:val="center"/>
          </w:tcPr>
          <w:p w14:paraId="63A5AED3"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9.94</w:t>
            </w:r>
          </w:p>
        </w:tc>
      </w:tr>
      <w:tr w:rsidR="009A2088" w:rsidRPr="008A51CD" w14:paraId="2E51D8ED" w14:textId="77777777" w:rsidTr="009A2088">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1335BE0" w14:textId="77777777" w:rsidR="009A2088" w:rsidRPr="008A51CD" w:rsidRDefault="009A2088" w:rsidP="00AF27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A588F58" w14:textId="77777777" w:rsidR="009A2088" w:rsidRPr="008A51CD" w:rsidRDefault="009A2088" w:rsidP="00AF2762">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127FFD43"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7.00</w:t>
            </w:r>
          </w:p>
        </w:tc>
        <w:tc>
          <w:tcPr>
            <w:tcW w:w="1276" w:type="dxa"/>
            <w:tcBorders>
              <w:top w:val="nil"/>
              <w:left w:val="nil"/>
              <w:bottom w:val="single" w:sz="4" w:space="0" w:color="auto"/>
              <w:right w:val="single" w:sz="4" w:space="0" w:color="auto"/>
            </w:tcBorders>
            <w:vAlign w:val="center"/>
          </w:tcPr>
          <w:p w14:paraId="5323A218"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7.00</w:t>
            </w:r>
          </w:p>
        </w:tc>
        <w:tc>
          <w:tcPr>
            <w:tcW w:w="1701" w:type="dxa"/>
            <w:tcBorders>
              <w:top w:val="nil"/>
              <w:left w:val="nil"/>
              <w:bottom w:val="single" w:sz="4" w:space="0" w:color="auto"/>
              <w:right w:val="single" w:sz="4" w:space="0" w:color="auto"/>
            </w:tcBorders>
            <w:vAlign w:val="center"/>
          </w:tcPr>
          <w:p w14:paraId="190E59BF"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6.71</w:t>
            </w:r>
          </w:p>
        </w:tc>
        <w:tc>
          <w:tcPr>
            <w:tcW w:w="1134" w:type="dxa"/>
            <w:tcBorders>
              <w:top w:val="nil"/>
              <w:left w:val="nil"/>
              <w:bottom w:val="single" w:sz="4" w:space="0" w:color="auto"/>
              <w:right w:val="single" w:sz="4" w:space="0" w:color="auto"/>
            </w:tcBorders>
            <w:vAlign w:val="center"/>
          </w:tcPr>
          <w:p w14:paraId="5695C4DC"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4AAE08E8"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1989615"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A2088" w:rsidRPr="008A51CD" w14:paraId="2257C27B" w14:textId="77777777" w:rsidTr="009A2088">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4FBCD66" w14:textId="77777777" w:rsidR="009A2088" w:rsidRPr="008A51CD" w:rsidRDefault="009A2088" w:rsidP="00AF27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B03789B" w14:textId="77777777" w:rsidR="009A2088" w:rsidRPr="008A51CD" w:rsidRDefault="009A2088" w:rsidP="00AF2762">
            <w:pPr>
              <w:jc w:val="center"/>
              <w:rPr>
                <w:rFonts w:ascii="宋体" w:eastAsia="宋体" w:hAnsi="宋体" w:cs="宋体" w:hint="eastAsia"/>
                <w:b/>
                <w:bCs/>
                <w:sz w:val="18"/>
                <w:szCs w:val="18"/>
              </w:rPr>
            </w:pPr>
            <w:r w:rsidRPr="00AF47B5">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6F368EC6"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285.75</w:t>
            </w:r>
          </w:p>
        </w:tc>
        <w:tc>
          <w:tcPr>
            <w:tcW w:w="1276" w:type="dxa"/>
            <w:tcBorders>
              <w:top w:val="nil"/>
              <w:left w:val="nil"/>
              <w:bottom w:val="single" w:sz="4" w:space="0" w:color="auto"/>
              <w:right w:val="single" w:sz="4" w:space="0" w:color="auto"/>
            </w:tcBorders>
            <w:vAlign w:val="center"/>
          </w:tcPr>
          <w:p w14:paraId="1B10322D"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918.55</w:t>
            </w:r>
          </w:p>
        </w:tc>
        <w:tc>
          <w:tcPr>
            <w:tcW w:w="1701" w:type="dxa"/>
            <w:tcBorders>
              <w:top w:val="nil"/>
              <w:left w:val="nil"/>
              <w:bottom w:val="single" w:sz="4" w:space="0" w:color="auto"/>
              <w:right w:val="single" w:sz="4" w:space="0" w:color="auto"/>
            </w:tcBorders>
            <w:vAlign w:val="center"/>
          </w:tcPr>
          <w:p w14:paraId="57619FB8"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912.83</w:t>
            </w:r>
          </w:p>
        </w:tc>
        <w:tc>
          <w:tcPr>
            <w:tcW w:w="1134" w:type="dxa"/>
            <w:tcBorders>
              <w:top w:val="nil"/>
              <w:left w:val="nil"/>
              <w:bottom w:val="single" w:sz="4" w:space="0" w:color="auto"/>
              <w:right w:val="single" w:sz="4" w:space="0" w:color="auto"/>
            </w:tcBorders>
            <w:vAlign w:val="center"/>
          </w:tcPr>
          <w:p w14:paraId="57393899"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493D2EDB"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B3B6944"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A2088" w:rsidRPr="008A51CD" w14:paraId="06EF749A" w14:textId="77777777" w:rsidTr="009A2088">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CCB7E3" w14:textId="77777777" w:rsidR="009A2088" w:rsidRPr="008A51CD" w:rsidRDefault="009A2088" w:rsidP="00AF27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17B732B8" w14:textId="77777777" w:rsidR="009A2088" w:rsidRPr="008A51CD" w:rsidRDefault="009A2088" w:rsidP="00AF2762">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6A21799C"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28.87</w:t>
            </w:r>
          </w:p>
        </w:tc>
        <w:tc>
          <w:tcPr>
            <w:tcW w:w="1276" w:type="dxa"/>
            <w:tcBorders>
              <w:top w:val="nil"/>
              <w:left w:val="nil"/>
              <w:bottom w:val="single" w:sz="4" w:space="0" w:color="auto"/>
              <w:right w:val="single" w:sz="4" w:space="0" w:color="auto"/>
            </w:tcBorders>
            <w:vAlign w:val="center"/>
          </w:tcPr>
          <w:p w14:paraId="21433B6D"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28.87</w:t>
            </w:r>
          </w:p>
        </w:tc>
        <w:tc>
          <w:tcPr>
            <w:tcW w:w="1701" w:type="dxa"/>
            <w:tcBorders>
              <w:top w:val="nil"/>
              <w:left w:val="nil"/>
              <w:bottom w:val="single" w:sz="4" w:space="0" w:color="auto"/>
              <w:right w:val="single" w:sz="4" w:space="0" w:color="auto"/>
            </w:tcBorders>
            <w:vAlign w:val="center"/>
          </w:tcPr>
          <w:p w14:paraId="2B4B91B3"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28.87</w:t>
            </w:r>
          </w:p>
        </w:tc>
        <w:tc>
          <w:tcPr>
            <w:tcW w:w="1134" w:type="dxa"/>
            <w:tcBorders>
              <w:top w:val="nil"/>
              <w:left w:val="nil"/>
              <w:bottom w:val="single" w:sz="4" w:space="0" w:color="auto"/>
              <w:right w:val="single" w:sz="4" w:space="0" w:color="auto"/>
            </w:tcBorders>
            <w:vAlign w:val="center"/>
            <w:hideMark/>
          </w:tcPr>
          <w:p w14:paraId="0D215659"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52FA5166"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68119151" w14:textId="77777777" w:rsidR="009A2088" w:rsidRPr="008A51CD" w:rsidRDefault="009A2088" w:rsidP="00AF2762">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9A2088" w:rsidRPr="008A51CD" w14:paraId="00727BBC" w14:textId="77777777" w:rsidTr="009A2088">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B58E6ED"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hideMark/>
          </w:tcPr>
          <w:p w14:paraId="0C9FE7AB"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hideMark/>
          </w:tcPr>
          <w:p w14:paraId="6D874F3A"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9A2088" w:rsidRPr="008A51CD" w14:paraId="66279C86" w14:textId="77777777" w:rsidTr="009A2088">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0189AD" w14:textId="77777777" w:rsidR="009A2088" w:rsidRPr="008A51CD" w:rsidRDefault="009A2088" w:rsidP="00AF2762">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D0B9C66" w14:textId="77777777" w:rsidR="009A2088" w:rsidRPr="008A51CD" w:rsidRDefault="009A2088" w:rsidP="00AF2762">
            <w:pPr>
              <w:rPr>
                <w:rFonts w:ascii="宋体" w:eastAsia="宋体" w:hAnsi="宋体" w:cs="宋体" w:hint="eastAsia"/>
                <w:sz w:val="18"/>
                <w:szCs w:val="18"/>
                <w:lang w:eastAsia="zh-CN"/>
              </w:rPr>
            </w:pPr>
            <w:r>
              <w:rPr>
                <w:rFonts w:ascii="宋体" w:eastAsia="宋体" w:hAnsi="宋体" w:cs="宋体" w:hint="eastAsia"/>
                <w:sz w:val="18"/>
                <w:szCs w:val="18"/>
                <w:lang w:eastAsia="zh-CN"/>
              </w:rPr>
              <w:t>米东区委宣传部的主要职责：(一)研究拟订宣传思想文化工作的方针、政策和事业发展总体规划,按照区委统一部署,协调宣传思想文化系统各部门之间的工作。（二）统筹协调党的意识形态工作。贯彻落实区委关于意识形态工作决策部署，组织协调意识形态工作责任制落实和日常监督检查，结合巡察工作开展专项检查。（三）统筹指导协调全区理论研究、理论学习、理论宣传工作，组织推动理论武装工作。（四）负责规划组织领导全区思想政治工作和群众性精神文明建设活动：会同相关部门做好全区国防教育工作；配合区委组织部做好党员教育工作；会同有关部门研究和改进群众思想教育工作。（五）统筹分析研判和引导社会舆论，指导协调区属各新闻单位工作，组织突发公共事件应急新闻工作；承担区突发公共事件应急新闻中心的日常工作。（六）贯彻落实新闻出版业的管理政策，管理新闻出版行政事务；组织协调有关行政审批工作，统筹规划和指导协调新闻出版事业、产业发展；监督管理出版物内容和质量，监督管理印刷业，管理著作权等；组织指导协调全区“扫黄打非”</w:t>
            </w:r>
            <w:r>
              <w:rPr>
                <w:rFonts w:ascii="宋体" w:eastAsia="宋体" w:hAnsi="宋体" w:cs="宋体" w:hint="eastAsia"/>
                <w:sz w:val="18"/>
                <w:szCs w:val="18"/>
              </w:rPr>
              <w:t>エ</w:t>
            </w:r>
            <w:r>
              <w:rPr>
                <w:rFonts w:ascii="宋体" w:eastAsia="宋体" w:hAnsi="宋体" w:cs="宋体" w:hint="eastAsia"/>
                <w:sz w:val="18"/>
                <w:szCs w:val="18"/>
                <w:lang w:eastAsia="zh-CN"/>
              </w:rPr>
              <w:t>作。（七）统筹指导协调全区互联网宣传和信息内容管理工作；统筹协调数字新媒体的建设与管理。（八）负责组织实施全区精神文明建设规划、协调、指导、创建工作，负责规划和统筹协调未成年人思想道德建设工作；统筹指导协调推动精神文化产品的创作和生产，协调组织中华优秀传统</w:t>
            </w:r>
            <w:r>
              <w:rPr>
                <w:rFonts w:ascii="宋体" w:eastAsia="宋体" w:hAnsi="宋体" w:cs="宋体" w:hint="eastAsia"/>
                <w:sz w:val="18"/>
                <w:szCs w:val="18"/>
                <w:lang w:eastAsia="zh-CN"/>
              </w:rPr>
              <w:lastRenderedPageBreak/>
              <w:t>文化传承发展有关工作，指导协调推动群众文化建设。(九)负责全区宣传文化产品的审读审批鉴定,对全区审读审批鉴定工作进行集中统一管理;做好全区审读工作组织协调、督查落实、指导管理,推进审读工作体系化建设。(十)指导监管电影发行、放映等工作;对新闻出版、广播影视、文化艺术业改革发展研究提出政策性建议,统筹指导协调文化体制改革和文化事业、文化产业及旅游业发展;指导协调国有文化资产监管工作。(十一)统筹指导舆情信息工作,组织协调开展舆情信息收集分析研判工作,跟踪了解、研究掌握宣传舆情动态。(十二)统筹协调对外宣传工作,指导协调有关部门研究拟订对外宣传工作战略、重大方针政策和对外宣传事业发展总体规划;拟订我区重大问题对外宣传口径。(十三)统筹协调组织开展新闻发布工作;承担我区新闻发布有关组织协调工作,负责区人民政府新闻发布组织实施工作;指导协调政府各部门和各乡镇(片区)的新闻发布工作,推动新闻发言人制度建设。(十四)配合组织部门抓好宣传、新闻、文化、出版、社会科学研究等方面宣传文化单位领导班子建设和领导干部的培养、教育、考察和监督工作;负责组织开展宣传思想文化系统干部教育培训和人才工作;组织协调新闻、出版、文艺和政工等系列专业技术职称评审工作。(十五)对区互联网信息办公室互联网宣传和信息内容管理方面的工作实施方针、政策的指导。(十六)承办区委交办的其他事项。2024年工作任务：1.加强全区公共文化服务体系建设，做好7个乡镇（81个）农家书屋图书配送到位；2..负责组织实施全区精神文明建设规划、协调、指导创建及全国文明城市创建工作，确保中央迎检顺利通过；3.贯彻落实新闻出版业务的管理政策，监督管理出版物内容和质量，监管印刷业，组织指导协调全区“扫黄打非”工作，全力扫除各类文化垃圾、坚决守好全区意识形态阵地，确保意识形态安全。文化权益，维护我区文化安全。4.举办基层理论宣讲员大赛，组件“魅力米东”百姓巡回宣讲活动。</w:t>
            </w:r>
          </w:p>
        </w:tc>
        <w:tc>
          <w:tcPr>
            <w:tcW w:w="4547" w:type="dxa"/>
            <w:gridSpan w:val="4"/>
            <w:tcBorders>
              <w:top w:val="single" w:sz="4" w:space="0" w:color="auto"/>
              <w:left w:val="nil"/>
              <w:bottom w:val="single" w:sz="4" w:space="0" w:color="auto"/>
              <w:right w:val="single" w:sz="4" w:space="0" w:color="auto"/>
            </w:tcBorders>
          </w:tcPr>
          <w:p w14:paraId="317BBF3C" w14:textId="77777777" w:rsidR="009A2088" w:rsidRPr="008A51CD" w:rsidRDefault="009A2088" w:rsidP="00AF2762">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2024年完成工作任务：1.加强全区公共文化服务体系建设，做好7个乡镇（80个）农家书屋图书配送到位；2；完成3.完成全国文明城市创建工作氛围营造在全区主次干道制作宣传版面制作82块，确保中央迎检顺利通过；文化权益，维护我区文化安全。4.举办基层理论宣讲员大赛，组件“魅力米东”百姓巡回宣讲活动，全年完成稻粒宣讲团宣讲50场次。</w:t>
            </w:r>
          </w:p>
        </w:tc>
      </w:tr>
      <w:tr w:rsidR="009A2088" w:rsidRPr="008A51CD" w14:paraId="71B0BFC2" w14:textId="77777777" w:rsidTr="009A2088">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8ACB3B3"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34768689"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42140B90"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hideMark/>
          </w:tcPr>
          <w:p w14:paraId="160C6C55"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hideMark/>
          </w:tcPr>
          <w:p w14:paraId="75A4A442"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hideMark/>
          </w:tcPr>
          <w:p w14:paraId="483E7EB3" w14:textId="77777777" w:rsidR="009A2088" w:rsidRPr="006605D5" w:rsidRDefault="009A2088" w:rsidP="00AF2762">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hideMark/>
          </w:tcPr>
          <w:p w14:paraId="208F6349" w14:textId="77777777" w:rsidR="009A2088" w:rsidRPr="006605D5" w:rsidRDefault="009A2088" w:rsidP="00AF2762">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hideMark/>
          </w:tcPr>
          <w:p w14:paraId="37E09B39" w14:textId="77777777" w:rsidR="009A2088" w:rsidRPr="008A51CD" w:rsidRDefault="009A2088" w:rsidP="00AF276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9A2088" w:rsidRPr="008A51CD" w14:paraId="0AD79180" w14:textId="77777777" w:rsidTr="009A2088">
        <w:trPr>
          <w:trHeight w:val="740"/>
        </w:trPr>
        <w:tc>
          <w:tcPr>
            <w:tcW w:w="993" w:type="dxa"/>
            <w:vMerge w:val="restart"/>
            <w:tcBorders>
              <w:top w:val="single" w:sz="4" w:space="0" w:color="auto"/>
              <w:left w:val="single" w:sz="4" w:space="0" w:color="auto"/>
              <w:right w:val="single" w:sz="4" w:space="0" w:color="auto"/>
            </w:tcBorders>
            <w:noWrap/>
            <w:vAlign w:val="center"/>
          </w:tcPr>
          <w:p w14:paraId="24B96B31"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7851F80F"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7BA65FAA" w14:textId="77777777" w:rsidR="009A2088" w:rsidRPr="008A51CD" w:rsidRDefault="009A2088" w:rsidP="00AF2762">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开展“我们的节日”主题活动</w:t>
            </w:r>
          </w:p>
        </w:tc>
        <w:tc>
          <w:tcPr>
            <w:tcW w:w="1276" w:type="dxa"/>
            <w:tcBorders>
              <w:top w:val="nil"/>
              <w:left w:val="nil"/>
              <w:bottom w:val="single" w:sz="4" w:space="0" w:color="auto"/>
              <w:right w:val="single" w:sz="4" w:space="0" w:color="auto"/>
            </w:tcBorders>
            <w:noWrap/>
            <w:vAlign w:val="center"/>
          </w:tcPr>
          <w:p w14:paraId="38B105A7"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&gt;=6场次</w:t>
            </w:r>
          </w:p>
        </w:tc>
        <w:tc>
          <w:tcPr>
            <w:tcW w:w="1701" w:type="dxa"/>
            <w:tcBorders>
              <w:top w:val="nil"/>
              <w:left w:val="nil"/>
              <w:bottom w:val="single" w:sz="4" w:space="0" w:color="auto"/>
              <w:right w:val="single" w:sz="4" w:space="0" w:color="auto"/>
            </w:tcBorders>
            <w:noWrap/>
            <w:vAlign w:val="center"/>
          </w:tcPr>
          <w:p w14:paraId="7A32AC1C" w14:textId="77777777" w:rsidR="009A2088" w:rsidRPr="008A51CD" w:rsidRDefault="009A2088" w:rsidP="00AF2762">
            <w:pPr>
              <w:rPr>
                <w:rFonts w:ascii="宋体" w:eastAsia="宋体" w:hAnsi="宋体" w:cs="宋体" w:hint="eastAsia"/>
                <w:sz w:val="18"/>
                <w:szCs w:val="18"/>
                <w:lang w:eastAsia="zh-CN"/>
              </w:rPr>
            </w:pPr>
            <w:r>
              <w:rPr>
                <w:rFonts w:ascii="宋体" w:eastAsia="宋体" w:hAnsi="宋体" w:cs="宋体" w:hint="eastAsia"/>
                <w:sz w:val="18"/>
                <w:szCs w:val="18"/>
                <w:lang w:eastAsia="zh-CN"/>
              </w:rPr>
              <w:t>2022年全国文明城市目标任务（网上部分）米东区责任分解表</w:t>
            </w:r>
          </w:p>
        </w:tc>
        <w:tc>
          <w:tcPr>
            <w:tcW w:w="1134" w:type="dxa"/>
            <w:tcBorders>
              <w:top w:val="nil"/>
              <w:left w:val="nil"/>
              <w:bottom w:val="single" w:sz="4" w:space="0" w:color="auto"/>
              <w:right w:val="single" w:sz="4" w:space="0" w:color="auto"/>
            </w:tcBorders>
            <w:noWrap/>
            <w:vAlign w:val="center"/>
          </w:tcPr>
          <w:p w14:paraId="0501A337"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6场次</w:t>
            </w:r>
          </w:p>
        </w:tc>
        <w:tc>
          <w:tcPr>
            <w:tcW w:w="992" w:type="dxa"/>
            <w:tcBorders>
              <w:top w:val="nil"/>
              <w:left w:val="nil"/>
              <w:bottom w:val="single" w:sz="4" w:space="0" w:color="auto"/>
              <w:right w:val="single" w:sz="4" w:space="0" w:color="auto"/>
            </w:tcBorders>
            <w:noWrap/>
            <w:vAlign w:val="center"/>
          </w:tcPr>
          <w:p w14:paraId="2ADF1DF8"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nil"/>
              <w:left w:val="nil"/>
              <w:bottom w:val="single" w:sz="4" w:space="0" w:color="auto"/>
              <w:right w:val="single" w:sz="4" w:space="0" w:color="auto"/>
            </w:tcBorders>
            <w:noWrap/>
            <w:vAlign w:val="center"/>
          </w:tcPr>
          <w:p w14:paraId="4C8D7448"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20</w:t>
            </w:r>
          </w:p>
        </w:tc>
      </w:tr>
      <w:tr w:rsidR="009A2088" w:rsidRPr="008A51CD" w14:paraId="1C15AAA7" w14:textId="77777777" w:rsidTr="009A2088">
        <w:trPr>
          <w:trHeight w:val="740"/>
        </w:trPr>
        <w:tc>
          <w:tcPr>
            <w:tcW w:w="993" w:type="dxa"/>
            <w:vMerge/>
            <w:tcBorders>
              <w:left w:val="single" w:sz="4" w:space="0" w:color="auto"/>
              <w:right w:val="single" w:sz="4" w:space="0" w:color="auto"/>
            </w:tcBorders>
            <w:noWrap/>
            <w:vAlign w:val="center"/>
          </w:tcPr>
          <w:p w14:paraId="0AF5A190" w14:textId="77777777" w:rsidR="009A2088" w:rsidRPr="008A51CD" w:rsidRDefault="009A2088" w:rsidP="00AF276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C43BE6C" w14:textId="77777777" w:rsidR="009A2088" w:rsidRPr="008A51CD" w:rsidRDefault="009A2088" w:rsidP="00AF276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DECF60D" w14:textId="77777777" w:rsidR="009A2088" w:rsidRPr="008A51CD" w:rsidRDefault="009A2088" w:rsidP="00AF2762">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修复全区主次干道宣传版面</w:t>
            </w:r>
          </w:p>
        </w:tc>
        <w:tc>
          <w:tcPr>
            <w:tcW w:w="1276" w:type="dxa"/>
            <w:tcBorders>
              <w:top w:val="nil"/>
              <w:left w:val="nil"/>
              <w:bottom w:val="single" w:sz="4" w:space="0" w:color="auto"/>
              <w:right w:val="single" w:sz="4" w:space="0" w:color="auto"/>
            </w:tcBorders>
            <w:noWrap/>
            <w:vAlign w:val="center"/>
          </w:tcPr>
          <w:p w14:paraId="26A808C5"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&gt;=100块</w:t>
            </w:r>
          </w:p>
        </w:tc>
        <w:tc>
          <w:tcPr>
            <w:tcW w:w="1701" w:type="dxa"/>
            <w:tcBorders>
              <w:top w:val="nil"/>
              <w:left w:val="nil"/>
              <w:bottom w:val="single" w:sz="4" w:space="0" w:color="auto"/>
              <w:right w:val="single" w:sz="4" w:space="0" w:color="auto"/>
            </w:tcBorders>
            <w:noWrap/>
            <w:vAlign w:val="center"/>
          </w:tcPr>
          <w:p w14:paraId="17654250" w14:textId="77777777" w:rsidR="009A2088" w:rsidRPr="008A51CD" w:rsidRDefault="009A2088" w:rsidP="00AF2762">
            <w:pPr>
              <w:rPr>
                <w:rFonts w:ascii="宋体" w:eastAsia="宋体" w:hAnsi="宋体" w:cs="宋体" w:hint="eastAsia"/>
                <w:sz w:val="18"/>
                <w:szCs w:val="18"/>
                <w:lang w:eastAsia="zh-CN"/>
              </w:rPr>
            </w:pPr>
            <w:r>
              <w:rPr>
                <w:rFonts w:ascii="宋体" w:eastAsia="宋体" w:hAnsi="宋体" w:cs="宋体" w:hint="eastAsia"/>
                <w:sz w:val="18"/>
                <w:szCs w:val="18"/>
                <w:lang w:eastAsia="zh-CN"/>
              </w:rPr>
              <w:t>创建全国文明城市实地点位标准手册</w:t>
            </w:r>
          </w:p>
        </w:tc>
        <w:tc>
          <w:tcPr>
            <w:tcW w:w="1134" w:type="dxa"/>
            <w:tcBorders>
              <w:top w:val="nil"/>
              <w:left w:val="nil"/>
              <w:bottom w:val="single" w:sz="4" w:space="0" w:color="auto"/>
              <w:right w:val="single" w:sz="4" w:space="0" w:color="auto"/>
            </w:tcBorders>
            <w:noWrap/>
            <w:vAlign w:val="center"/>
          </w:tcPr>
          <w:p w14:paraId="22ADBB40"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82块</w:t>
            </w:r>
          </w:p>
        </w:tc>
        <w:tc>
          <w:tcPr>
            <w:tcW w:w="992" w:type="dxa"/>
            <w:tcBorders>
              <w:top w:val="nil"/>
              <w:left w:val="nil"/>
              <w:bottom w:val="single" w:sz="4" w:space="0" w:color="auto"/>
              <w:right w:val="single" w:sz="4" w:space="0" w:color="auto"/>
            </w:tcBorders>
            <w:noWrap/>
            <w:vAlign w:val="center"/>
          </w:tcPr>
          <w:p w14:paraId="7DF544F6"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456392D8"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24.6</w:t>
            </w:r>
          </w:p>
        </w:tc>
      </w:tr>
      <w:tr w:rsidR="009A2088" w:rsidRPr="008A51CD" w14:paraId="7130C08E" w14:textId="77777777" w:rsidTr="009A2088">
        <w:trPr>
          <w:trHeight w:val="740"/>
        </w:trPr>
        <w:tc>
          <w:tcPr>
            <w:tcW w:w="993" w:type="dxa"/>
            <w:vMerge/>
            <w:tcBorders>
              <w:left w:val="single" w:sz="4" w:space="0" w:color="auto"/>
              <w:right w:val="single" w:sz="4" w:space="0" w:color="auto"/>
            </w:tcBorders>
            <w:noWrap/>
            <w:vAlign w:val="center"/>
          </w:tcPr>
          <w:p w14:paraId="064076E7" w14:textId="77777777" w:rsidR="009A2088" w:rsidRPr="008A51CD" w:rsidRDefault="009A2088" w:rsidP="00AF276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21E322A" w14:textId="77777777" w:rsidR="009A2088" w:rsidRPr="008A51CD" w:rsidRDefault="009A2088" w:rsidP="00AF276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B776295" w14:textId="77777777" w:rsidR="009A2088" w:rsidRPr="008A51CD" w:rsidRDefault="009A2088" w:rsidP="00AF2762">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《文化润疆·米东丛书》出版作品</w:t>
            </w:r>
          </w:p>
        </w:tc>
        <w:tc>
          <w:tcPr>
            <w:tcW w:w="1276" w:type="dxa"/>
            <w:tcBorders>
              <w:top w:val="nil"/>
              <w:left w:val="nil"/>
              <w:bottom w:val="single" w:sz="4" w:space="0" w:color="auto"/>
              <w:right w:val="single" w:sz="4" w:space="0" w:color="auto"/>
            </w:tcBorders>
            <w:noWrap/>
            <w:vAlign w:val="center"/>
          </w:tcPr>
          <w:p w14:paraId="7E0DA233"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=2部</w:t>
            </w:r>
          </w:p>
        </w:tc>
        <w:tc>
          <w:tcPr>
            <w:tcW w:w="1701" w:type="dxa"/>
            <w:tcBorders>
              <w:top w:val="nil"/>
              <w:left w:val="nil"/>
              <w:bottom w:val="single" w:sz="4" w:space="0" w:color="auto"/>
              <w:right w:val="single" w:sz="4" w:space="0" w:color="auto"/>
            </w:tcBorders>
            <w:noWrap/>
            <w:vAlign w:val="center"/>
          </w:tcPr>
          <w:p w14:paraId="6C1487F2" w14:textId="77777777" w:rsidR="009A2088" w:rsidRPr="008A51CD" w:rsidRDefault="009A2088" w:rsidP="00AF2762">
            <w:pPr>
              <w:rPr>
                <w:rFonts w:ascii="宋体" w:eastAsia="宋体" w:hAnsi="宋体" w:cs="宋体" w:hint="eastAsia"/>
                <w:sz w:val="18"/>
                <w:szCs w:val="18"/>
                <w:lang w:eastAsia="zh-CN"/>
              </w:rPr>
            </w:pPr>
            <w:r>
              <w:rPr>
                <w:rFonts w:ascii="宋体" w:eastAsia="宋体" w:hAnsi="宋体" w:cs="宋体" w:hint="eastAsia"/>
                <w:sz w:val="18"/>
                <w:szCs w:val="18"/>
                <w:lang w:eastAsia="zh-CN"/>
              </w:rPr>
              <w:t>中共米东区委办公室米东区人民政府办公室关于印发《2022年文化润疆工程实施方案》的通知</w:t>
            </w:r>
          </w:p>
        </w:tc>
        <w:tc>
          <w:tcPr>
            <w:tcW w:w="1134" w:type="dxa"/>
            <w:tcBorders>
              <w:top w:val="nil"/>
              <w:left w:val="nil"/>
              <w:bottom w:val="single" w:sz="4" w:space="0" w:color="auto"/>
              <w:right w:val="single" w:sz="4" w:space="0" w:color="auto"/>
            </w:tcBorders>
            <w:noWrap/>
            <w:vAlign w:val="center"/>
          </w:tcPr>
          <w:p w14:paraId="6AB02DD9"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1部</w:t>
            </w:r>
          </w:p>
        </w:tc>
        <w:tc>
          <w:tcPr>
            <w:tcW w:w="992" w:type="dxa"/>
            <w:tcBorders>
              <w:top w:val="nil"/>
              <w:left w:val="nil"/>
              <w:bottom w:val="single" w:sz="4" w:space="0" w:color="auto"/>
              <w:right w:val="single" w:sz="4" w:space="0" w:color="auto"/>
            </w:tcBorders>
            <w:noWrap/>
            <w:vAlign w:val="center"/>
          </w:tcPr>
          <w:p w14:paraId="03DBBD12"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nil"/>
              <w:left w:val="nil"/>
              <w:bottom w:val="single" w:sz="4" w:space="0" w:color="auto"/>
              <w:right w:val="single" w:sz="4" w:space="0" w:color="auto"/>
            </w:tcBorders>
            <w:noWrap/>
            <w:vAlign w:val="center"/>
          </w:tcPr>
          <w:p w14:paraId="1FF109D9"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10</w:t>
            </w:r>
          </w:p>
        </w:tc>
      </w:tr>
      <w:tr w:rsidR="009A2088" w:rsidRPr="008A51CD" w14:paraId="74A23ABB" w14:textId="77777777" w:rsidTr="009A2088">
        <w:trPr>
          <w:trHeight w:val="740"/>
        </w:trPr>
        <w:tc>
          <w:tcPr>
            <w:tcW w:w="993" w:type="dxa"/>
            <w:vMerge/>
            <w:tcBorders>
              <w:left w:val="single" w:sz="4" w:space="0" w:color="auto"/>
              <w:bottom w:val="single" w:sz="4" w:space="0" w:color="auto"/>
              <w:right w:val="single" w:sz="4" w:space="0" w:color="auto"/>
            </w:tcBorders>
            <w:noWrap/>
            <w:vAlign w:val="center"/>
          </w:tcPr>
          <w:p w14:paraId="765808AF" w14:textId="77777777" w:rsidR="009A2088" w:rsidRPr="008A51CD" w:rsidRDefault="009A2088" w:rsidP="00AF2762">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A522094" w14:textId="77777777" w:rsidR="009A2088" w:rsidRPr="008A51CD" w:rsidRDefault="009A2088" w:rsidP="00AF2762">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2BB8A31C" w14:textId="77777777" w:rsidR="009A2088" w:rsidRPr="008A51CD" w:rsidRDefault="009A2088" w:rsidP="00AF2762">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“稻粒”宣讲团宣讲活动</w:t>
            </w:r>
          </w:p>
        </w:tc>
        <w:tc>
          <w:tcPr>
            <w:tcW w:w="1276" w:type="dxa"/>
            <w:tcBorders>
              <w:top w:val="single" w:sz="4" w:space="0" w:color="auto"/>
              <w:left w:val="nil"/>
              <w:bottom w:val="single" w:sz="4" w:space="0" w:color="auto"/>
              <w:right w:val="single" w:sz="4" w:space="0" w:color="auto"/>
            </w:tcBorders>
            <w:noWrap/>
            <w:vAlign w:val="center"/>
          </w:tcPr>
          <w:p w14:paraId="65563EBD"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&gt;=50场次</w:t>
            </w:r>
          </w:p>
        </w:tc>
        <w:tc>
          <w:tcPr>
            <w:tcW w:w="1701" w:type="dxa"/>
            <w:tcBorders>
              <w:top w:val="single" w:sz="4" w:space="0" w:color="auto"/>
              <w:left w:val="nil"/>
              <w:bottom w:val="single" w:sz="4" w:space="0" w:color="auto"/>
              <w:right w:val="single" w:sz="4" w:space="0" w:color="auto"/>
            </w:tcBorders>
            <w:noWrap/>
            <w:vAlign w:val="center"/>
          </w:tcPr>
          <w:p w14:paraId="38B1C322" w14:textId="77777777" w:rsidR="009A2088" w:rsidRPr="008A51CD" w:rsidRDefault="009A2088" w:rsidP="00AF2762">
            <w:pPr>
              <w:rPr>
                <w:rFonts w:ascii="宋体" w:eastAsia="宋体" w:hAnsi="宋体" w:cs="宋体" w:hint="eastAsia"/>
                <w:sz w:val="18"/>
                <w:szCs w:val="18"/>
                <w:lang w:eastAsia="zh-CN"/>
              </w:rPr>
            </w:pPr>
            <w:r>
              <w:rPr>
                <w:rFonts w:ascii="宋体" w:eastAsia="宋体" w:hAnsi="宋体" w:cs="宋体" w:hint="eastAsia"/>
                <w:sz w:val="18"/>
                <w:szCs w:val="18"/>
                <w:lang w:eastAsia="zh-CN"/>
              </w:rPr>
              <w:t>中共米东区委办公室米东区人民政府办公室关于印发《2022年文化润疆工程实施方案》的通知</w:t>
            </w:r>
          </w:p>
        </w:tc>
        <w:tc>
          <w:tcPr>
            <w:tcW w:w="1134" w:type="dxa"/>
            <w:tcBorders>
              <w:top w:val="single" w:sz="4" w:space="0" w:color="auto"/>
              <w:left w:val="nil"/>
              <w:bottom w:val="single" w:sz="4" w:space="0" w:color="auto"/>
              <w:right w:val="single" w:sz="4" w:space="0" w:color="auto"/>
            </w:tcBorders>
            <w:noWrap/>
            <w:vAlign w:val="center"/>
          </w:tcPr>
          <w:p w14:paraId="1697CD77"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50场次</w:t>
            </w:r>
          </w:p>
        </w:tc>
        <w:tc>
          <w:tcPr>
            <w:tcW w:w="992" w:type="dxa"/>
            <w:tcBorders>
              <w:top w:val="single" w:sz="4" w:space="0" w:color="auto"/>
              <w:left w:val="nil"/>
              <w:bottom w:val="single" w:sz="4" w:space="0" w:color="auto"/>
              <w:right w:val="single" w:sz="4" w:space="0" w:color="auto"/>
            </w:tcBorders>
            <w:noWrap/>
            <w:vAlign w:val="center"/>
          </w:tcPr>
          <w:p w14:paraId="58B2071A"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single" w:sz="4" w:space="0" w:color="auto"/>
              <w:left w:val="nil"/>
              <w:bottom w:val="single" w:sz="4" w:space="0" w:color="auto"/>
              <w:right w:val="single" w:sz="4" w:space="0" w:color="auto"/>
            </w:tcBorders>
            <w:noWrap/>
            <w:vAlign w:val="center"/>
          </w:tcPr>
          <w:p w14:paraId="40C7451D"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20</w:t>
            </w:r>
          </w:p>
        </w:tc>
      </w:tr>
      <w:tr w:rsidR="009A2088" w:rsidRPr="008A51CD" w14:paraId="47C880E7" w14:textId="77777777" w:rsidTr="009A2088">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0EB4190A"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2E3146E9"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337A2DEA" w14:textId="77777777" w:rsidR="009A2088" w:rsidRPr="008A51CD" w:rsidRDefault="009A2088" w:rsidP="00AF2762">
            <w:pPr>
              <w:jc w:val="center"/>
              <w:rPr>
                <w:rFonts w:ascii="宋体" w:eastAsia="宋体" w:hAnsi="宋体" w:cs="宋体" w:hint="eastAsia"/>
                <w:sz w:val="18"/>
                <w:szCs w:val="18"/>
              </w:rPr>
            </w:pPr>
            <w:r>
              <w:rPr>
                <w:rFonts w:ascii="宋体" w:eastAsia="宋体" w:hAnsi="宋体" w:cs="宋体" w:hint="eastAsia"/>
                <w:sz w:val="18"/>
                <w:szCs w:val="18"/>
              </w:rPr>
              <w:t>84.54</w:t>
            </w:r>
          </w:p>
        </w:tc>
      </w:tr>
    </w:tbl>
    <w:p w14:paraId="7205FBA7" w14:textId="77777777" w:rsidR="009A2088" w:rsidRPr="00E12EB7" w:rsidRDefault="009A2088" w:rsidP="009A2088">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r w:rsidRPr="00E12EB7">
        <w:rPr>
          <w:rFonts w:ascii="宋体" w:eastAsia="宋体" w:hAnsi="宋体" w:cs="宋体" w:hint="eastAsia"/>
          <w:b/>
          <w:bCs/>
          <w:sz w:val="28"/>
          <w:szCs w:val="28"/>
        </w:rPr>
        <w:lastRenderedPageBreak/>
        <w:t>项目支出绩效自评表</w:t>
      </w:r>
    </w:p>
    <w:p w14:paraId="6A94186C" w14:textId="77777777" w:rsidR="009A2088" w:rsidRPr="00E12EB7" w:rsidRDefault="009A2088" w:rsidP="009A2088">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A2088" w:rsidRPr="00EB08A3" w14:paraId="5C5B350C" w14:textId="77777777" w:rsidTr="00AF2762">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E79D0A8"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3246ACAD"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乌财教科[2024]3号-2024年中央补助地方公共文化服务体系建设补助资金</w:t>
            </w:r>
          </w:p>
        </w:tc>
      </w:tr>
      <w:tr w:rsidR="009A2088" w:rsidRPr="00EB08A3" w14:paraId="6DBE60F8" w14:textId="77777777" w:rsidTr="00AF2762">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20F0326"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04F890F7"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中共乌鲁木齐市米东区委员会宣传部</w:t>
            </w:r>
          </w:p>
        </w:tc>
        <w:tc>
          <w:tcPr>
            <w:tcW w:w="1275" w:type="dxa"/>
            <w:gridSpan w:val="2"/>
            <w:tcBorders>
              <w:top w:val="nil"/>
              <w:left w:val="nil"/>
              <w:bottom w:val="single" w:sz="4" w:space="0" w:color="auto"/>
              <w:right w:val="single" w:sz="4" w:space="0" w:color="000000"/>
            </w:tcBorders>
            <w:vAlign w:val="center"/>
          </w:tcPr>
          <w:p w14:paraId="4EDE0422" w14:textId="77777777" w:rsidR="009A2088" w:rsidRPr="00EB08A3" w:rsidRDefault="009A2088" w:rsidP="00AF2762">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651733B"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中共乌鲁木齐市米东区委员会宣传部</w:t>
            </w:r>
          </w:p>
        </w:tc>
      </w:tr>
      <w:tr w:rsidR="009A2088" w:rsidRPr="00EB08A3" w14:paraId="7A5B4DD0" w14:textId="77777777" w:rsidTr="00AF276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9AEF53"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41DC05EA" w14:textId="77777777" w:rsidR="009A2088" w:rsidRPr="00EB08A3" w:rsidRDefault="009A2088" w:rsidP="00AF2762">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30DBB5C7"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77D96FFA"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6BA9BE1B"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69EF0E6A"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1308D50C"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54E1ED59"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9A2088" w:rsidRPr="00EB08A3" w14:paraId="320F3A73" w14:textId="77777777" w:rsidTr="00AF27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C526A4" w14:textId="77777777" w:rsidR="009A2088" w:rsidRPr="00EB08A3" w:rsidRDefault="009A2088" w:rsidP="00AF2762">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56821A4"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6DF7608"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16.20</w:t>
            </w:r>
          </w:p>
        </w:tc>
        <w:tc>
          <w:tcPr>
            <w:tcW w:w="1125" w:type="dxa"/>
            <w:tcBorders>
              <w:top w:val="nil"/>
              <w:left w:val="nil"/>
              <w:bottom w:val="single" w:sz="4" w:space="0" w:color="auto"/>
              <w:right w:val="single" w:sz="4" w:space="0" w:color="auto"/>
            </w:tcBorders>
            <w:noWrap/>
            <w:vAlign w:val="center"/>
          </w:tcPr>
          <w:p w14:paraId="35BFE8A6"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16.20</w:t>
            </w:r>
          </w:p>
        </w:tc>
        <w:tc>
          <w:tcPr>
            <w:tcW w:w="1275" w:type="dxa"/>
            <w:gridSpan w:val="2"/>
            <w:tcBorders>
              <w:top w:val="single" w:sz="4" w:space="0" w:color="auto"/>
              <w:left w:val="nil"/>
              <w:bottom w:val="single" w:sz="4" w:space="0" w:color="auto"/>
              <w:right w:val="single" w:sz="4" w:space="0" w:color="000000"/>
            </w:tcBorders>
            <w:noWrap/>
            <w:vAlign w:val="center"/>
          </w:tcPr>
          <w:p w14:paraId="1E4CF6AF"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134" w:type="dxa"/>
            <w:gridSpan w:val="2"/>
            <w:tcBorders>
              <w:top w:val="single" w:sz="4" w:space="0" w:color="auto"/>
              <w:left w:val="nil"/>
              <w:bottom w:val="single" w:sz="4" w:space="0" w:color="auto"/>
              <w:right w:val="single" w:sz="4" w:space="0" w:color="auto"/>
            </w:tcBorders>
            <w:vAlign w:val="center"/>
          </w:tcPr>
          <w:p w14:paraId="09A04AE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56643A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98.77%</w:t>
            </w:r>
          </w:p>
        </w:tc>
        <w:tc>
          <w:tcPr>
            <w:tcW w:w="1275" w:type="dxa"/>
            <w:tcBorders>
              <w:top w:val="nil"/>
              <w:left w:val="nil"/>
              <w:bottom w:val="single" w:sz="4" w:space="0" w:color="auto"/>
              <w:right w:val="single" w:sz="4" w:space="0" w:color="auto"/>
            </w:tcBorders>
            <w:vAlign w:val="center"/>
          </w:tcPr>
          <w:p w14:paraId="1F3E3F4D"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9.88分</w:t>
            </w:r>
          </w:p>
        </w:tc>
      </w:tr>
      <w:tr w:rsidR="009A2088" w:rsidRPr="00EB08A3" w14:paraId="0BE49DCD" w14:textId="77777777" w:rsidTr="00AF27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422094" w14:textId="77777777" w:rsidR="009A2088" w:rsidRPr="00EB08A3" w:rsidRDefault="009A2088" w:rsidP="00AF2762">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CE8763A"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D0C6C35"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16.20</w:t>
            </w:r>
          </w:p>
        </w:tc>
        <w:tc>
          <w:tcPr>
            <w:tcW w:w="1125" w:type="dxa"/>
            <w:tcBorders>
              <w:top w:val="nil"/>
              <w:left w:val="nil"/>
              <w:bottom w:val="single" w:sz="4" w:space="0" w:color="auto"/>
              <w:right w:val="single" w:sz="4" w:space="0" w:color="auto"/>
            </w:tcBorders>
            <w:noWrap/>
            <w:vAlign w:val="center"/>
          </w:tcPr>
          <w:p w14:paraId="209FFEA1"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16.20</w:t>
            </w:r>
          </w:p>
        </w:tc>
        <w:tc>
          <w:tcPr>
            <w:tcW w:w="1275" w:type="dxa"/>
            <w:gridSpan w:val="2"/>
            <w:tcBorders>
              <w:top w:val="single" w:sz="4" w:space="0" w:color="auto"/>
              <w:left w:val="nil"/>
              <w:bottom w:val="single" w:sz="4" w:space="0" w:color="auto"/>
              <w:right w:val="single" w:sz="4" w:space="0" w:color="000000"/>
            </w:tcBorders>
            <w:noWrap/>
            <w:vAlign w:val="center"/>
          </w:tcPr>
          <w:p w14:paraId="34F82401"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134" w:type="dxa"/>
            <w:gridSpan w:val="2"/>
            <w:tcBorders>
              <w:top w:val="single" w:sz="4" w:space="0" w:color="auto"/>
              <w:left w:val="nil"/>
              <w:bottom w:val="single" w:sz="4" w:space="0" w:color="auto"/>
              <w:right w:val="single" w:sz="4" w:space="0" w:color="auto"/>
            </w:tcBorders>
            <w:vAlign w:val="center"/>
            <w:hideMark/>
          </w:tcPr>
          <w:p w14:paraId="2E8A1913" w14:textId="77777777" w:rsidR="009A2088" w:rsidRPr="00EB08A3" w:rsidRDefault="009A2088" w:rsidP="00AF2762">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2F0B829" w14:textId="77777777" w:rsidR="009A2088" w:rsidRPr="00EB08A3" w:rsidRDefault="009A2088" w:rsidP="00AF2762">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67D5B098" w14:textId="77777777" w:rsidR="009A2088" w:rsidRPr="00EB08A3" w:rsidRDefault="009A2088" w:rsidP="00AF2762">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A2088" w:rsidRPr="00EB08A3" w14:paraId="181C6DC2" w14:textId="77777777" w:rsidTr="00AF27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867F23" w14:textId="77777777" w:rsidR="009A2088" w:rsidRPr="00EB08A3" w:rsidRDefault="009A2088" w:rsidP="00AF2762">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EC84E5D"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57307CC"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8FEF7EC"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879F845"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6A36393E" w14:textId="77777777" w:rsidR="009A2088" w:rsidRPr="00EB08A3" w:rsidRDefault="009A2088" w:rsidP="00AF2762">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3D3EF8FC" w14:textId="77777777" w:rsidR="009A2088" w:rsidRPr="00EB08A3" w:rsidRDefault="009A2088" w:rsidP="00AF2762">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3E29FE2" w14:textId="77777777" w:rsidR="009A2088" w:rsidRPr="00EB08A3" w:rsidRDefault="009A2088" w:rsidP="00AF2762">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A2088" w:rsidRPr="00EB08A3" w14:paraId="25179383" w14:textId="77777777" w:rsidTr="00AF2762">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15AB57FD"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695B3456"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6AF3C69E"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9A2088" w:rsidRPr="00EB08A3" w14:paraId="4FE6C1DA" w14:textId="77777777" w:rsidTr="00AF276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482C2AA" w14:textId="77777777" w:rsidR="009A2088" w:rsidRPr="00EB08A3" w:rsidRDefault="009A2088" w:rsidP="00AF2762">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77729E77" w14:textId="77777777" w:rsidR="009A2088" w:rsidRPr="00EB08A3" w:rsidRDefault="009A2088" w:rsidP="00AF276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政治站位，着力加强思想文化引领，落实国家标准，确保每年每个农家书屋出版物补充更新资金不少于2000元，补充更新图书不少于60种，充分发挥优秀出版物的导向引领作用，为广大农民群众提供强大的精神力量。</w:t>
            </w:r>
          </w:p>
        </w:tc>
        <w:tc>
          <w:tcPr>
            <w:tcW w:w="4677" w:type="dxa"/>
            <w:gridSpan w:val="7"/>
            <w:tcBorders>
              <w:top w:val="single" w:sz="4" w:space="0" w:color="auto"/>
              <w:left w:val="nil"/>
              <w:bottom w:val="single" w:sz="4" w:space="0" w:color="auto"/>
              <w:right w:val="single" w:sz="4" w:space="0" w:color="000000"/>
            </w:tcBorders>
            <w:hideMark/>
          </w:tcPr>
          <w:p w14:paraId="0336299B" w14:textId="77777777" w:rsidR="009A2088" w:rsidRPr="00EB08A3" w:rsidRDefault="009A2088" w:rsidP="00AF276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通过与米东区新华书店达成给米东区行政村的农家书屋补充更新图书配送协议，农家书屋补充更新图书62种，每个农家书屋的更新配备资金2000元，共计16万元，完成了给80个农家书屋补充更新图书的配送任务，充分发挥了优秀出版物的导向引领作用，充分激活文化阵地，深受各族群众欢迎。</w:t>
            </w:r>
          </w:p>
        </w:tc>
      </w:tr>
      <w:tr w:rsidR="009A2088" w:rsidRPr="00EB08A3" w14:paraId="1D15F4B7" w14:textId="77777777" w:rsidTr="00AF2762">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62A797EB" w14:textId="77777777" w:rsidR="009A2088" w:rsidRPr="00EB08A3" w:rsidRDefault="009A2088" w:rsidP="00AF2762">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27C0D67"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7C1B0BFF"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4A81ED6"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30B3D27B"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7D9E913F"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37128D"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6CF7E05"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12254A5" w14:textId="77777777" w:rsidR="009A2088" w:rsidRPr="00EB08A3" w:rsidRDefault="009A2088" w:rsidP="00AF2762">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9A2088" w:rsidRPr="00EB08A3" w14:paraId="715184A3" w14:textId="77777777" w:rsidTr="00AF2762">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6E59E1DA" w14:textId="77777777" w:rsidR="009A2088" w:rsidRPr="00EB08A3" w:rsidRDefault="009A2088" w:rsidP="00AF2762">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093A5794" w14:textId="77777777" w:rsidR="009A2088" w:rsidRPr="00EB08A3" w:rsidRDefault="009A2088" w:rsidP="00AF2762">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1E3E8FE0" w14:textId="77777777" w:rsidR="009A2088" w:rsidRPr="00EB08A3" w:rsidRDefault="009A2088" w:rsidP="00AF2762">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122464F" w14:textId="77777777" w:rsidR="009A2088" w:rsidRPr="00EB08A3" w:rsidRDefault="009A2088" w:rsidP="00AF2762">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7AF03EE7" w14:textId="77777777" w:rsidR="009A2088" w:rsidRPr="00EB08A3" w:rsidRDefault="009A2088" w:rsidP="00AF2762">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6DAA2DEF" w14:textId="77777777" w:rsidR="009A2088" w:rsidRPr="00EB08A3" w:rsidRDefault="009A2088" w:rsidP="00AF2762">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4B11A25" w14:textId="77777777" w:rsidR="009A2088" w:rsidRPr="00EB08A3" w:rsidRDefault="009A2088" w:rsidP="00AF2762">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944BBB6" w14:textId="77777777" w:rsidR="009A2088" w:rsidRPr="00EB08A3" w:rsidRDefault="009A2088" w:rsidP="00AF2762">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CE1E66C" w14:textId="77777777" w:rsidR="009A2088" w:rsidRPr="00EB08A3" w:rsidRDefault="009A2088" w:rsidP="00AF2762">
            <w:pPr>
              <w:rPr>
                <w:rFonts w:ascii="宋体" w:eastAsia="宋体" w:hAnsi="宋体" w:cs="宋体" w:hint="eastAsia"/>
                <w:color w:val="000000"/>
                <w:sz w:val="18"/>
                <w:szCs w:val="18"/>
                <w:lang w:eastAsia="zh-CN"/>
              </w:rPr>
            </w:pPr>
          </w:p>
        </w:tc>
      </w:tr>
      <w:tr w:rsidR="009A2088" w:rsidRPr="00EB08A3" w14:paraId="6671C31E" w14:textId="77777777" w:rsidTr="00AF2762">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F5A6563" w14:textId="77777777" w:rsidR="009A2088" w:rsidRPr="00EB08A3" w:rsidRDefault="009A2088" w:rsidP="00AF2762">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9F070B1"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81FF518"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D0A5570" w14:textId="77777777" w:rsidR="009A2088" w:rsidRPr="00EB08A3" w:rsidRDefault="009A2088" w:rsidP="00AF2762">
            <w:pPr>
              <w:rPr>
                <w:rFonts w:ascii="宋体" w:eastAsia="宋体" w:hAnsi="宋体" w:cs="宋体" w:hint="eastAsia"/>
                <w:color w:val="000000"/>
                <w:sz w:val="18"/>
                <w:szCs w:val="18"/>
              </w:rPr>
            </w:pPr>
            <w:r>
              <w:rPr>
                <w:rFonts w:ascii="宋体" w:eastAsia="宋体" w:hAnsi="宋体" w:cs="宋体" w:hint="eastAsia"/>
                <w:color w:val="000000"/>
                <w:sz w:val="18"/>
                <w:szCs w:val="18"/>
              </w:rPr>
              <w:t>全区农家书屋个数</w:t>
            </w:r>
          </w:p>
        </w:tc>
        <w:tc>
          <w:tcPr>
            <w:tcW w:w="1125" w:type="dxa"/>
            <w:tcBorders>
              <w:top w:val="nil"/>
              <w:left w:val="nil"/>
              <w:bottom w:val="single" w:sz="4" w:space="0" w:color="auto"/>
              <w:right w:val="single" w:sz="4" w:space="0" w:color="auto"/>
            </w:tcBorders>
            <w:vAlign w:val="center"/>
          </w:tcPr>
          <w:p w14:paraId="207C7A9D"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=81个</w:t>
            </w:r>
          </w:p>
        </w:tc>
        <w:tc>
          <w:tcPr>
            <w:tcW w:w="1229" w:type="dxa"/>
            <w:tcBorders>
              <w:top w:val="nil"/>
              <w:left w:val="nil"/>
              <w:bottom w:val="single" w:sz="4" w:space="0" w:color="auto"/>
              <w:right w:val="single" w:sz="4" w:space="0" w:color="auto"/>
            </w:tcBorders>
            <w:vAlign w:val="center"/>
          </w:tcPr>
          <w:p w14:paraId="6278931A"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80个</w:t>
            </w:r>
          </w:p>
        </w:tc>
        <w:tc>
          <w:tcPr>
            <w:tcW w:w="755" w:type="dxa"/>
            <w:gridSpan w:val="2"/>
            <w:tcBorders>
              <w:top w:val="single" w:sz="4" w:space="0" w:color="auto"/>
              <w:left w:val="nil"/>
              <w:bottom w:val="single" w:sz="4" w:space="0" w:color="auto"/>
              <w:right w:val="single" w:sz="4" w:space="0" w:color="000000"/>
            </w:tcBorders>
            <w:vAlign w:val="center"/>
          </w:tcPr>
          <w:p w14:paraId="46B043E2"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28FD1B"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w:t>
            </w:r>
          </w:p>
        </w:tc>
        <w:tc>
          <w:tcPr>
            <w:tcW w:w="1984" w:type="dxa"/>
            <w:gridSpan w:val="2"/>
            <w:tcBorders>
              <w:top w:val="single" w:sz="4" w:space="0" w:color="auto"/>
              <w:left w:val="nil"/>
              <w:bottom w:val="single" w:sz="4" w:space="0" w:color="auto"/>
              <w:right w:val="single" w:sz="4" w:space="0" w:color="auto"/>
            </w:tcBorders>
            <w:vAlign w:val="center"/>
          </w:tcPr>
          <w:p w14:paraId="0682E402"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2023年米东区涉及81个行政村的农家书屋的配送，所以提前下达指标额度为16.2万元，由于2024年米东区农家书屋涉及行政村减少1个，实际配送农家书屋80个，每个农家书屋配送资金为2000元，共计配送金额为16万。</w:t>
            </w:r>
          </w:p>
        </w:tc>
      </w:tr>
      <w:tr w:rsidR="009A2088" w:rsidRPr="00EB08A3" w14:paraId="2EE84AA3" w14:textId="77777777" w:rsidTr="00AF2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573E0D" w14:textId="77777777" w:rsidR="009A2088" w:rsidRPr="00EB08A3" w:rsidRDefault="009A2088" w:rsidP="00AF2762">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6EF43EA1" w14:textId="77777777" w:rsidR="009A2088" w:rsidRPr="00EB08A3" w:rsidRDefault="009A2088" w:rsidP="00AF2762">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2B139263" w14:textId="77777777" w:rsidR="009A2088" w:rsidRPr="00EB08A3" w:rsidRDefault="009A2088" w:rsidP="00AF2762">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8E3A906" w14:textId="77777777" w:rsidR="009A2088" w:rsidRPr="00EB08A3" w:rsidRDefault="009A2088" w:rsidP="00AF2762">
            <w:pPr>
              <w:rPr>
                <w:rFonts w:ascii="宋体" w:eastAsia="宋体" w:hAnsi="宋体" w:cs="宋体" w:hint="eastAsia"/>
                <w:color w:val="000000"/>
                <w:sz w:val="18"/>
                <w:szCs w:val="18"/>
              </w:rPr>
            </w:pPr>
            <w:r>
              <w:rPr>
                <w:rFonts w:ascii="宋体" w:eastAsia="宋体" w:hAnsi="宋体" w:cs="宋体" w:hint="eastAsia"/>
                <w:color w:val="000000"/>
                <w:sz w:val="18"/>
                <w:szCs w:val="18"/>
              </w:rPr>
              <w:t>补充更新图书种类</w:t>
            </w:r>
          </w:p>
        </w:tc>
        <w:tc>
          <w:tcPr>
            <w:tcW w:w="1125" w:type="dxa"/>
            <w:tcBorders>
              <w:top w:val="nil"/>
              <w:left w:val="nil"/>
              <w:bottom w:val="single" w:sz="4" w:space="0" w:color="auto"/>
              <w:right w:val="single" w:sz="4" w:space="0" w:color="auto"/>
            </w:tcBorders>
            <w:vAlign w:val="center"/>
          </w:tcPr>
          <w:p w14:paraId="40D8027A"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&gt;=60种</w:t>
            </w:r>
          </w:p>
        </w:tc>
        <w:tc>
          <w:tcPr>
            <w:tcW w:w="1229" w:type="dxa"/>
            <w:tcBorders>
              <w:top w:val="nil"/>
              <w:left w:val="nil"/>
              <w:bottom w:val="single" w:sz="4" w:space="0" w:color="auto"/>
              <w:right w:val="single" w:sz="4" w:space="0" w:color="auto"/>
            </w:tcBorders>
            <w:vAlign w:val="center"/>
          </w:tcPr>
          <w:p w14:paraId="39E3DE1C"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62种</w:t>
            </w:r>
          </w:p>
        </w:tc>
        <w:tc>
          <w:tcPr>
            <w:tcW w:w="755" w:type="dxa"/>
            <w:gridSpan w:val="2"/>
            <w:tcBorders>
              <w:top w:val="single" w:sz="4" w:space="0" w:color="auto"/>
              <w:left w:val="nil"/>
              <w:bottom w:val="single" w:sz="4" w:space="0" w:color="auto"/>
              <w:right w:val="single" w:sz="4" w:space="0" w:color="000000"/>
            </w:tcBorders>
            <w:vAlign w:val="center"/>
          </w:tcPr>
          <w:p w14:paraId="75CC9F33"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6046F39"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32BB5C0"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2024年根据实际资金，进行合理询价采购，致使采购图书品目增加2种，从而提高了完成率。</w:t>
            </w:r>
          </w:p>
        </w:tc>
      </w:tr>
      <w:tr w:rsidR="009A2088" w:rsidRPr="00EB08A3" w14:paraId="1A8B1ECA" w14:textId="77777777" w:rsidTr="00AF2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84186C" w14:textId="77777777" w:rsidR="009A2088" w:rsidRPr="00EB08A3" w:rsidRDefault="009A2088" w:rsidP="00AF2762">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06A9AC79" w14:textId="77777777" w:rsidR="009A2088" w:rsidRPr="00EB08A3" w:rsidRDefault="009A2088" w:rsidP="00AF2762">
            <w:pPr>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364A4B24"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B316BDC" w14:textId="77777777" w:rsidR="009A2088" w:rsidRPr="00EB08A3" w:rsidRDefault="009A2088" w:rsidP="00AF2762">
            <w:pPr>
              <w:rPr>
                <w:rFonts w:ascii="宋体" w:eastAsia="宋体" w:hAnsi="宋体" w:cs="宋体" w:hint="eastAsia"/>
                <w:color w:val="000000"/>
                <w:sz w:val="18"/>
                <w:szCs w:val="18"/>
              </w:rPr>
            </w:pPr>
            <w:r>
              <w:rPr>
                <w:rFonts w:ascii="宋体" w:eastAsia="宋体" w:hAnsi="宋体" w:cs="宋体" w:hint="eastAsia"/>
                <w:color w:val="000000"/>
                <w:sz w:val="18"/>
                <w:szCs w:val="18"/>
              </w:rPr>
              <w:t>图书覆盖率</w:t>
            </w:r>
          </w:p>
        </w:tc>
        <w:tc>
          <w:tcPr>
            <w:tcW w:w="1125" w:type="dxa"/>
            <w:tcBorders>
              <w:top w:val="nil"/>
              <w:left w:val="nil"/>
              <w:bottom w:val="single" w:sz="4" w:space="0" w:color="auto"/>
              <w:right w:val="single" w:sz="4" w:space="0" w:color="auto"/>
            </w:tcBorders>
            <w:vAlign w:val="center"/>
          </w:tcPr>
          <w:p w14:paraId="1203B13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2B239BD"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A5DC852"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ADAE89F"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B1B1F43"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随着农村经济发展和信息传播方式的多元化，2024年村民阅读需求发生变化，从而拉高了图书覆盖率。</w:t>
            </w:r>
          </w:p>
        </w:tc>
      </w:tr>
      <w:tr w:rsidR="009A2088" w:rsidRPr="00EB08A3" w14:paraId="54C01604" w14:textId="77777777" w:rsidTr="00AF2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28EFDE" w14:textId="77777777" w:rsidR="009A2088" w:rsidRPr="00EB08A3" w:rsidRDefault="009A2088" w:rsidP="00AF2762">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B86F23D" w14:textId="77777777" w:rsidR="009A2088" w:rsidRPr="00EB08A3" w:rsidRDefault="009A2088" w:rsidP="00AF2762">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1307D8CB" w14:textId="77777777" w:rsidR="009A2088" w:rsidRPr="00EB08A3" w:rsidRDefault="009A2088" w:rsidP="00AF2762">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F1493ED" w14:textId="77777777" w:rsidR="009A2088" w:rsidRPr="00EB08A3" w:rsidRDefault="009A2088" w:rsidP="00AF276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补充更新图书质量合格率</w:t>
            </w:r>
          </w:p>
        </w:tc>
        <w:tc>
          <w:tcPr>
            <w:tcW w:w="1125" w:type="dxa"/>
            <w:tcBorders>
              <w:top w:val="nil"/>
              <w:left w:val="nil"/>
              <w:bottom w:val="single" w:sz="4" w:space="0" w:color="auto"/>
              <w:right w:val="single" w:sz="4" w:space="0" w:color="auto"/>
            </w:tcBorders>
            <w:vAlign w:val="center"/>
          </w:tcPr>
          <w:p w14:paraId="437BBD12"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D112A6F"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695EECB"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0F6AF00"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2A450E4"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年初制定图书质量标准不够明确和细化，使得采购和验收过程中有进一步明确了质量指标，从而提高了质量合格率。</w:t>
            </w:r>
          </w:p>
        </w:tc>
      </w:tr>
      <w:tr w:rsidR="009A2088" w:rsidRPr="00EB08A3" w14:paraId="3A7AA84A" w14:textId="77777777" w:rsidTr="00AF2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197377" w14:textId="77777777" w:rsidR="009A2088" w:rsidRPr="00EB08A3" w:rsidRDefault="009A2088" w:rsidP="00AF2762">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336F782B" w14:textId="77777777" w:rsidR="009A2088" w:rsidRPr="00EB08A3" w:rsidRDefault="009A2088" w:rsidP="00AF2762">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661DE9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3A51FF3" w14:textId="77777777" w:rsidR="009A2088" w:rsidRPr="00EB08A3" w:rsidRDefault="009A2088" w:rsidP="00AF2762">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1125" w:type="dxa"/>
            <w:tcBorders>
              <w:top w:val="nil"/>
              <w:left w:val="nil"/>
              <w:bottom w:val="single" w:sz="4" w:space="0" w:color="auto"/>
              <w:right w:val="single" w:sz="4" w:space="0" w:color="auto"/>
            </w:tcBorders>
            <w:vAlign w:val="center"/>
          </w:tcPr>
          <w:p w14:paraId="70C75FA0"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BAC7FBA"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3ACCD21"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7461432"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0681BEA0"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2024年严格按照资金管理制度，明确了资金支付流程和审批环节，责任到人，提高了资金支付效率和准确性</w:t>
            </w:r>
          </w:p>
        </w:tc>
      </w:tr>
      <w:tr w:rsidR="009A2088" w:rsidRPr="00EB08A3" w14:paraId="6D51DF55" w14:textId="77777777" w:rsidTr="00AF2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96E026" w14:textId="77777777" w:rsidR="009A2088" w:rsidRPr="00EB08A3" w:rsidRDefault="009A2088" w:rsidP="00AF2762">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D21CD4C"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24CDBEFE"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424DCB6" w14:textId="77777777" w:rsidR="009A2088" w:rsidRPr="00EB08A3" w:rsidRDefault="009A2088" w:rsidP="00AF276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每个农家书屋图书补充更新资金</w:t>
            </w:r>
          </w:p>
        </w:tc>
        <w:tc>
          <w:tcPr>
            <w:tcW w:w="1125" w:type="dxa"/>
            <w:tcBorders>
              <w:top w:val="nil"/>
              <w:left w:val="nil"/>
              <w:bottom w:val="single" w:sz="4" w:space="0" w:color="auto"/>
              <w:right w:val="single" w:sz="4" w:space="0" w:color="auto"/>
            </w:tcBorders>
            <w:vAlign w:val="center"/>
          </w:tcPr>
          <w:p w14:paraId="1533DBB5"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1229" w:type="dxa"/>
            <w:tcBorders>
              <w:top w:val="nil"/>
              <w:left w:val="nil"/>
              <w:bottom w:val="single" w:sz="4" w:space="0" w:color="auto"/>
              <w:right w:val="single" w:sz="4" w:space="0" w:color="auto"/>
            </w:tcBorders>
            <w:vAlign w:val="center"/>
          </w:tcPr>
          <w:p w14:paraId="01805AF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755" w:type="dxa"/>
            <w:gridSpan w:val="2"/>
            <w:tcBorders>
              <w:top w:val="single" w:sz="4" w:space="0" w:color="auto"/>
              <w:left w:val="nil"/>
              <w:bottom w:val="single" w:sz="4" w:space="0" w:color="auto"/>
              <w:right w:val="single" w:sz="4" w:space="0" w:color="000000"/>
            </w:tcBorders>
            <w:vAlign w:val="center"/>
          </w:tcPr>
          <w:p w14:paraId="342E6FA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47E1CCD"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523E696" w14:textId="77777777" w:rsidR="009A2088" w:rsidRPr="00EB08A3" w:rsidRDefault="009A2088" w:rsidP="00AF2762">
            <w:pPr>
              <w:jc w:val="center"/>
              <w:rPr>
                <w:rFonts w:ascii="宋体" w:eastAsia="宋体" w:hAnsi="宋体" w:cs="宋体" w:hint="eastAsia"/>
                <w:color w:val="000000"/>
                <w:sz w:val="18"/>
                <w:szCs w:val="18"/>
              </w:rPr>
            </w:pPr>
          </w:p>
        </w:tc>
      </w:tr>
      <w:tr w:rsidR="009A2088" w:rsidRPr="00EB08A3" w14:paraId="7F17E4C8" w14:textId="77777777" w:rsidTr="00AF2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F1ADB8" w14:textId="77777777" w:rsidR="009A2088" w:rsidRPr="00EB08A3" w:rsidRDefault="009A2088" w:rsidP="00AF2762">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AA27722"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75C146F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2CC55FD" w14:textId="77777777" w:rsidR="009A2088" w:rsidRPr="00EB08A3" w:rsidRDefault="009A2088" w:rsidP="00AF276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着力发挥优秀出版物的导向引领作用</w:t>
            </w:r>
          </w:p>
        </w:tc>
        <w:tc>
          <w:tcPr>
            <w:tcW w:w="1125" w:type="dxa"/>
            <w:tcBorders>
              <w:top w:val="nil"/>
              <w:left w:val="nil"/>
              <w:bottom w:val="single" w:sz="4" w:space="0" w:color="auto"/>
              <w:right w:val="single" w:sz="4" w:space="0" w:color="auto"/>
            </w:tcBorders>
            <w:vAlign w:val="center"/>
          </w:tcPr>
          <w:p w14:paraId="440B7FE2"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有效发挥</w:t>
            </w:r>
          </w:p>
        </w:tc>
        <w:tc>
          <w:tcPr>
            <w:tcW w:w="1229" w:type="dxa"/>
            <w:tcBorders>
              <w:top w:val="nil"/>
              <w:left w:val="nil"/>
              <w:bottom w:val="single" w:sz="4" w:space="0" w:color="auto"/>
              <w:right w:val="single" w:sz="4" w:space="0" w:color="auto"/>
            </w:tcBorders>
            <w:vAlign w:val="center"/>
          </w:tcPr>
          <w:p w14:paraId="0835EB0E"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1787256C"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6B34F97"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80125E8" w14:textId="77777777" w:rsidR="009A2088" w:rsidRPr="00EB08A3" w:rsidRDefault="009A2088" w:rsidP="00AF2762">
            <w:pPr>
              <w:jc w:val="center"/>
              <w:rPr>
                <w:rFonts w:ascii="宋体" w:eastAsia="宋体" w:hAnsi="宋体" w:cs="宋体" w:hint="eastAsia"/>
                <w:color w:val="000000"/>
                <w:sz w:val="18"/>
                <w:szCs w:val="18"/>
              </w:rPr>
            </w:pPr>
          </w:p>
        </w:tc>
      </w:tr>
      <w:tr w:rsidR="009A2088" w:rsidRPr="00EB08A3" w14:paraId="0B4D60E2" w14:textId="77777777" w:rsidTr="00AF2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B0D300" w14:textId="77777777" w:rsidR="009A2088" w:rsidRPr="00EB08A3" w:rsidRDefault="009A2088" w:rsidP="00AF2762">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49B9B10"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0989C83"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9B9366A" w14:textId="77777777" w:rsidR="009A2088" w:rsidRPr="00EB08A3" w:rsidRDefault="009A2088" w:rsidP="00AF2762">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11695EC5"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2657260"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8E1994D"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1C3034D" w14:textId="77777777" w:rsidR="009A2088" w:rsidRPr="00EB08A3" w:rsidRDefault="009A2088" w:rsidP="00AF276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628322" w14:textId="77777777" w:rsidR="009A2088" w:rsidRPr="00EB08A3" w:rsidRDefault="009A2088" w:rsidP="00AF276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2024年通过加大宣传力度，倡导全民阅读活动，开展各类读书活动，激发了群众读书的兴趣，从而提升了群众满意度。</w:t>
            </w:r>
          </w:p>
        </w:tc>
      </w:tr>
      <w:tr w:rsidR="009A2088" w:rsidRPr="00EB08A3" w14:paraId="4E4957B4" w14:textId="77777777" w:rsidTr="00AF2762">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328A740D" w14:textId="77777777" w:rsidR="009A2088" w:rsidRPr="00EB08A3" w:rsidRDefault="009A2088" w:rsidP="00AF2762">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492E82C" w14:textId="77777777" w:rsidR="009A2088" w:rsidRPr="00EB08A3" w:rsidRDefault="009A2088" w:rsidP="00AF2762">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2E1A479" w14:textId="77777777" w:rsidR="009A2088" w:rsidRPr="00EB08A3" w:rsidRDefault="009A2088" w:rsidP="00AF2762">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99.76分</w:t>
            </w:r>
          </w:p>
        </w:tc>
        <w:tc>
          <w:tcPr>
            <w:tcW w:w="1984" w:type="dxa"/>
            <w:gridSpan w:val="2"/>
            <w:tcBorders>
              <w:top w:val="single" w:sz="4" w:space="0" w:color="auto"/>
              <w:left w:val="nil"/>
              <w:bottom w:val="single" w:sz="4" w:space="0" w:color="auto"/>
              <w:right w:val="single" w:sz="4" w:space="0" w:color="auto"/>
            </w:tcBorders>
            <w:vAlign w:val="center"/>
          </w:tcPr>
          <w:p w14:paraId="756F6A2E" w14:textId="77777777" w:rsidR="009A2088" w:rsidRPr="00EB08A3" w:rsidRDefault="009A2088" w:rsidP="00AF2762">
            <w:pPr>
              <w:jc w:val="center"/>
              <w:rPr>
                <w:rFonts w:ascii="宋体" w:eastAsia="宋体" w:hAnsi="宋体" w:cs="宋体" w:hint="eastAsia"/>
                <w:b/>
                <w:bCs/>
                <w:color w:val="000000"/>
                <w:sz w:val="18"/>
                <w:szCs w:val="18"/>
              </w:rPr>
            </w:pPr>
          </w:p>
        </w:tc>
      </w:tr>
      <w:bookmarkEnd w:id="11"/>
    </w:tbl>
    <w:p w14:paraId="31C0C4B8" w14:textId="0409E13C" w:rsidR="006B5187" w:rsidRPr="009A2088" w:rsidRDefault="006B5187" w:rsidP="009A2088">
      <w:pPr>
        <w:rPr>
          <w:rFonts w:ascii="宋体" w:eastAsia="宋体" w:hAnsi="宋体" w:cs="宋体" w:hint="eastAsia"/>
          <w:b/>
          <w:bCs/>
          <w:sz w:val="18"/>
          <w:szCs w:val="18"/>
          <w:lang w:eastAsia="zh-CN"/>
        </w:rPr>
      </w:pPr>
    </w:p>
    <w:p w14:paraId="7E4219B3" w14:textId="77777777" w:rsidR="003F24E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8E0DA4B" w14:textId="53C0414C" w:rsidR="003F24EF" w:rsidRDefault="009A2088">
      <w:pPr>
        <w:spacing w:after="0" w:line="240" w:lineRule="auto"/>
        <w:ind w:firstLineChars="200" w:firstLine="640"/>
        <w:rPr>
          <w:rFonts w:ascii="仿宋_GB2312" w:eastAsia="仿宋_GB2312"/>
          <w:sz w:val="32"/>
          <w:szCs w:val="32"/>
          <w:lang w:eastAsia="zh-CN"/>
        </w:rPr>
      </w:pPr>
      <w:bookmarkStart w:id="12" w:name="_Hlk207104744"/>
      <w:r w:rsidRPr="00D6752D">
        <w:rPr>
          <w:rFonts w:ascii="仿宋_GB2312" w:eastAsia="仿宋_GB2312" w:hint="eastAsia"/>
          <w:sz w:val="32"/>
          <w:szCs w:val="32"/>
          <w:lang w:eastAsia="zh-CN"/>
        </w:rPr>
        <w:t>本单位当年预算绩效评价项目有</w:t>
      </w:r>
      <w:r>
        <w:rPr>
          <w:rFonts w:ascii="仿宋_GB2312" w:eastAsia="仿宋_GB2312" w:hint="eastAsia"/>
          <w:sz w:val="32"/>
          <w:szCs w:val="32"/>
          <w:lang w:eastAsia="zh-CN"/>
        </w:rPr>
        <w:t>6</w:t>
      </w:r>
      <w:r w:rsidRPr="00D6752D">
        <w:rPr>
          <w:rFonts w:ascii="仿宋_GB2312" w:eastAsia="仿宋_GB2312" w:hint="eastAsia"/>
          <w:sz w:val="32"/>
          <w:szCs w:val="32"/>
          <w:lang w:eastAsia="zh-CN"/>
        </w:rPr>
        <w:t>个涉密项目，涉及全年预算数</w:t>
      </w:r>
      <w:r>
        <w:rPr>
          <w:rFonts w:ascii="仿宋_GB2312" w:eastAsia="仿宋_GB2312" w:hint="eastAsia"/>
          <w:sz w:val="32"/>
          <w:szCs w:val="32"/>
          <w:lang w:eastAsia="zh-CN"/>
        </w:rPr>
        <w:t>609.72</w:t>
      </w:r>
      <w:r w:rsidRPr="00D6752D">
        <w:rPr>
          <w:rFonts w:ascii="仿宋_GB2312" w:eastAsia="仿宋_GB2312" w:hint="eastAsia"/>
          <w:sz w:val="32"/>
          <w:szCs w:val="32"/>
          <w:lang w:eastAsia="zh-CN"/>
        </w:rPr>
        <w:t>万元，全年执行数</w:t>
      </w:r>
      <w:r>
        <w:rPr>
          <w:rFonts w:ascii="仿宋_GB2312" w:eastAsia="仿宋_GB2312" w:hint="eastAsia"/>
          <w:sz w:val="32"/>
          <w:szCs w:val="32"/>
          <w:lang w:eastAsia="zh-CN"/>
        </w:rPr>
        <w:t>609.92</w:t>
      </w:r>
      <w:r w:rsidRPr="00D6752D">
        <w:rPr>
          <w:rFonts w:ascii="仿宋_GB2312" w:eastAsia="仿宋_GB2312" w:hint="eastAsia"/>
          <w:sz w:val="32"/>
          <w:szCs w:val="32"/>
          <w:lang w:eastAsia="zh-CN"/>
        </w:rPr>
        <w:t>万元，未公开绩效自评表原因：涉密项目不公开项目绩效自评表</w:t>
      </w:r>
      <w:bookmarkEnd w:id="12"/>
      <w:r>
        <w:rPr>
          <w:rFonts w:ascii="仿宋_GB2312" w:eastAsia="仿宋_GB2312" w:hint="eastAsia"/>
          <w:sz w:val="32"/>
          <w:szCs w:val="32"/>
          <w:lang w:eastAsia="zh-CN"/>
        </w:rPr>
        <w:t>。</w:t>
      </w:r>
    </w:p>
    <w:p w14:paraId="7523493B" w14:textId="77777777" w:rsidR="003F24EF" w:rsidRDefault="00000000">
      <w:pPr>
        <w:rPr>
          <w:rFonts w:hint="eastAsia"/>
          <w:lang w:eastAsia="zh-CN"/>
        </w:rPr>
      </w:pPr>
      <w:r>
        <w:rPr>
          <w:sz w:val="0"/>
          <w:szCs w:val="0"/>
          <w:lang w:eastAsia="zh-CN"/>
        </w:rPr>
        <w:br w:type="page"/>
      </w:r>
    </w:p>
    <w:p w14:paraId="65BD6267" w14:textId="77777777" w:rsidR="003F24E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D7500EE"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CB1796F"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F8C8266"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C734C43"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E416B93"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EC8B9F2"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5926710"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C8884E2"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5EDB86"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E185C3F"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797E26A"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8D5A3FE"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7013CE9"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8A973A" w14:textId="77777777" w:rsidR="003F24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0D86B15" w14:textId="77777777" w:rsidR="003F24EF" w:rsidRDefault="00000000">
      <w:pPr>
        <w:rPr>
          <w:rFonts w:hint="eastAsia"/>
          <w:lang w:eastAsia="zh-CN"/>
        </w:rPr>
      </w:pPr>
      <w:r>
        <w:rPr>
          <w:sz w:val="0"/>
          <w:szCs w:val="0"/>
          <w:lang w:eastAsia="zh-CN"/>
        </w:rPr>
        <w:br w:type="page"/>
      </w:r>
    </w:p>
    <w:p w14:paraId="2990C465" w14:textId="77777777" w:rsidR="003F24E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1CB2046"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8A1DF24"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4FA4D61"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1777242"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E6716A7"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3DD0C36"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22A6415"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F4E6C1F"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E96A9B8" w14:textId="77777777" w:rsidR="003F24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F24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F24EF"/>
    <w:rsid w:val="003F24EF"/>
    <w:rsid w:val="006B5187"/>
    <w:rsid w:val="008C5BC2"/>
    <w:rsid w:val="009A2088"/>
    <w:rsid w:val="00EC1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D5D675"/>
  <w15:docId w15:val="{B6C80F6D-6759-44BC-96A9-B131D21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20</Pages>
  <Words>5052</Words>
  <Characters>5508</Characters>
  <Application>Microsoft Office Word</Application>
  <DocSecurity>0</DocSecurity>
  <Lines>786</Lines>
  <Paragraphs>586</Paragraphs>
  <ScaleCrop>false</ScaleCrop>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2</cp:revision>
  <dcterms:created xsi:type="dcterms:W3CDTF">2025-10-10T04:28:00Z</dcterms:created>
  <dcterms:modified xsi:type="dcterms:W3CDTF">2025-10-10T04:48:00Z</dcterms:modified>
</cp:coreProperties>
</file>