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134766">
      <w:pPr>
        <w:spacing w:after="0" w:line="240" w:lineRule="auto"/>
        <w:rPr>
          <w:rFonts w:hint="eastAsia" w:ascii="宋体" w:eastAsia="宋体"/>
          <w:sz w:val="32"/>
          <w:szCs w:val="32"/>
        </w:rPr>
      </w:pPr>
    </w:p>
    <w:p w14:paraId="28A6F35D">
      <w:pPr>
        <w:spacing w:after="0" w:line="240" w:lineRule="auto"/>
        <w:rPr>
          <w:rFonts w:hint="eastAsia" w:ascii="宋体" w:eastAsia="宋体"/>
          <w:sz w:val="44"/>
          <w:szCs w:val="44"/>
        </w:rPr>
      </w:pPr>
    </w:p>
    <w:p w14:paraId="27D3126D">
      <w:pPr>
        <w:spacing w:after="0" w:line="240" w:lineRule="auto"/>
        <w:rPr>
          <w:rFonts w:hint="eastAsia" w:ascii="宋体" w:eastAsia="宋体"/>
          <w:sz w:val="44"/>
          <w:szCs w:val="44"/>
        </w:rPr>
      </w:pPr>
    </w:p>
    <w:p w14:paraId="677698B1">
      <w:pPr>
        <w:spacing w:after="0" w:line="240" w:lineRule="auto"/>
        <w:rPr>
          <w:rFonts w:hint="eastAsia" w:ascii="宋体" w:eastAsia="宋体"/>
          <w:sz w:val="44"/>
          <w:szCs w:val="44"/>
        </w:rPr>
      </w:pPr>
    </w:p>
    <w:p w14:paraId="4BCCA7E0">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中共乌鲁木齐市米东区委员会组织部</w:t>
      </w:r>
    </w:p>
    <w:p w14:paraId="05511398">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14:paraId="1269722F">
      <w:pPr>
        <w:rPr>
          <w:rFonts w:hint="eastAsia"/>
          <w:lang w:eastAsia="zh-CN"/>
        </w:rPr>
      </w:pPr>
      <w:r>
        <w:rPr>
          <w:sz w:val="0"/>
          <w:szCs w:val="0"/>
          <w:lang w:eastAsia="zh-CN"/>
        </w:rPr>
        <w:br w:type="page"/>
      </w:r>
    </w:p>
    <w:p w14:paraId="724E1EE2">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14:paraId="3A03AB94">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第一部分单位概况</w:t>
      </w:r>
    </w:p>
    <w:p w14:paraId="39DA20C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一、主要职能</w:t>
      </w:r>
    </w:p>
    <w:p w14:paraId="0027A41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二、机构设置及人员情况</w:t>
      </w:r>
    </w:p>
    <w:p w14:paraId="0BCE081B">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第二部分 部门决算情况说明</w:t>
      </w:r>
    </w:p>
    <w:p w14:paraId="7A19A4C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一、收入支出决算总体情况说明</w:t>
      </w:r>
    </w:p>
    <w:p w14:paraId="44D49FD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二、收入决算情况说明</w:t>
      </w:r>
    </w:p>
    <w:p w14:paraId="2C04AF0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三、支出决算情况说明</w:t>
      </w:r>
    </w:p>
    <w:p w14:paraId="4ABB9B0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1A371C3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4F41EDB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2F49D58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3E92926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1806A5B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5210882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5F44AAE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685DD64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72F26AF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​十、其他重要事项的情况说明</w:t>
      </w:r>
    </w:p>
    <w:p w14:paraId="58FF35C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（一）机关运行经费及公用经费支出情况</w:t>
      </w:r>
    </w:p>
    <w:p w14:paraId="51BF641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（二）政府采购情况</w:t>
      </w:r>
    </w:p>
    <w:p w14:paraId="3670B5A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（三）国有资产占用情况说明</w:t>
      </w:r>
    </w:p>
    <w:p w14:paraId="1CF5B0F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十一、预算绩效的情况说明</w:t>
      </w:r>
    </w:p>
    <w:p w14:paraId="1891EF4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十二、其他需说明的事项</w:t>
      </w:r>
    </w:p>
    <w:p w14:paraId="31948B6C">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第三部分 专业名词解释</w:t>
      </w:r>
    </w:p>
    <w:p w14:paraId="2AB57CE9">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第四部分 部门决算报表（见附表）</w:t>
      </w:r>
    </w:p>
    <w:p w14:paraId="0F85C5D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1A03C91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二、《收入决算表》</w:t>
      </w:r>
    </w:p>
    <w:p w14:paraId="1E460DC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三、《支出决算表》</w:t>
      </w:r>
    </w:p>
    <w:p w14:paraId="008AB13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63BDF18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08E7EB1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443299E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64466CB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7CC5546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p w14:paraId="394344BD">
      <w:pPr>
        <w:rPr>
          <w:rFonts w:hint="eastAsia"/>
          <w:lang w:eastAsia="zh-CN"/>
        </w:rPr>
      </w:pPr>
      <w:r>
        <w:rPr>
          <w:sz w:val="0"/>
          <w:szCs w:val="0"/>
          <w:lang w:eastAsia="zh-CN"/>
        </w:rPr>
        <w:br w:type="page"/>
      </w:r>
    </w:p>
    <w:p w14:paraId="64B0DA5A">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 单位概况</w:t>
      </w:r>
    </w:p>
    <w:p w14:paraId="6FB5AAC6">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 一、主要职能</w:t>
      </w:r>
    </w:p>
    <w:p w14:paraId="10A3313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（一）负责党的组织制度建设。</w:t>
      </w:r>
    </w:p>
    <w:p w14:paraId="16D60E0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（二）负责基层组织和党员队伍建设。</w:t>
      </w:r>
    </w:p>
    <w:p w14:paraId="23CC19F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（三）负责领导班子和领导干部队伍特别是优秀年轻干部队伍建设。</w:t>
      </w:r>
    </w:p>
    <w:p w14:paraId="41B105B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（四）负责公务员队伍建设。</w:t>
      </w:r>
    </w:p>
    <w:p w14:paraId="34F0549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（五）负责人才工作。</w:t>
      </w:r>
    </w:p>
    <w:p w14:paraId="671A5483">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w:t>
      </w:r>
      <w:r>
        <w:rPr>
          <w:rFonts w:ascii="仿宋_GB2312" w:eastAsia="仿宋_GB2312"/>
          <w:sz w:val="32"/>
          <w:szCs w:val="32"/>
          <w:lang w:eastAsia="zh-CN"/>
        </w:rPr>
        <w:t>六</w:t>
      </w:r>
      <w:r>
        <w:rPr>
          <w:rFonts w:hint="eastAsia" w:ascii="仿宋_GB2312" w:eastAsia="仿宋_GB2312"/>
          <w:sz w:val="32"/>
          <w:szCs w:val="32"/>
          <w:lang w:eastAsia="zh-CN"/>
        </w:rPr>
        <w:t>）</w:t>
      </w:r>
      <w:r>
        <w:rPr>
          <w:rFonts w:ascii="仿宋_GB2312" w:eastAsia="仿宋_GB2312"/>
          <w:sz w:val="32"/>
          <w:szCs w:val="32"/>
          <w:lang w:eastAsia="zh-CN"/>
        </w:rPr>
        <w:t>负责老干部工作。</w:t>
      </w:r>
    </w:p>
    <w:p w14:paraId="3921F91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（七）负责实施干部队伍建设和干部教育培训、管理监督工作。</w:t>
      </w:r>
    </w:p>
    <w:p w14:paraId="34A6CAE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（八）负责党的建设和组织工作研究。</w:t>
      </w:r>
    </w:p>
    <w:p w14:paraId="07E8A59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（九）统一管理区委机构编制委员会办公室。</w:t>
      </w:r>
    </w:p>
    <w:p w14:paraId="2765665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（十）承办区委交办的其他事项。</w:t>
      </w:r>
    </w:p>
    <w:p w14:paraId="7813ED8C">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14:paraId="2F8CFAD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中共乌鲁木齐市米东区委员会组织部2024年度，实有人数24人，其中：在职人员22人，减少2人；离休人员0人，较上年无变化；退休人员2人，较上年无变化</w:t>
      </w:r>
      <w:r>
        <w:rPr>
          <w:rFonts w:hint="eastAsia" w:ascii="仿宋_GB2312" w:eastAsia="仿宋_GB2312"/>
          <w:sz w:val="32"/>
          <w:szCs w:val="32"/>
          <w:lang w:eastAsia="zh-CN"/>
        </w:rPr>
        <w:t>。</w:t>
      </w:r>
    </w:p>
    <w:p w14:paraId="4E7EC73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中共乌鲁木齐市米东区委员会组织部无下属预算单位，下设2个</w:t>
      </w:r>
      <w:r>
        <w:rPr>
          <w:rFonts w:hint="eastAsia" w:ascii="仿宋_GB2312" w:eastAsia="仿宋_GB2312"/>
          <w:sz w:val="32"/>
          <w:szCs w:val="32"/>
          <w:lang w:eastAsia="zh-CN"/>
        </w:rPr>
        <w:t>科室</w:t>
      </w:r>
      <w:r>
        <w:rPr>
          <w:rFonts w:ascii="仿宋_GB2312" w:eastAsia="仿宋_GB2312"/>
          <w:sz w:val="32"/>
          <w:szCs w:val="32"/>
          <w:lang w:eastAsia="zh-CN"/>
        </w:rPr>
        <w:t>，分别是：区党员教育中心（区党员干部远程教育管理中心）、区基层党建指导服务中心。</w:t>
      </w:r>
    </w:p>
    <w:p w14:paraId="70AD7806">
      <w:pPr>
        <w:rPr>
          <w:rFonts w:hint="eastAsia"/>
          <w:lang w:eastAsia="zh-CN"/>
        </w:rPr>
      </w:pPr>
      <w:r>
        <w:rPr>
          <w:sz w:val="0"/>
          <w:szCs w:val="0"/>
          <w:lang w:eastAsia="zh-CN"/>
        </w:rPr>
        <w:br w:type="page"/>
      </w:r>
    </w:p>
    <w:p w14:paraId="49E25F5D">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14:paraId="0C713CE5">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14:paraId="6F39C2F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2024年度收入总计414.57万元，其中：本年收入合计414.57万元，使用非财政拨款结余（含专用结余）0.00万元，年初结转和结余0.00万元。</w:t>
      </w:r>
    </w:p>
    <w:p w14:paraId="15F8F97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2024年度支出总计414.57万元，其中：本年支出合计411.57万元，结余分配0.00万元，年末结转和结余3.00万元。</w:t>
      </w:r>
    </w:p>
    <w:p w14:paraId="0B86F03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收入支出总体与上年相比，减少129.74万元，下降23.84%，主要原因是：</w:t>
      </w:r>
      <w:r>
        <w:rPr>
          <w:rFonts w:hint="eastAsia" w:ascii="仿宋_GB2312" w:eastAsia="仿宋_GB2312"/>
          <w:sz w:val="32"/>
          <w:szCs w:val="32"/>
          <w:lang w:eastAsia="zh-CN"/>
        </w:rPr>
        <w:t>单位在职人员减少，</w:t>
      </w:r>
      <w:bookmarkStart w:id="0" w:name="_Hlk209026749"/>
      <w:r>
        <w:rPr>
          <w:rFonts w:hint="eastAsia" w:ascii="仿宋_GB2312" w:eastAsia="仿宋_GB2312"/>
          <w:sz w:val="32"/>
          <w:szCs w:val="32"/>
          <w:lang w:eastAsia="zh-CN"/>
        </w:rPr>
        <w:t>人员</w:t>
      </w:r>
      <w:bookmarkStart w:id="1" w:name="_Hlk209001149"/>
      <w:r>
        <w:rPr>
          <w:rFonts w:hint="eastAsia" w:ascii="仿宋_GB2312" w:eastAsia="仿宋_GB2312"/>
          <w:sz w:val="32"/>
          <w:szCs w:val="32"/>
          <w:lang w:eastAsia="zh-CN"/>
        </w:rPr>
        <w:t>工资、津补贴等人员经费</w:t>
      </w:r>
      <w:bookmarkEnd w:id="0"/>
      <w:r>
        <w:rPr>
          <w:rFonts w:hint="eastAsia" w:ascii="仿宋_GB2312" w:eastAsia="仿宋_GB2312"/>
          <w:sz w:val="32"/>
          <w:szCs w:val="32"/>
          <w:lang w:eastAsia="zh-CN"/>
        </w:rPr>
        <w:t>较上年</w:t>
      </w:r>
      <w:bookmarkEnd w:id="1"/>
      <w:r>
        <w:rPr>
          <w:rFonts w:hint="eastAsia" w:ascii="仿宋_GB2312" w:eastAsia="仿宋_GB2312"/>
          <w:sz w:val="32"/>
          <w:szCs w:val="32"/>
          <w:lang w:eastAsia="zh-CN"/>
        </w:rPr>
        <w:t>减少；单位</w:t>
      </w:r>
      <w:r>
        <w:rPr>
          <w:rFonts w:ascii="仿宋_GB2312" w:eastAsia="仿宋_GB2312"/>
          <w:sz w:val="32"/>
          <w:szCs w:val="32"/>
          <w:lang w:eastAsia="zh-CN"/>
        </w:rPr>
        <w:t>党建工作经费、干部人事档案</w:t>
      </w:r>
      <w:r>
        <w:rPr>
          <w:rFonts w:hint="eastAsia" w:ascii="仿宋_GB2312" w:eastAsia="仿宋_GB2312"/>
          <w:sz w:val="32"/>
          <w:szCs w:val="32"/>
          <w:lang w:eastAsia="zh-CN"/>
        </w:rPr>
        <w:t>经费及“</w:t>
      </w:r>
      <w:r>
        <w:rPr>
          <w:rFonts w:ascii="仿宋_GB2312" w:eastAsia="仿宋_GB2312"/>
          <w:sz w:val="32"/>
          <w:szCs w:val="32"/>
          <w:lang w:eastAsia="zh-CN"/>
        </w:rPr>
        <w:t>五个好</w:t>
      </w:r>
      <w:r>
        <w:rPr>
          <w:rFonts w:hint="eastAsia" w:ascii="仿宋_GB2312" w:eastAsia="仿宋_GB2312"/>
          <w:sz w:val="32"/>
          <w:szCs w:val="32"/>
          <w:lang w:eastAsia="zh-CN"/>
        </w:rPr>
        <w:t>”</w:t>
      </w:r>
      <w:r>
        <w:rPr>
          <w:rFonts w:ascii="仿宋_GB2312" w:eastAsia="仿宋_GB2312"/>
          <w:sz w:val="32"/>
          <w:szCs w:val="32"/>
          <w:lang w:eastAsia="zh-CN"/>
        </w:rPr>
        <w:t>补助</w:t>
      </w:r>
      <w:r>
        <w:rPr>
          <w:rFonts w:hint="eastAsia" w:ascii="仿宋_GB2312" w:eastAsia="仿宋_GB2312"/>
          <w:sz w:val="32"/>
          <w:szCs w:val="32"/>
          <w:lang w:eastAsia="zh-CN"/>
        </w:rPr>
        <w:t>等经费较上年减少</w:t>
      </w:r>
      <w:r>
        <w:rPr>
          <w:rFonts w:ascii="仿宋_GB2312" w:eastAsia="仿宋_GB2312"/>
          <w:sz w:val="32"/>
          <w:szCs w:val="32"/>
          <w:lang w:eastAsia="zh-CN"/>
        </w:rPr>
        <w:t>。</w:t>
      </w:r>
    </w:p>
    <w:p w14:paraId="52BA71B4">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14:paraId="55A8ECA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本年收入414.57万元，其中：财政拨款收入392.18万元,占94.60%；上级补助收入0.00万元,占0.00%；事业收入0.00万元，占0.00%；经营收入0.00万元,占0.00%；附属单位上缴收入0.00万元，占0.00%；其他收入22.39万元，占5.40%。</w:t>
      </w:r>
    </w:p>
    <w:p w14:paraId="4C8C33A3">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14:paraId="39A5D40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本年支出411.57万元，其中：基本支出399.77万元，占97.13%；项目支出11.80万元，占2.87%；上缴上级支出0.00万元，占0.00%；经营支出0.00万元，占0.00%；对附属单位补助支出0.00万元，占0.00%。</w:t>
      </w:r>
    </w:p>
    <w:p w14:paraId="29C4B66A">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14:paraId="7A96C31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2024年度财政拨款收入总计392.18万元，其中：年初财政拨款结转和结余0.00万元，本年财政拨款收入392.18万元。财政拨款支出总计392.18万元，其中：年末财政拨款结转和结余0.00万元，本年财政拨款支出392.18万元。</w:t>
      </w:r>
    </w:p>
    <w:p w14:paraId="04C8421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财政拨款收入支出总体与上年相比，减少152.13万元，下降27.95%，主要原因是：</w:t>
      </w:r>
      <w:r>
        <w:rPr>
          <w:rFonts w:hint="eastAsia" w:ascii="仿宋_GB2312" w:eastAsia="仿宋_GB2312"/>
          <w:sz w:val="32"/>
          <w:szCs w:val="32"/>
          <w:lang w:eastAsia="zh-CN"/>
        </w:rPr>
        <w:t>单位在职人员减少，人员工资、津补贴等人员经费较上年减少；单位</w:t>
      </w:r>
      <w:r>
        <w:rPr>
          <w:rFonts w:ascii="仿宋_GB2312" w:eastAsia="仿宋_GB2312"/>
          <w:sz w:val="32"/>
          <w:szCs w:val="32"/>
          <w:lang w:eastAsia="zh-CN"/>
        </w:rPr>
        <w:t>党建工作经费、干部人事档案</w:t>
      </w:r>
      <w:r>
        <w:rPr>
          <w:rFonts w:hint="eastAsia" w:ascii="仿宋_GB2312" w:eastAsia="仿宋_GB2312"/>
          <w:sz w:val="32"/>
          <w:szCs w:val="32"/>
          <w:lang w:eastAsia="zh-CN"/>
        </w:rPr>
        <w:t>经费及“</w:t>
      </w:r>
      <w:r>
        <w:rPr>
          <w:rFonts w:ascii="仿宋_GB2312" w:eastAsia="仿宋_GB2312"/>
          <w:sz w:val="32"/>
          <w:szCs w:val="32"/>
          <w:lang w:eastAsia="zh-CN"/>
        </w:rPr>
        <w:t>五个好</w:t>
      </w:r>
      <w:r>
        <w:rPr>
          <w:rFonts w:hint="eastAsia" w:ascii="仿宋_GB2312" w:eastAsia="仿宋_GB2312"/>
          <w:sz w:val="32"/>
          <w:szCs w:val="32"/>
          <w:lang w:eastAsia="zh-CN"/>
        </w:rPr>
        <w:t>”</w:t>
      </w:r>
      <w:r>
        <w:rPr>
          <w:rFonts w:ascii="仿宋_GB2312" w:eastAsia="仿宋_GB2312"/>
          <w:sz w:val="32"/>
          <w:szCs w:val="32"/>
          <w:lang w:eastAsia="zh-CN"/>
        </w:rPr>
        <w:t>补助</w:t>
      </w:r>
      <w:r>
        <w:rPr>
          <w:rFonts w:hint="eastAsia" w:ascii="仿宋_GB2312" w:eastAsia="仿宋_GB2312"/>
          <w:sz w:val="32"/>
          <w:szCs w:val="32"/>
          <w:lang w:eastAsia="zh-CN"/>
        </w:rPr>
        <w:t>等经费较上年减少</w:t>
      </w:r>
      <w:r>
        <w:rPr>
          <w:rFonts w:ascii="仿宋_GB2312" w:eastAsia="仿宋_GB2312"/>
          <w:sz w:val="32"/>
          <w:szCs w:val="32"/>
          <w:lang w:eastAsia="zh-CN"/>
        </w:rPr>
        <w:t>。与年初预算相比，年初预算数365.48万元，决算数392.18万元，预决算差异率7.31%，主要原因是：</w:t>
      </w:r>
      <w:r>
        <w:rPr>
          <w:rFonts w:hint="eastAsia" w:ascii="仿宋_GB2312" w:eastAsia="仿宋_GB2312"/>
          <w:sz w:val="32"/>
          <w:szCs w:val="32"/>
          <w:lang w:eastAsia="zh-CN"/>
        </w:rPr>
        <w:t>年中追加人员工资、津补贴等人员经费</w:t>
      </w:r>
      <w:r>
        <w:rPr>
          <w:rFonts w:hint="eastAsia" w:ascii="仿宋_GB2312" w:eastAsia="仿宋_GB2312"/>
          <w:sz w:val="32"/>
          <w:szCs w:val="32"/>
          <w:lang w:val="en-US" w:eastAsia="zh-CN"/>
        </w:rPr>
        <w:t>及</w:t>
      </w:r>
      <w:r>
        <w:rPr>
          <w:rFonts w:hint="eastAsia" w:ascii="仿宋_GB2312" w:eastAsia="仿宋_GB2312"/>
          <w:sz w:val="32"/>
          <w:szCs w:val="32"/>
          <w:lang w:eastAsia="zh-CN"/>
        </w:rPr>
        <w:t>下派选调生到村工作中央财政补助资金</w:t>
      </w:r>
      <w:r>
        <w:rPr>
          <w:rFonts w:hint="eastAsia" w:ascii="仿宋_GB2312" w:eastAsia="仿宋_GB2312"/>
          <w:sz w:val="32"/>
          <w:szCs w:val="32"/>
          <w:lang w:val="en-US" w:eastAsia="zh-CN"/>
        </w:rPr>
        <w:t>等</w:t>
      </w:r>
      <w:r>
        <w:rPr>
          <w:rFonts w:ascii="仿宋_GB2312" w:eastAsia="仿宋_GB2312"/>
          <w:sz w:val="32"/>
          <w:szCs w:val="32"/>
          <w:lang w:eastAsia="zh-CN"/>
        </w:rPr>
        <w:t>。</w:t>
      </w:r>
    </w:p>
    <w:p w14:paraId="119C77A6">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14:paraId="3AA6E87B">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（一）一般公共预算财政拨款支出决算总体情况</w:t>
      </w:r>
    </w:p>
    <w:p w14:paraId="303193F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2024年度一般公共预算财政拨款支出392.18万元，占本年支出合计的95.29%。与上年相比，减少152.13万元，下降27.95%，主要原因是：</w:t>
      </w:r>
      <w:r>
        <w:rPr>
          <w:rFonts w:hint="eastAsia" w:ascii="仿宋_GB2312" w:eastAsia="仿宋_GB2312"/>
          <w:sz w:val="32"/>
          <w:szCs w:val="32"/>
          <w:lang w:eastAsia="zh-CN"/>
        </w:rPr>
        <w:t>单位在职人员减少，人员工资、津补贴等人员经费较上年减少；单位</w:t>
      </w:r>
      <w:r>
        <w:rPr>
          <w:rFonts w:ascii="仿宋_GB2312" w:eastAsia="仿宋_GB2312"/>
          <w:sz w:val="32"/>
          <w:szCs w:val="32"/>
          <w:lang w:eastAsia="zh-CN"/>
        </w:rPr>
        <w:t>党建工作经费、干部人事档案</w:t>
      </w:r>
      <w:r>
        <w:rPr>
          <w:rFonts w:hint="eastAsia" w:ascii="仿宋_GB2312" w:eastAsia="仿宋_GB2312"/>
          <w:sz w:val="32"/>
          <w:szCs w:val="32"/>
          <w:lang w:eastAsia="zh-CN"/>
        </w:rPr>
        <w:t>经费及“</w:t>
      </w:r>
      <w:r>
        <w:rPr>
          <w:rFonts w:ascii="仿宋_GB2312" w:eastAsia="仿宋_GB2312"/>
          <w:sz w:val="32"/>
          <w:szCs w:val="32"/>
          <w:lang w:eastAsia="zh-CN"/>
        </w:rPr>
        <w:t>五个好</w:t>
      </w:r>
      <w:r>
        <w:rPr>
          <w:rFonts w:hint="eastAsia" w:ascii="仿宋_GB2312" w:eastAsia="仿宋_GB2312"/>
          <w:sz w:val="32"/>
          <w:szCs w:val="32"/>
          <w:lang w:eastAsia="zh-CN"/>
        </w:rPr>
        <w:t>”</w:t>
      </w:r>
      <w:r>
        <w:rPr>
          <w:rFonts w:ascii="仿宋_GB2312" w:eastAsia="仿宋_GB2312"/>
          <w:sz w:val="32"/>
          <w:szCs w:val="32"/>
          <w:lang w:eastAsia="zh-CN"/>
        </w:rPr>
        <w:t>补助</w:t>
      </w:r>
      <w:r>
        <w:rPr>
          <w:rFonts w:hint="eastAsia" w:ascii="仿宋_GB2312" w:eastAsia="仿宋_GB2312"/>
          <w:sz w:val="32"/>
          <w:szCs w:val="32"/>
          <w:lang w:eastAsia="zh-CN"/>
        </w:rPr>
        <w:t>等经费较上年减少</w:t>
      </w:r>
      <w:r>
        <w:rPr>
          <w:rFonts w:ascii="仿宋_GB2312" w:eastAsia="仿宋_GB2312"/>
          <w:sz w:val="32"/>
          <w:szCs w:val="32"/>
          <w:lang w:eastAsia="zh-CN"/>
        </w:rPr>
        <w:t>。与年初预算相比，年初预算数365.48万元，决算数392.18万元，预决算差异率7.31%，主要原因是：</w:t>
      </w:r>
      <w:r>
        <w:rPr>
          <w:rFonts w:hint="eastAsia" w:ascii="仿宋_GB2312" w:eastAsia="仿宋_GB2312"/>
          <w:sz w:val="32"/>
          <w:szCs w:val="32"/>
          <w:lang w:eastAsia="zh-CN"/>
        </w:rPr>
        <w:t>年中追加人员工资、津补贴等人员经费</w:t>
      </w:r>
      <w:r>
        <w:rPr>
          <w:rFonts w:hint="eastAsia" w:ascii="仿宋_GB2312" w:eastAsia="仿宋_GB2312"/>
          <w:sz w:val="32"/>
          <w:szCs w:val="32"/>
          <w:lang w:val="en-US" w:eastAsia="zh-CN"/>
        </w:rPr>
        <w:t>及</w:t>
      </w:r>
      <w:r>
        <w:rPr>
          <w:rFonts w:hint="eastAsia" w:ascii="仿宋_GB2312" w:eastAsia="仿宋_GB2312"/>
          <w:sz w:val="32"/>
          <w:szCs w:val="32"/>
          <w:lang w:eastAsia="zh-CN"/>
        </w:rPr>
        <w:t>下派选调生到村工作中央财政补助资金</w:t>
      </w:r>
      <w:r>
        <w:rPr>
          <w:rFonts w:hint="eastAsia" w:ascii="仿宋_GB2312" w:eastAsia="仿宋_GB2312"/>
          <w:sz w:val="32"/>
          <w:szCs w:val="32"/>
          <w:lang w:val="en-US" w:eastAsia="zh-CN"/>
        </w:rPr>
        <w:t>等</w:t>
      </w:r>
      <w:r>
        <w:rPr>
          <w:rFonts w:ascii="仿宋_GB2312" w:eastAsia="仿宋_GB2312"/>
          <w:sz w:val="32"/>
          <w:szCs w:val="32"/>
          <w:lang w:eastAsia="zh-CN"/>
        </w:rPr>
        <w:t>。</w:t>
      </w:r>
    </w:p>
    <w:p w14:paraId="79067066">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（二）一般公共预算财政拨款支出决算结构情况</w:t>
      </w:r>
    </w:p>
    <w:p w14:paraId="0712FB0F">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一般公共服务支出（类）344.83万元，占87.93%。</w:t>
      </w:r>
    </w:p>
    <w:p w14:paraId="7E36279E">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社会保障和就业支出（类）47.35万元，占12.07%。</w:t>
      </w:r>
    </w:p>
    <w:p w14:paraId="7E9AC8F0">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（三）一般公共预算财政拨款支出决算具体情况</w:t>
      </w:r>
    </w:p>
    <w:p w14:paraId="131B98CD">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1、一般公共服务支出（类）组织事务（款）行政运行（项）：支出决算数为208.38万元，比上年决算减少298.03万元，下降58.85%，主要原因是：</w:t>
      </w:r>
      <w:r>
        <w:rPr>
          <w:rFonts w:hint="eastAsia" w:ascii="仿宋_GB2312" w:eastAsia="仿宋_GB2312"/>
          <w:sz w:val="32"/>
          <w:szCs w:val="32"/>
          <w:lang w:eastAsia="zh-CN"/>
        </w:rPr>
        <w:t>单位科目调整，本年将事业人员工资、津补贴等人员经费调整至事业运行科目反映。</w:t>
      </w:r>
    </w:p>
    <w:p w14:paraId="24C19C75">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2、一般公共服务支出（类）组织事务（款）事业运行（项）：支出决算数为124.64万元，比上年决算增加124.64万元，增长100.00%，主要原因是：</w:t>
      </w:r>
      <w:r>
        <w:rPr>
          <w:rFonts w:hint="eastAsia" w:ascii="仿宋_GB2312" w:eastAsia="仿宋_GB2312"/>
          <w:sz w:val="32"/>
          <w:szCs w:val="32"/>
          <w:lang w:eastAsia="zh-CN"/>
        </w:rPr>
        <w:t>单位科目调整，本年将事业人员工资、津补贴等人员经费从</w:t>
      </w:r>
      <w:r>
        <w:rPr>
          <w:rFonts w:ascii="仿宋_GB2312" w:eastAsia="仿宋_GB2312"/>
          <w:sz w:val="32"/>
          <w:szCs w:val="32"/>
          <w:lang w:eastAsia="zh-CN"/>
        </w:rPr>
        <w:t>行政运行</w:t>
      </w:r>
      <w:r>
        <w:rPr>
          <w:rFonts w:hint="eastAsia" w:ascii="仿宋_GB2312" w:eastAsia="仿宋_GB2312"/>
          <w:sz w:val="32"/>
          <w:szCs w:val="32"/>
          <w:lang w:eastAsia="zh-CN"/>
        </w:rPr>
        <w:t>调整至本科目反映。</w:t>
      </w:r>
    </w:p>
    <w:p w14:paraId="329BFFE2">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3、一般公共服务支出（类）组织事务（款）其他组织事务支出（项）：支出决算数为11.80万元，比上年决算增加11.80万元，增长100.00%，主要原因是：</w:t>
      </w:r>
      <w:r>
        <w:rPr>
          <w:rFonts w:hint="eastAsia" w:ascii="仿宋_GB2312" w:eastAsia="仿宋_GB2312"/>
          <w:sz w:val="32"/>
          <w:szCs w:val="32"/>
          <w:lang w:eastAsia="zh-CN"/>
        </w:rPr>
        <w:t>本年增加下派选调生到村工作中央财政补助资金。</w:t>
      </w:r>
    </w:p>
    <w:p w14:paraId="25B4509A">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4、社会保障和就业支出（类）行政事业单位养老支出（款）机关事业单位基本养老保险缴费支出（项）：支出决算数为37.27万元，比上年决算减少0.64万元，下降1.69%，主要原因是：</w:t>
      </w:r>
      <w:r>
        <w:rPr>
          <w:rFonts w:hint="eastAsia" w:ascii="仿宋_GB2312" w:eastAsia="仿宋_GB2312"/>
          <w:sz w:val="32"/>
          <w:szCs w:val="32"/>
          <w:lang w:eastAsia="zh-CN"/>
        </w:rPr>
        <w:t>单位在职人员减少，人员</w:t>
      </w:r>
      <w:r>
        <w:rPr>
          <w:rFonts w:ascii="仿宋_GB2312" w:eastAsia="仿宋_GB2312"/>
          <w:sz w:val="32"/>
          <w:szCs w:val="32"/>
          <w:lang w:eastAsia="zh-CN"/>
        </w:rPr>
        <w:t>养老保险缴费</w:t>
      </w:r>
      <w:r>
        <w:rPr>
          <w:rFonts w:hint="eastAsia" w:ascii="仿宋_GB2312" w:eastAsia="仿宋_GB2312"/>
          <w:sz w:val="32"/>
          <w:szCs w:val="32"/>
          <w:lang w:eastAsia="zh-CN"/>
        </w:rPr>
        <w:t>减少。</w:t>
      </w:r>
    </w:p>
    <w:p w14:paraId="1184F313">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5、社会保障和就业支出（类）行政事业单位养老支出（款）机关事业单位职业年金缴费支出（项）：支出决算数为10.09万元，比上年决算增加10.09万元，增长100.00%，主要原因是：</w:t>
      </w:r>
      <w:bookmarkStart w:id="2" w:name="_Hlk208412698"/>
      <w:r>
        <w:rPr>
          <w:rFonts w:hint="eastAsia" w:ascii="仿宋_GB2312" w:eastAsia="仿宋_GB2312"/>
          <w:sz w:val="32"/>
          <w:szCs w:val="32"/>
          <w:lang w:eastAsia="zh-CN"/>
        </w:rPr>
        <w:t>本年单位增加</w:t>
      </w:r>
      <w:bookmarkStart w:id="3" w:name="_Hlk209006861"/>
      <w:r>
        <w:rPr>
          <w:rFonts w:hint="eastAsia" w:ascii="仿宋_GB2312" w:eastAsia="仿宋_GB2312"/>
          <w:sz w:val="32"/>
          <w:szCs w:val="32"/>
          <w:lang w:eastAsia="zh-CN"/>
        </w:rPr>
        <w:t>退休人员一次性职业年金缴费</w:t>
      </w:r>
      <w:bookmarkEnd w:id="2"/>
      <w:bookmarkEnd w:id="3"/>
      <w:r>
        <w:rPr>
          <w:rFonts w:hint="eastAsia" w:ascii="仿宋_GB2312" w:eastAsia="仿宋_GB2312"/>
          <w:sz w:val="32"/>
          <w:szCs w:val="32"/>
          <w:lang w:eastAsia="zh-CN"/>
        </w:rPr>
        <w:t>。</w:t>
      </w:r>
    </w:p>
    <w:p w14:paraId="346DCC30">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14:paraId="733F0E5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基本支出380.38万元，其中：人员经费362.66万元，包括：基本工资、津贴补贴、奖金、绩效工资、机关事业单位基本养老保险缴费、职业年金缴费、职工基本医疗保险缴费、公务员医疗补助缴费、其他社会保障缴费和住房公积金。</w:t>
      </w:r>
    </w:p>
    <w:p w14:paraId="55156B8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公用经费17.73万元，包括：办公费、印刷费、邮电费、工会经费、福利费、公务用车运行维护费、其他交通费用、其他商品和服务支出和办公设备购置。</w:t>
      </w:r>
    </w:p>
    <w:p w14:paraId="31CB111B">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14:paraId="565C045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231F34AE">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14:paraId="7F34BE1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256D721E">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14:paraId="72BFA2D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2024年度财政拨款“三公”经费支出5.00万元，比上年增加0.00万元，增长0.00%，主要原因是：</w:t>
      </w:r>
      <w:bookmarkStart w:id="4" w:name="_Hlk207800847"/>
      <w:r>
        <w:rPr>
          <w:rFonts w:hint="eastAsia" w:ascii="仿宋_GB2312" w:eastAsia="仿宋_GB2312"/>
          <w:sz w:val="32"/>
          <w:szCs w:val="32"/>
          <w:lang w:eastAsia="zh-CN"/>
        </w:rPr>
        <w:t>本年单位车辆维修费</w:t>
      </w:r>
      <w:bookmarkEnd w:id="4"/>
      <w:r>
        <w:rPr>
          <w:rFonts w:hint="eastAsia" w:ascii="仿宋_GB2312" w:eastAsia="仿宋_GB2312"/>
          <w:sz w:val="32"/>
          <w:szCs w:val="32"/>
          <w:lang w:eastAsia="zh-CN"/>
        </w:rPr>
        <w:t>、燃油费等与上年对比无差异</w:t>
      </w:r>
      <w:r>
        <w:rPr>
          <w:rFonts w:ascii="仿宋_GB2312" w:eastAsia="仿宋_GB2312"/>
          <w:sz w:val="32"/>
          <w:szCs w:val="32"/>
          <w:lang w:eastAsia="zh-CN"/>
        </w:rPr>
        <w:t>。其中：因公出国（境）费支出0.00万元,占0.00%，与上年相比无变化，主要原因是：</w:t>
      </w:r>
      <w:bookmarkStart w:id="5" w:name="_Hlk207143847"/>
      <w:r>
        <w:rPr>
          <w:rFonts w:hint="eastAsia" w:ascii="仿宋_GB2312" w:eastAsia="仿宋_GB2312"/>
          <w:sz w:val="32"/>
          <w:szCs w:val="32"/>
          <w:lang w:eastAsia="zh-CN"/>
        </w:rPr>
        <w:t>我</w:t>
      </w:r>
      <w:bookmarkStart w:id="6" w:name="_Hlk209026967"/>
      <w:r>
        <w:rPr>
          <w:rFonts w:hint="eastAsia" w:ascii="仿宋_GB2312" w:eastAsia="仿宋_GB2312"/>
          <w:sz w:val="32"/>
          <w:szCs w:val="32"/>
          <w:lang w:eastAsia="zh-CN"/>
        </w:rPr>
        <w:t>单位上年度与本年度均无此项经费</w:t>
      </w:r>
      <w:bookmarkEnd w:id="5"/>
      <w:bookmarkEnd w:id="6"/>
      <w:r>
        <w:rPr>
          <w:rFonts w:ascii="仿宋_GB2312" w:eastAsia="仿宋_GB2312"/>
          <w:sz w:val="32"/>
          <w:szCs w:val="32"/>
          <w:lang w:eastAsia="zh-CN"/>
        </w:rPr>
        <w:t>；公务用车购置及运行维护费支出5.00万元，占100.00%，比上年增加0.00万元，增长0.00%，主要原因是：</w:t>
      </w:r>
      <w:r>
        <w:rPr>
          <w:rFonts w:hint="eastAsia" w:ascii="仿宋_GB2312" w:eastAsia="仿宋_GB2312"/>
          <w:sz w:val="32"/>
          <w:szCs w:val="32"/>
          <w:lang w:eastAsia="zh-CN"/>
        </w:rPr>
        <w:t>本年单位车辆维修费、燃油费等与上年对比无差异</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3CD6156D">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具体情况如下：</w:t>
      </w:r>
    </w:p>
    <w:p w14:paraId="7C00C6D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因公出国（境）费支出0.00万元，开支内容包括</w:t>
      </w:r>
      <w:bookmarkStart w:id="7" w:name="_Hlk207143872"/>
      <w:r>
        <w:rPr>
          <w:rFonts w:hint="eastAsia" w:ascii="仿宋_GB2312" w:eastAsia="仿宋_GB2312"/>
          <w:sz w:val="32"/>
          <w:szCs w:val="32"/>
          <w:lang w:eastAsia="zh-CN"/>
        </w:rPr>
        <w:t>单位本年无</w:t>
      </w:r>
      <w:r>
        <w:rPr>
          <w:rFonts w:ascii="仿宋_GB2312" w:eastAsia="仿宋_GB2312"/>
          <w:sz w:val="32"/>
          <w:szCs w:val="32"/>
          <w:lang w:eastAsia="zh-CN"/>
        </w:rPr>
        <w:t>因公出国（境）费</w:t>
      </w:r>
      <w:bookmarkEnd w:id="7"/>
      <w:r>
        <w:rPr>
          <w:rFonts w:ascii="仿宋_GB2312" w:eastAsia="仿宋_GB2312"/>
          <w:sz w:val="32"/>
          <w:szCs w:val="32"/>
          <w:lang w:eastAsia="zh-CN"/>
        </w:rPr>
        <w:t>。单位全年安排的因公出国（境）团组0个，因公出国（境）0人次。</w:t>
      </w:r>
    </w:p>
    <w:p w14:paraId="44D93AE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公务用车购置及运行维护费5.00万元，其中：公务用车购置费0.00万元，公务用车运行维护费5.00万元。公务用车运行维护费开支内容包括</w:t>
      </w:r>
      <w:bookmarkStart w:id="8" w:name="_Hlk207793066"/>
      <w:r>
        <w:rPr>
          <w:rFonts w:hint="eastAsia" w:ascii="仿宋_GB2312" w:eastAsia="仿宋_GB2312"/>
          <w:sz w:val="32"/>
          <w:szCs w:val="32"/>
          <w:lang w:eastAsia="zh-CN"/>
        </w:rPr>
        <w:t>公务用车维修维护费、燃油费、保险费、过路费等</w:t>
      </w:r>
      <w:bookmarkEnd w:id="8"/>
      <w:r>
        <w:rPr>
          <w:rFonts w:ascii="仿宋_GB2312" w:eastAsia="仿宋_GB2312"/>
          <w:sz w:val="32"/>
          <w:szCs w:val="32"/>
          <w:lang w:eastAsia="zh-CN"/>
        </w:rPr>
        <w:t>。公务用车购置数0辆，公务用车保有量4辆。国有资产占用情况中固定资产车辆4辆，与公务用车保有量差异原因是：</w:t>
      </w:r>
      <w:bookmarkStart w:id="9" w:name="_Hlk207143898"/>
      <w:r>
        <w:rPr>
          <w:rFonts w:hint="eastAsia" w:ascii="仿宋_GB2312" w:eastAsia="仿宋_GB2312"/>
          <w:sz w:val="32"/>
          <w:szCs w:val="32"/>
          <w:lang w:eastAsia="zh-CN"/>
        </w:rPr>
        <w:t>本单位固定资产车辆与公务用车保有量一致无差异</w:t>
      </w:r>
      <w:bookmarkEnd w:id="9"/>
      <w:r>
        <w:rPr>
          <w:rFonts w:ascii="仿宋_GB2312" w:eastAsia="仿宋_GB2312"/>
          <w:sz w:val="32"/>
          <w:szCs w:val="32"/>
          <w:lang w:eastAsia="zh-CN"/>
        </w:rPr>
        <w:t>。</w:t>
      </w:r>
    </w:p>
    <w:p w14:paraId="5CB5F2F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公务接待费0.00万元，开支内容包括</w:t>
      </w:r>
      <w:bookmarkStart w:id="10" w:name="_Hlk207140433"/>
      <w:r>
        <w:rPr>
          <w:rFonts w:hint="eastAsia" w:ascii="仿宋_GB2312" w:eastAsia="仿宋_GB2312"/>
          <w:sz w:val="32"/>
          <w:szCs w:val="32"/>
          <w:lang w:eastAsia="zh-CN"/>
        </w:rPr>
        <w:t>单</w:t>
      </w:r>
      <w:bookmarkStart w:id="11" w:name="_Hlk209003368"/>
      <w:r>
        <w:rPr>
          <w:rFonts w:hint="eastAsia" w:ascii="仿宋_GB2312" w:eastAsia="仿宋_GB2312"/>
          <w:sz w:val="32"/>
          <w:szCs w:val="32"/>
          <w:lang w:eastAsia="zh-CN"/>
        </w:rPr>
        <w:t>位本年无</w:t>
      </w:r>
      <w:r>
        <w:rPr>
          <w:rFonts w:ascii="仿宋_GB2312" w:eastAsia="仿宋_GB2312"/>
          <w:sz w:val="32"/>
          <w:szCs w:val="32"/>
          <w:lang w:eastAsia="zh-CN"/>
        </w:rPr>
        <w:t>公务接待费</w:t>
      </w:r>
      <w:bookmarkEnd w:id="10"/>
      <w:bookmarkEnd w:id="11"/>
      <w:r>
        <w:rPr>
          <w:rFonts w:ascii="仿宋_GB2312" w:eastAsia="仿宋_GB2312"/>
          <w:sz w:val="32"/>
          <w:szCs w:val="32"/>
          <w:lang w:eastAsia="zh-CN"/>
        </w:rPr>
        <w:t>。单位全年安排的国内公务接待0批次，0人次。</w:t>
      </w:r>
    </w:p>
    <w:p w14:paraId="4B36739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与全年预算相比，财政拨款“三公”经费支出全年预算数5.00万元，决算数5.00万元，预决算差异率0.00%，主要原因是：</w:t>
      </w:r>
      <w:bookmarkStart w:id="12" w:name="_Hlk207142995"/>
      <w:r>
        <w:rPr>
          <w:rFonts w:hint="eastAsia" w:ascii="仿宋_GB2312" w:eastAsia="仿宋_GB2312"/>
          <w:sz w:val="32"/>
          <w:szCs w:val="32"/>
          <w:lang w:eastAsia="zh-CN"/>
        </w:rPr>
        <w:t>严格按照预算执行，预决算对比无差异</w:t>
      </w:r>
      <w:bookmarkEnd w:id="12"/>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；公务用车运行维护费全年预算数5.00万元，决算数5.00万元，预决算差异率0.00%，主要原因是：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02FCAEB0">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14:paraId="32C65913">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（一）机关运行经费及公用经费支出情况</w:t>
      </w:r>
    </w:p>
    <w:p w14:paraId="7E53FE2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2024年度中共乌鲁木齐市米东区委员会组织部单位（行政单位和参照公务员法管理事业单位）机关运行经费支出17.73万元，比上年减少133.08万元，下降88.24%，主要原因是：</w:t>
      </w:r>
      <w:r>
        <w:rPr>
          <w:rFonts w:hint="eastAsia" w:ascii="仿宋_GB2312" w:eastAsia="仿宋_GB2312"/>
          <w:sz w:val="32"/>
          <w:szCs w:val="32"/>
          <w:lang w:eastAsia="zh-CN"/>
        </w:rPr>
        <w:t>本年单位办公经费、福利费、培训经费等较上年减少</w:t>
      </w:r>
      <w:r>
        <w:rPr>
          <w:rFonts w:ascii="仿宋_GB2312" w:eastAsia="仿宋_GB2312"/>
          <w:sz w:val="32"/>
          <w:szCs w:val="32"/>
          <w:lang w:eastAsia="zh-CN"/>
        </w:rPr>
        <w:t>。</w:t>
      </w:r>
    </w:p>
    <w:p w14:paraId="7749FD40">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（二）政府采购情况</w:t>
      </w:r>
    </w:p>
    <w:p w14:paraId="6C856D6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2024年度政府采购支出总额58.68万元，其中：政府采购货物支出14.52万元、政府采购工程支出0.00万元、政府采购服务支出44.16万元。</w:t>
      </w:r>
    </w:p>
    <w:p w14:paraId="55C394B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授予中小企业合同金额49.81万元，占政府采购支出总额的84.88%，其中：授予小微企业合同金额49.81万元，占政府采购支出总额的84.88%。</w:t>
      </w:r>
    </w:p>
    <w:p w14:paraId="4B2DDBAB">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（三）国有资产占用情况说明</w:t>
      </w:r>
    </w:p>
    <w:p w14:paraId="3951142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rPr>
        <w:t>截至2024年12月31日，房屋0.00平方米，价值0.00万元。</w:t>
      </w:r>
      <w:r>
        <w:rPr>
          <w:rFonts w:ascii="仿宋_GB2312" w:eastAsia="仿宋_GB2312"/>
          <w:sz w:val="32"/>
          <w:szCs w:val="32"/>
          <w:lang w:eastAsia="zh-CN"/>
        </w:rPr>
        <w:t>车辆4辆，价值81.65万元，其中：副部（省）级及以上领导用车0辆、主要负责人用车0辆、机要通信用车0辆、应急保障用车0辆、执法执勤用车0辆、特种专业技术用车0辆、离退休干部服务用车0辆、其他用车4辆，其他用车主要是：保障单位各项工作高效运转</w:t>
      </w:r>
      <w:r>
        <w:rPr>
          <w:rFonts w:hint="eastAsia" w:ascii="仿宋_GB2312" w:eastAsia="仿宋_GB2312"/>
          <w:sz w:val="32"/>
          <w:szCs w:val="32"/>
          <w:lang w:eastAsia="zh-CN"/>
        </w:rPr>
        <w:t>的业务用车</w:t>
      </w:r>
      <w:r>
        <w:rPr>
          <w:rFonts w:ascii="仿宋_GB2312" w:eastAsia="仿宋_GB2312"/>
          <w:sz w:val="32"/>
          <w:szCs w:val="32"/>
          <w:lang w:eastAsia="zh-CN"/>
        </w:rPr>
        <w:t>;单价100万元（含）以上设备（不含车辆）0台（套）。</w:t>
      </w:r>
    </w:p>
    <w:p w14:paraId="767DE3C4">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14:paraId="5697D5B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w:t>
      </w:r>
      <w:r>
        <w:rPr>
          <w:rFonts w:hint="eastAsia" w:ascii="仿宋_GB2312" w:eastAsia="仿宋_GB2312"/>
          <w:sz w:val="32"/>
          <w:szCs w:val="32"/>
          <w:lang w:eastAsia="zh-CN"/>
        </w:rPr>
        <w:t>414.57</w:t>
      </w:r>
      <w:r>
        <w:rPr>
          <w:rFonts w:ascii="仿宋_GB2312" w:eastAsia="仿宋_GB2312"/>
          <w:sz w:val="32"/>
          <w:szCs w:val="32"/>
          <w:lang w:eastAsia="zh-CN"/>
        </w:rPr>
        <w:t>万元，实际执行总额</w:t>
      </w:r>
      <w:r>
        <w:rPr>
          <w:rFonts w:hint="eastAsia" w:ascii="仿宋_GB2312" w:eastAsia="仿宋_GB2312"/>
          <w:sz w:val="32"/>
          <w:szCs w:val="32"/>
          <w:lang w:eastAsia="zh-CN"/>
        </w:rPr>
        <w:t>414.57</w:t>
      </w:r>
      <w:r>
        <w:rPr>
          <w:rFonts w:ascii="仿宋_GB2312" w:eastAsia="仿宋_GB2312"/>
          <w:sz w:val="32"/>
          <w:szCs w:val="32"/>
          <w:lang w:eastAsia="zh-CN"/>
        </w:rPr>
        <w:t>万元；预算绩效评价项目0个，全年预算数</w:t>
      </w:r>
      <w:r>
        <w:rPr>
          <w:rFonts w:hint="eastAsia" w:ascii="仿宋_GB2312" w:eastAsia="仿宋_GB2312"/>
          <w:sz w:val="32"/>
          <w:szCs w:val="32"/>
          <w:lang w:eastAsia="zh-CN"/>
        </w:rPr>
        <w:t>0.00</w:t>
      </w:r>
      <w:r>
        <w:rPr>
          <w:rFonts w:ascii="仿宋_GB2312" w:eastAsia="仿宋_GB2312"/>
          <w:sz w:val="32"/>
          <w:szCs w:val="32"/>
          <w:lang w:eastAsia="zh-CN"/>
        </w:rPr>
        <w:t>万元，全年执行数</w:t>
      </w:r>
      <w:r>
        <w:rPr>
          <w:rFonts w:hint="eastAsia" w:ascii="仿宋_GB2312" w:eastAsia="仿宋_GB2312"/>
          <w:sz w:val="32"/>
          <w:szCs w:val="32"/>
          <w:lang w:eastAsia="zh-CN"/>
        </w:rPr>
        <w:t>0.00</w:t>
      </w:r>
      <w:r>
        <w:rPr>
          <w:rFonts w:ascii="仿宋_GB2312" w:eastAsia="仿宋_GB2312"/>
          <w:sz w:val="32"/>
          <w:szCs w:val="32"/>
          <w:lang w:eastAsia="zh-CN"/>
        </w:rPr>
        <w:t>万元。预算绩效管理取得的成效：</w:t>
      </w:r>
      <w:r>
        <w:rPr>
          <w:rFonts w:hint="eastAsia" w:ascii="仿宋_GB2312" w:eastAsia="仿宋_GB2312"/>
          <w:sz w:val="32"/>
          <w:szCs w:val="32"/>
          <w:lang w:eastAsia="zh-CN"/>
        </w:rPr>
        <w:t>一是</w:t>
      </w:r>
      <w:r>
        <w:rPr>
          <w:rFonts w:ascii="仿宋_GB2312" w:eastAsia="仿宋_GB2312"/>
          <w:sz w:val="32"/>
          <w:szCs w:val="32"/>
          <w:lang w:eastAsia="zh-CN"/>
        </w:rPr>
        <w:t>严格执行预算，坚持厉行节约，进一步降低财务支出，严格财务管理，提高工作效率、强化绩效理念，强化业务人员整体素质。</w:t>
      </w:r>
      <w:r>
        <w:rPr>
          <w:rFonts w:hint="eastAsia" w:ascii="仿宋_GB2312" w:eastAsia="仿宋_GB2312"/>
          <w:sz w:val="32"/>
          <w:szCs w:val="32"/>
          <w:lang w:eastAsia="zh-CN"/>
        </w:rPr>
        <w:t>二是</w:t>
      </w:r>
      <w:r>
        <w:rPr>
          <w:rFonts w:ascii="仿宋_GB2312" w:eastAsia="仿宋_GB2312"/>
          <w:sz w:val="32"/>
          <w:szCs w:val="32"/>
          <w:lang w:eastAsia="zh-CN"/>
        </w:rPr>
        <w:t>加强对绩效的管理培训工作，设置目标时考虑目标的可实现，尽量做到目标的细化量化、明确清晰。完善绩效指标，提高整体绩效目标质量。提升预算精细化管理水平。发现的问题及原因：</w:t>
      </w:r>
      <w:r>
        <w:rPr>
          <w:rFonts w:hint="eastAsia" w:ascii="仿宋_GB2312" w:eastAsia="仿宋_GB2312"/>
          <w:sz w:val="32"/>
          <w:szCs w:val="32"/>
          <w:lang w:eastAsia="zh-CN"/>
        </w:rPr>
        <w:t>一是</w:t>
      </w:r>
      <w:r>
        <w:rPr>
          <w:rFonts w:ascii="仿宋_GB2312" w:eastAsia="仿宋_GB2312"/>
          <w:sz w:val="32"/>
          <w:szCs w:val="32"/>
          <w:lang w:eastAsia="zh-CN"/>
        </w:rPr>
        <w:t>部门内部预算绩效职责不清，工作安排不到位，部分</w:t>
      </w:r>
      <w:r>
        <w:rPr>
          <w:rFonts w:hint="eastAsia" w:ascii="仿宋_GB2312" w:eastAsia="仿宋_GB2312"/>
          <w:sz w:val="32"/>
          <w:szCs w:val="32"/>
          <w:lang w:eastAsia="zh-CN"/>
        </w:rPr>
        <w:t>部门</w:t>
      </w:r>
      <w:r>
        <w:rPr>
          <w:rFonts w:ascii="仿宋_GB2312" w:eastAsia="仿宋_GB2312"/>
          <w:sz w:val="32"/>
          <w:szCs w:val="32"/>
          <w:lang w:eastAsia="zh-CN"/>
        </w:rPr>
        <w:t>财务科室独自完成项目的绩效申报、监控、自评。</w:t>
      </w:r>
      <w:r>
        <w:rPr>
          <w:rFonts w:hint="eastAsia" w:ascii="仿宋_GB2312" w:eastAsia="仿宋_GB2312"/>
          <w:sz w:val="32"/>
          <w:szCs w:val="32"/>
          <w:lang w:eastAsia="zh-CN"/>
        </w:rPr>
        <w:t>二是</w:t>
      </w:r>
      <w:r>
        <w:rPr>
          <w:rFonts w:ascii="仿宋_GB2312" w:eastAsia="仿宋_GB2312"/>
          <w:sz w:val="32"/>
          <w:szCs w:val="32"/>
          <w:lang w:eastAsia="zh-CN"/>
        </w:rPr>
        <w:t>由于财务科对有些项目情况不了解，缺少业务科室的协调配合，承担了本该由业务部门承担的绩效工作，简单地将绩效目标制定、跟踪监控等专业性工作归口于财务人员，没有专人承担绩效管理职责，导致业务管理与绩效管理脱节，弱化了实施预算绩效管理的最基本环节。下一步改进措施：</w:t>
      </w:r>
      <w:r>
        <w:rPr>
          <w:rFonts w:hint="eastAsia" w:ascii="仿宋_GB2312" w:eastAsia="仿宋_GB2312"/>
          <w:sz w:val="32"/>
          <w:szCs w:val="32"/>
          <w:lang w:eastAsia="zh-CN"/>
        </w:rPr>
        <w:t>一是</w:t>
      </w:r>
      <w:r>
        <w:rPr>
          <w:rFonts w:ascii="仿宋_GB2312" w:eastAsia="仿宋_GB2312"/>
          <w:sz w:val="32"/>
          <w:szCs w:val="32"/>
          <w:lang w:eastAsia="zh-CN"/>
        </w:rPr>
        <w:t>加大绩效工作宣传力度，强化绩效理念，强化业务人员整体素质。加强对绩效的管理培训工作，设置目标时考虑目标的可实现，尽量做到目标的细化量化、明确清晰。</w:t>
      </w:r>
      <w:r>
        <w:rPr>
          <w:rFonts w:hint="eastAsia" w:ascii="仿宋_GB2312" w:eastAsia="仿宋_GB2312"/>
          <w:sz w:val="32"/>
          <w:szCs w:val="32"/>
          <w:lang w:eastAsia="zh-CN"/>
        </w:rPr>
        <w:t>二是</w:t>
      </w:r>
      <w:r>
        <w:rPr>
          <w:rFonts w:ascii="仿宋_GB2312" w:eastAsia="仿宋_GB2312"/>
          <w:sz w:val="32"/>
          <w:szCs w:val="32"/>
          <w:lang w:eastAsia="zh-CN"/>
        </w:rPr>
        <w:t>完善绩效指标，提高整体绩效目标质量。提升预算精细化管理水平。加强绩效业务学习及培训，提高业务人员绩效管理意识，进一步加强预算绩效管理工作，优化项目支出绩效指标体系，完善预算绩效管理制度，有效推动我单位下一年度预算绩效管理工作常态化、规范化。具体附部门整体支出绩效自评表。</w:t>
      </w:r>
    </w:p>
    <w:p w14:paraId="301D77A5">
      <w:pPr>
        <w:rPr>
          <w:rFonts w:hint="eastAsia" w:ascii="宋体" w:hAnsi="宋体" w:eastAsia="宋体" w:cs="宋体"/>
          <w:b/>
          <w:bCs/>
          <w:sz w:val="18"/>
          <w:szCs w:val="18"/>
          <w:lang w:eastAsia="zh-CN"/>
        </w:rPr>
      </w:pPr>
      <w:bookmarkStart w:id="13" w:name="_Hlk174962300"/>
    </w:p>
    <w:p w14:paraId="7583B261">
      <w:pPr>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部门（单位）整体支出绩效目标自评表</w:t>
      </w:r>
    </w:p>
    <w:p w14:paraId="585F3157">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935"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gridCol w:w="284"/>
      </w:tblGrid>
      <w:tr w14:paraId="1C1486D3">
        <w:tblPrEx>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56F4CB6B">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082CA888">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中共乌鲁木齐市米东区委员会组织部</w:t>
            </w:r>
          </w:p>
        </w:tc>
        <w:tc>
          <w:tcPr>
            <w:tcW w:w="284" w:type="dxa"/>
            <w:tcBorders>
              <w:top w:val="nil"/>
              <w:left w:val="nil"/>
              <w:bottom w:val="nil"/>
              <w:right w:val="nil"/>
            </w:tcBorders>
            <w:noWrap/>
            <w:vAlign w:val="center"/>
          </w:tcPr>
          <w:p w14:paraId="344A2905">
            <w:pPr>
              <w:rPr>
                <w:rFonts w:hint="eastAsia" w:ascii="宋体" w:hAnsi="宋体" w:eastAsia="宋体" w:cs="宋体"/>
                <w:b/>
                <w:bCs/>
                <w:sz w:val="18"/>
                <w:szCs w:val="18"/>
                <w:lang w:eastAsia="zh-CN"/>
              </w:rPr>
            </w:pPr>
          </w:p>
        </w:tc>
      </w:tr>
      <w:tr w14:paraId="587A3BD1">
        <w:tblPrEx>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5A85169B">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3EC11CDD">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117D1AFC">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76" w:type="dxa"/>
            <w:tcBorders>
              <w:top w:val="nil"/>
              <w:left w:val="nil"/>
              <w:bottom w:val="single" w:color="auto" w:sz="4" w:space="0"/>
              <w:right w:val="single" w:color="auto" w:sz="4" w:space="0"/>
            </w:tcBorders>
            <w:vAlign w:val="center"/>
          </w:tcPr>
          <w:p w14:paraId="07810114">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701" w:type="dxa"/>
            <w:tcBorders>
              <w:top w:val="nil"/>
              <w:left w:val="nil"/>
              <w:bottom w:val="single" w:color="auto" w:sz="4" w:space="0"/>
              <w:right w:val="single" w:color="auto" w:sz="4" w:space="0"/>
            </w:tcBorders>
            <w:vAlign w:val="center"/>
          </w:tcPr>
          <w:p w14:paraId="7B131356">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25D9B77D">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14:paraId="2C6109F5">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21C7C3CA">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07AED050">
            <w:pPr>
              <w:jc w:val="center"/>
              <w:rPr>
                <w:rFonts w:hint="eastAsia" w:ascii="宋体" w:hAnsi="宋体" w:eastAsia="宋体" w:cs="宋体"/>
                <w:b/>
                <w:bCs/>
                <w:sz w:val="18"/>
                <w:szCs w:val="18"/>
              </w:rPr>
            </w:pPr>
          </w:p>
        </w:tc>
      </w:tr>
      <w:tr w14:paraId="0457DA0E">
        <w:tblPrEx>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455A7F3">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45190C1D">
            <w:pPr>
              <w:jc w:val="center"/>
              <w:rPr>
                <w:rFonts w:hint="eastAsia" w:ascii="宋体" w:hAnsi="宋体" w:eastAsia="宋体" w:cs="宋体"/>
                <w:b/>
                <w:bCs/>
                <w:sz w:val="18"/>
                <w:szCs w:val="18"/>
              </w:rPr>
            </w:pPr>
            <w:r>
              <w:rPr>
                <w:rFonts w:hint="eastAsia" w:ascii="宋体" w:hAnsi="宋体" w:eastAsia="宋体" w:cs="宋体"/>
                <w:b/>
                <w:bCs/>
                <w:sz w:val="18"/>
                <w:szCs w:val="18"/>
              </w:rPr>
              <w:t>年度总资金</w:t>
            </w:r>
          </w:p>
        </w:tc>
        <w:tc>
          <w:tcPr>
            <w:tcW w:w="1418" w:type="dxa"/>
            <w:tcBorders>
              <w:top w:val="nil"/>
              <w:left w:val="nil"/>
              <w:bottom w:val="single" w:color="auto" w:sz="4" w:space="0"/>
              <w:right w:val="single" w:color="auto" w:sz="4" w:space="0"/>
            </w:tcBorders>
            <w:vAlign w:val="center"/>
          </w:tcPr>
          <w:p w14:paraId="6CF29185">
            <w:pPr>
              <w:jc w:val="center"/>
              <w:rPr>
                <w:rFonts w:hint="eastAsia" w:ascii="宋体" w:hAnsi="宋体" w:eastAsia="宋体" w:cs="宋体"/>
                <w:sz w:val="18"/>
                <w:szCs w:val="18"/>
              </w:rPr>
            </w:pPr>
            <w:r>
              <w:rPr>
                <w:rFonts w:hint="eastAsia" w:ascii="宋体" w:hAnsi="宋体" w:eastAsia="宋体" w:cs="宋体"/>
                <w:sz w:val="18"/>
                <w:szCs w:val="18"/>
              </w:rPr>
              <w:t>365.48</w:t>
            </w:r>
          </w:p>
        </w:tc>
        <w:tc>
          <w:tcPr>
            <w:tcW w:w="1276" w:type="dxa"/>
            <w:tcBorders>
              <w:top w:val="nil"/>
              <w:left w:val="nil"/>
              <w:bottom w:val="single" w:color="auto" w:sz="4" w:space="0"/>
              <w:right w:val="single" w:color="auto" w:sz="4" w:space="0"/>
            </w:tcBorders>
            <w:vAlign w:val="center"/>
          </w:tcPr>
          <w:p w14:paraId="30C5851E">
            <w:pPr>
              <w:jc w:val="center"/>
              <w:rPr>
                <w:rFonts w:hint="eastAsia" w:ascii="宋体" w:hAnsi="宋体" w:eastAsia="宋体" w:cs="宋体"/>
                <w:sz w:val="18"/>
                <w:szCs w:val="18"/>
              </w:rPr>
            </w:pPr>
            <w:r>
              <w:rPr>
                <w:rFonts w:hint="eastAsia" w:ascii="宋体" w:hAnsi="宋体" w:eastAsia="宋体" w:cs="宋体"/>
                <w:sz w:val="18"/>
                <w:szCs w:val="18"/>
              </w:rPr>
              <w:t>414.57</w:t>
            </w:r>
          </w:p>
        </w:tc>
        <w:tc>
          <w:tcPr>
            <w:tcW w:w="1701" w:type="dxa"/>
            <w:tcBorders>
              <w:top w:val="nil"/>
              <w:left w:val="nil"/>
              <w:bottom w:val="single" w:color="auto" w:sz="4" w:space="0"/>
              <w:right w:val="single" w:color="auto" w:sz="4" w:space="0"/>
            </w:tcBorders>
            <w:vAlign w:val="center"/>
          </w:tcPr>
          <w:p w14:paraId="249095A9">
            <w:pPr>
              <w:jc w:val="center"/>
              <w:rPr>
                <w:rFonts w:hint="eastAsia" w:ascii="宋体" w:hAnsi="宋体" w:eastAsia="宋体" w:cs="宋体"/>
                <w:sz w:val="18"/>
                <w:szCs w:val="18"/>
              </w:rPr>
            </w:pPr>
            <w:r>
              <w:rPr>
                <w:rFonts w:hint="eastAsia" w:ascii="宋体" w:hAnsi="宋体" w:eastAsia="宋体" w:cs="宋体"/>
                <w:sz w:val="18"/>
                <w:szCs w:val="18"/>
              </w:rPr>
              <w:t>414.57</w:t>
            </w:r>
          </w:p>
        </w:tc>
        <w:tc>
          <w:tcPr>
            <w:tcW w:w="1134" w:type="dxa"/>
            <w:tcBorders>
              <w:top w:val="nil"/>
              <w:left w:val="nil"/>
              <w:bottom w:val="single" w:color="auto" w:sz="4" w:space="0"/>
              <w:right w:val="single" w:color="auto" w:sz="4" w:space="0"/>
            </w:tcBorders>
            <w:vAlign w:val="center"/>
          </w:tcPr>
          <w:p w14:paraId="59CA2BFD">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vAlign w:val="center"/>
          </w:tcPr>
          <w:p w14:paraId="3C068092">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vAlign w:val="center"/>
          </w:tcPr>
          <w:p w14:paraId="607F3DF3">
            <w:pPr>
              <w:jc w:val="center"/>
              <w:rPr>
                <w:rFonts w:hint="eastAsia" w:ascii="宋体" w:hAnsi="宋体" w:eastAsia="宋体" w:cs="宋体"/>
                <w:sz w:val="18"/>
                <w:szCs w:val="18"/>
              </w:rPr>
            </w:pPr>
            <w:r>
              <w:rPr>
                <w:rFonts w:hint="eastAsia" w:ascii="宋体" w:hAnsi="宋体" w:eastAsia="宋体" w:cs="宋体"/>
                <w:sz w:val="18"/>
                <w:szCs w:val="18"/>
              </w:rPr>
              <w:t>10</w:t>
            </w:r>
          </w:p>
        </w:tc>
        <w:tc>
          <w:tcPr>
            <w:tcW w:w="284" w:type="dxa"/>
            <w:tcBorders>
              <w:top w:val="nil"/>
              <w:left w:val="nil"/>
              <w:bottom w:val="nil"/>
              <w:right w:val="nil"/>
            </w:tcBorders>
            <w:noWrap/>
            <w:vAlign w:val="center"/>
          </w:tcPr>
          <w:p w14:paraId="0C78761C">
            <w:pPr>
              <w:jc w:val="center"/>
              <w:rPr>
                <w:rFonts w:hint="eastAsia" w:ascii="宋体" w:hAnsi="宋体" w:eastAsia="宋体" w:cs="宋体"/>
                <w:b/>
                <w:bCs/>
                <w:sz w:val="18"/>
                <w:szCs w:val="18"/>
              </w:rPr>
            </w:pPr>
          </w:p>
        </w:tc>
      </w:tr>
      <w:tr w14:paraId="10E210C3">
        <w:tblPrEx>
          <w:tblCellMar>
            <w:top w:w="0" w:type="dxa"/>
            <w:left w:w="108" w:type="dxa"/>
            <w:bottom w:w="0" w:type="dxa"/>
            <w:right w:w="108" w:type="dxa"/>
          </w:tblCellMar>
        </w:tblPrEx>
        <w:trPr>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955024F">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0D466585">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其中:上级资金（万元）</w:t>
            </w:r>
          </w:p>
        </w:tc>
        <w:tc>
          <w:tcPr>
            <w:tcW w:w="1418" w:type="dxa"/>
            <w:tcBorders>
              <w:top w:val="nil"/>
              <w:left w:val="nil"/>
              <w:bottom w:val="single" w:color="auto" w:sz="4" w:space="0"/>
              <w:right w:val="single" w:color="auto" w:sz="4" w:space="0"/>
            </w:tcBorders>
            <w:vAlign w:val="center"/>
          </w:tcPr>
          <w:p w14:paraId="60B16A78">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76" w:type="dxa"/>
            <w:tcBorders>
              <w:top w:val="nil"/>
              <w:left w:val="nil"/>
              <w:bottom w:val="single" w:color="auto" w:sz="4" w:space="0"/>
              <w:right w:val="single" w:color="auto" w:sz="4" w:space="0"/>
            </w:tcBorders>
            <w:vAlign w:val="center"/>
          </w:tcPr>
          <w:p w14:paraId="114E5E8E">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701" w:type="dxa"/>
            <w:tcBorders>
              <w:top w:val="nil"/>
              <w:left w:val="nil"/>
              <w:bottom w:val="single" w:color="auto" w:sz="4" w:space="0"/>
              <w:right w:val="single" w:color="auto" w:sz="4" w:space="0"/>
            </w:tcBorders>
            <w:vAlign w:val="center"/>
          </w:tcPr>
          <w:p w14:paraId="068E22B7">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15D671A4">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5ED26C08">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49874560">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657D3EE0">
            <w:pPr>
              <w:jc w:val="center"/>
              <w:rPr>
                <w:rFonts w:hint="eastAsia" w:ascii="宋体" w:hAnsi="宋体" w:eastAsia="宋体" w:cs="宋体"/>
                <w:sz w:val="18"/>
                <w:szCs w:val="18"/>
              </w:rPr>
            </w:pPr>
          </w:p>
        </w:tc>
      </w:tr>
      <w:tr w14:paraId="30A638DF">
        <w:tblPrEx>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BA9C635">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4B25B007">
            <w:pPr>
              <w:jc w:val="center"/>
              <w:rPr>
                <w:rFonts w:hint="eastAsia" w:ascii="宋体" w:hAnsi="宋体" w:eastAsia="宋体" w:cs="宋体"/>
                <w:b/>
                <w:bCs/>
                <w:sz w:val="18"/>
                <w:szCs w:val="18"/>
              </w:rPr>
            </w:pPr>
            <w:r>
              <w:rPr>
                <w:rFonts w:hint="eastAsia" w:ascii="宋体" w:hAnsi="宋体" w:eastAsia="宋体" w:cs="宋体"/>
                <w:b/>
                <w:bCs/>
                <w:sz w:val="18"/>
                <w:szCs w:val="18"/>
              </w:rPr>
              <w:t>本级资金（万元）</w:t>
            </w:r>
          </w:p>
        </w:tc>
        <w:tc>
          <w:tcPr>
            <w:tcW w:w="1418" w:type="dxa"/>
            <w:tcBorders>
              <w:top w:val="nil"/>
              <w:left w:val="nil"/>
              <w:bottom w:val="single" w:color="auto" w:sz="4" w:space="0"/>
              <w:right w:val="single" w:color="auto" w:sz="4" w:space="0"/>
            </w:tcBorders>
            <w:vAlign w:val="center"/>
          </w:tcPr>
          <w:p w14:paraId="7FDECF09">
            <w:pPr>
              <w:jc w:val="center"/>
              <w:rPr>
                <w:rFonts w:hint="eastAsia" w:ascii="宋体" w:hAnsi="宋体" w:eastAsia="宋体" w:cs="宋体"/>
                <w:sz w:val="18"/>
                <w:szCs w:val="18"/>
              </w:rPr>
            </w:pPr>
            <w:r>
              <w:rPr>
                <w:rFonts w:hint="eastAsia" w:ascii="宋体" w:hAnsi="宋体" w:eastAsia="宋体" w:cs="宋体"/>
                <w:sz w:val="18"/>
                <w:szCs w:val="18"/>
              </w:rPr>
              <w:t>365.48</w:t>
            </w:r>
          </w:p>
        </w:tc>
        <w:tc>
          <w:tcPr>
            <w:tcW w:w="1276" w:type="dxa"/>
            <w:tcBorders>
              <w:top w:val="nil"/>
              <w:left w:val="nil"/>
              <w:bottom w:val="single" w:color="auto" w:sz="4" w:space="0"/>
              <w:right w:val="single" w:color="auto" w:sz="4" w:space="0"/>
            </w:tcBorders>
            <w:vAlign w:val="center"/>
          </w:tcPr>
          <w:p w14:paraId="21B98BF3">
            <w:pPr>
              <w:jc w:val="center"/>
              <w:rPr>
                <w:rFonts w:hint="eastAsia" w:ascii="宋体" w:hAnsi="宋体" w:eastAsia="宋体" w:cs="宋体"/>
                <w:sz w:val="18"/>
                <w:szCs w:val="18"/>
              </w:rPr>
            </w:pPr>
            <w:r>
              <w:rPr>
                <w:rFonts w:hint="eastAsia" w:ascii="宋体" w:hAnsi="宋体" w:eastAsia="宋体" w:cs="宋体"/>
                <w:sz w:val="18"/>
                <w:szCs w:val="18"/>
              </w:rPr>
              <w:t>414.57</w:t>
            </w:r>
          </w:p>
        </w:tc>
        <w:tc>
          <w:tcPr>
            <w:tcW w:w="1701" w:type="dxa"/>
            <w:tcBorders>
              <w:top w:val="nil"/>
              <w:left w:val="nil"/>
              <w:bottom w:val="single" w:color="auto" w:sz="4" w:space="0"/>
              <w:right w:val="single" w:color="auto" w:sz="4" w:space="0"/>
            </w:tcBorders>
            <w:vAlign w:val="center"/>
          </w:tcPr>
          <w:p w14:paraId="663AB088">
            <w:pPr>
              <w:jc w:val="center"/>
              <w:rPr>
                <w:rFonts w:hint="eastAsia" w:ascii="宋体" w:hAnsi="宋体" w:eastAsia="宋体" w:cs="宋体"/>
                <w:sz w:val="18"/>
                <w:szCs w:val="18"/>
              </w:rPr>
            </w:pPr>
            <w:r>
              <w:rPr>
                <w:rFonts w:hint="eastAsia" w:ascii="宋体" w:hAnsi="宋体" w:eastAsia="宋体" w:cs="宋体"/>
                <w:sz w:val="18"/>
                <w:szCs w:val="18"/>
              </w:rPr>
              <w:t>414.57</w:t>
            </w:r>
          </w:p>
        </w:tc>
        <w:tc>
          <w:tcPr>
            <w:tcW w:w="1134" w:type="dxa"/>
            <w:tcBorders>
              <w:top w:val="nil"/>
              <w:left w:val="nil"/>
              <w:bottom w:val="single" w:color="auto" w:sz="4" w:space="0"/>
              <w:right w:val="single" w:color="auto" w:sz="4" w:space="0"/>
            </w:tcBorders>
            <w:vAlign w:val="center"/>
          </w:tcPr>
          <w:p w14:paraId="749347A4">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5130508B">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458EC8FA">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11C0E88E">
            <w:pPr>
              <w:jc w:val="center"/>
              <w:rPr>
                <w:rFonts w:hint="eastAsia" w:ascii="宋体" w:hAnsi="宋体" w:eastAsia="宋体" w:cs="宋体"/>
                <w:sz w:val="18"/>
                <w:szCs w:val="18"/>
              </w:rPr>
            </w:pPr>
          </w:p>
        </w:tc>
      </w:tr>
      <w:tr w14:paraId="5BC5607C">
        <w:tblPrEx>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3E0A012">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0B69C34F">
            <w:pPr>
              <w:jc w:val="center"/>
              <w:rPr>
                <w:rFonts w:hint="eastAsia" w:ascii="宋体" w:hAnsi="宋体" w:eastAsia="宋体" w:cs="宋体"/>
                <w:b/>
                <w:bCs/>
                <w:sz w:val="18"/>
                <w:szCs w:val="18"/>
              </w:rPr>
            </w:pPr>
            <w:r>
              <w:rPr>
                <w:rFonts w:hint="eastAsia" w:ascii="宋体" w:hAnsi="宋体" w:eastAsia="宋体" w:cs="宋体"/>
                <w:b/>
                <w:bCs/>
                <w:sz w:val="18"/>
                <w:szCs w:val="18"/>
              </w:rPr>
              <w:t>其他资金（万元）</w:t>
            </w:r>
          </w:p>
        </w:tc>
        <w:tc>
          <w:tcPr>
            <w:tcW w:w="1418" w:type="dxa"/>
            <w:tcBorders>
              <w:top w:val="nil"/>
              <w:left w:val="nil"/>
              <w:bottom w:val="single" w:color="auto" w:sz="4" w:space="0"/>
              <w:right w:val="single" w:color="auto" w:sz="4" w:space="0"/>
            </w:tcBorders>
            <w:vAlign w:val="center"/>
          </w:tcPr>
          <w:p w14:paraId="73766F69">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76" w:type="dxa"/>
            <w:tcBorders>
              <w:top w:val="nil"/>
              <w:left w:val="nil"/>
              <w:bottom w:val="single" w:color="auto" w:sz="4" w:space="0"/>
              <w:right w:val="single" w:color="auto" w:sz="4" w:space="0"/>
            </w:tcBorders>
            <w:vAlign w:val="center"/>
          </w:tcPr>
          <w:p w14:paraId="219CF473">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701" w:type="dxa"/>
            <w:tcBorders>
              <w:top w:val="nil"/>
              <w:left w:val="nil"/>
              <w:bottom w:val="single" w:color="auto" w:sz="4" w:space="0"/>
              <w:right w:val="single" w:color="auto" w:sz="4" w:space="0"/>
            </w:tcBorders>
            <w:vAlign w:val="center"/>
          </w:tcPr>
          <w:p w14:paraId="1D5AA96F">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3A22D001">
            <w:pPr>
              <w:jc w:val="center"/>
              <w:rPr>
                <w:rFonts w:hint="eastAsia" w:ascii="宋体" w:hAnsi="宋体" w:eastAsia="宋体" w:cs="宋体"/>
                <w:sz w:val="18"/>
                <w:szCs w:val="18"/>
              </w:rPr>
            </w:pPr>
            <w:r>
              <w:rPr>
                <w:rFonts w:hint="eastAsia" w:ascii="宋体" w:hAnsi="宋体" w:eastAsia="宋体" w:cs="宋体"/>
                <w:sz w:val="18"/>
                <w:szCs w:val="18"/>
              </w:rPr>
              <w:t>-</w:t>
            </w:r>
          </w:p>
        </w:tc>
        <w:tc>
          <w:tcPr>
            <w:tcW w:w="992" w:type="dxa"/>
            <w:tcBorders>
              <w:top w:val="nil"/>
              <w:left w:val="nil"/>
              <w:bottom w:val="single" w:color="auto" w:sz="4" w:space="0"/>
              <w:right w:val="single" w:color="auto" w:sz="4" w:space="0"/>
            </w:tcBorders>
            <w:vAlign w:val="center"/>
          </w:tcPr>
          <w:p w14:paraId="6492978B">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66CC9FE3">
            <w:pPr>
              <w:jc w:val="center"/>
              <w:rPr>
                <w:rFonts w:hint="eastAsia" w:ascii="宋体" w:hAnsi="宋体" w:eastAsia="宋体" w:cs="宋体"/>
                <w:sz w:val="18"/>
                <w:szCs w:val="18"/>
              </w:rPr>
            </w:pPr>
            <w:r>
              <w:rPr>
                <w:rFonts w:hint="eastAsia" w:ascii="宋体" w:hAnsi="宋体" w:eastAsia="宋体" w:cs="宋体"/>
                <w:sz w:val="18"/>
                <w:szCs w:val="18"/>
              </w:rPr>
              <w:t>-</w:t>
            </w:r>
          </w:p>
        </w:tc>
        <w:tc>
          <w:tcPr>
            <w:tcW w:w="284" w:type="dxa"/>
            <w:tcBorders>
              <w:top w:val="nil"/>
              <w:left w:val="nil"/>
              <w:bottom w:val="nil"/>
              <w:right w:val="nil"/>
            </w:tcBorders>
            <w:noWrap/>
            <w:vAlign w:val="center"/>
          </w:tcPr>
          <w:p w14:paraId="531EB2FC">
            <w:pPr>
              <w:jc w:val="center"/>
              <w:rPr>
                <w:rFonts w:hint="eastAsia" w:ascii="宋体" w:hAnsi="宋体" w:eastAsia="宋体" w:cs="宋体"/>
                <w:sz w:val="18"/>
                <w:szCs w:val="18"/>
              </w:rPr>
            </w:pPr>
          </w:p>
        </w:tc>
      </w:tr>
      <w:tr w14:paraId="19874D51">
        <w:tblPrEx>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3E136750">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096F41FB">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0C42EC77">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c>
          <w:tcPr>
            <w:tcW w:w="284" w:type="dxa"/>
            <w:tcBorders>
              <w:top w:val="nil"/>
              <w:left w:val="nil"/>
              <w:bottom w:val="nil"/>
              <w:right w:val="nil"/>
            </w:tcBorders>
            <w:noWrap/>
            <w:vAlign w:val="center"/>
          </w:tcPr>
          <w:p w14:paraId="7E764022">
            <w:pPr>
              <w:rPr>
                <w:rFonts w:hint="eastAsia" w:ascii="宋体" w:hAnsi="宋体" w:eastAsia="宋体" w:cs="宋体"/>
                <w:b/>
                <w:bCs/>
                <w:sz w:val="18"/>
                <w:szCs w:val="18"/>
              </w:rPr>
            </w:pPr>
          </w:p>
        </w:tc>
      </w:tr>
      <w:tr w14:paraId="3DEADBDE">
        <w:tblPrEx>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6ADE4BB">
            <w:pPr>
              <w:rPr>
                <w:rFonts w:hint="eastAsia" w:ascii="宋体" w:hAnsi="宋体" w:eastAsia="宋体" w:cs="宋体"/>
                <w:b/>
                <w:bCs/>
                <w:sz w:val="18"/>
                <w:szCs w:val="18"/>
              </w:rPr>
            </w:pPr>
          </w:p>
        </w:tc>
        <w:tc>
          <w:tcPr>
            <w:tcW w:w="4111" w:type="dxa"/>
            <w:gridSpan w:val="3"/>
            <w:tcBorders>
              <w:top w:val="single" w:color="auto" w:sz="4" w:space="0"/>
              <w:left w:val="nil"/>
              <w:bottom w:val="single" w:color="auto" w:sz="4" w:space="0"/>
              <w:right w:val="single" w:color="auto" w:sz="4" w:space="0"/>
            </w:tcBorders>
          </w:tcPr>
          <w:p w14:paraId="082CBEA4">
            <w:pPr>
              <w:rPr>
                <w:rFonts w:hint="eastAsia" w:ascii="宋体" w:hAnsi="宋体" w:eastAsia="宋体" w:cs="宋体"/>
                <w:sz w:val="18"/>
                <w:szCs w:val="18"/>
                <w:lang w:eastAsia="zh-CN"/>
              </w:rPr>
            </w:pPr>
            <w:r>
              <w:rPr>
                <w:rFonts w:hint="eastAsia" w:ascii="宋体" w:hAnsi="宋体" w:eastAsia="宋体" w:cs="宋体"/>
                <w:sz w:val="18"/>
                <w:szCs w:val="18"/>
                <w:lang w:eastAsia="zh-CN"/>
              </w:rPr>
              <w:t>加强党的组织制度建设，基层组织和党员队伍建设，负责领导班子和领导干部队伍建设。按时按质完成党员干部培训、开展基层组织学习等工作；选优配强干部队伍、做好人才培养工作、公务员队伍建设；不断提升干部能力素质，实施干部教育培训、管理监督工作。2024年工作计划：（一）聚焦政治坚强，旗帜鲜明加强政治建设。（二）聚焦政治忠诚，持之以恒加强理论武装。（三）聚焦政治标准，着力培养高素质干部队伍。（四）聚焦政治引领，培养引进用好高素质人才。（五）聚焦政治功能，固本强基筑牢战斗堡垒。</w:t>
            </w:r>
          </w:p>
        </w:tc>
        <w:tc>
          <w:tcPr>
            <w:tcW w:w="4547" w:type="dxa"/>
            <w:gridSpan w:val="4"/>
            <w:tcBorders>
              <w:top w:val="single" w:color="auto" w:sz="4" w:space="0"/>
              <w:left w:val="nil"/>
              <w:bottom w:val="single" w:color="auto" w:sz="4" w:space="0"/>
              <w:right w:val="single" w:color="auto" w:sz="4" w:space="0"/>
            </w:tcBorders>
          </w:tcPr>
          <w:p w14:paraId="379A51DA">
            <w:pPr>
              <w:rPr>
                <w:rFonts w:hint="eastAsia" w:ascii="宋体" w:hAnsi="宋体" w:eastAsia="宋体" w:cs="宋体"/>
                <w:sz w:val="18"/>
                <w:szCs w:val="18"/>
                <w:lang w:eastAsia="zh-CN"/>
              </w:rPr>
            </w:pPr>
            <w:r>
              <w:rPr>
                <w:rFonts w:hint="eastAsia" w:ascii="宋体" w:hAnsi="宋体" w:eastAsia="宋体" w:cs="宋体"/>
                <w:sz w:val="18"/>
                <w:szCs w:val="18"/>
                <w:lang w:eastAsia="zh-CN"/>
              </w:rPr>
              <w:t>开展基层组织学习，按时按质完成了党员干部培训，各类培训灵活运用多种课题形式，充分调动学员积极性，提升培训实效性，进一步提高基层党员干部思想政治素质、公仆意识，促使党员干部拓宽眼界、增长知识，掌握政策、增强能力</w:t>
            </w:r>
            <w:bookmarkStart w:id="14" w:name="_GoBack"/>
            <w:bookmarkEnd w:id="14"/>
            <w:r>
              <w:rPr>
                <w:rFonts w:hint="eastAsia" w:ascii="宋体" w:hAnsi="宋体" w:eastAsia="宋体" w:cs="宋体"/>
                <w:sz w:val="18"/>
                <w:szCs w:val="18"/>
                <w:lang w:eastAsia="zh-CN"/>
              </w:rPr>
              <w:t>，党员干部综合能力素质不断提升。</w:t>
            </w:r>
          </w:p>
        </w:tc>
        <w:tc>
          <w:tcPr>
            <w:tcW w:w="284" w:type="dxa"/>
            <w:tcBorders>
              <w:top w:val="nil"/>
              <w:left w:val="nil"/>
              <w:bottom w:val="nil"/>
              <w:right w:val="nil"/>
            </w:tcBorders>
            <w:noWrap/>
            <w:vAlign w:val="center"/>
          </w:tcPr>
          <w:p w14:paraId="3642DB7B">
            <w:pPr>
              <w:rPr>
                <w:rFonts w:hint="eastAsia" w:ascii="宋体" w:hAnsi="宋体" w:eastAsia="宋体" w:cs="宋体"/>
                <w:sz w:val="18"/>
                <w:szCs w:val="18"/>
                <w:lang w:eastAsia="zh-CN"/>
              </w:rPr>
            </w:pPr>
          </w:p>
        </w:tc>
      </w:tr>
      <w:tr w14:paraId="24B8E1A7">
        <w:tblPrEx>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7601B9D9">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3B43B0BE">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2EE04D0E">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76" w:type="dxa"/>
            <w:tcBorders>
              <w:top w:val="nil"/>
              <w:left w:val="nil"/>
              <w:bottom w:val="single" w:color="auto" w:sz="4" w:space="0"/>
              <w:right w:val="single" w:color="auto" w:sz="4" w:space="0"/>
            </w:tcBorders>
            <w:vAlign w:val="center"/>
          </w:tcPr>
          <w:p w14:paraId="6DF8D85E">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701" w:type="dxa"/>
            <w:tcBorders>
              <w:top w:val="nil"/>
              <w:left w:val="nil"/>
              <w:bottom w:val="single" w:color="auto" w:sz="4" w:space="0"/>
              <w:right w:val="single" w:color="auto" w:sz="4" w:space="0"/>
            </w:tcBorders>
            <w:vAlign w:val="center"/>
          </w:tcPr>
          <w:p w14:paraId="7E917685">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2D7CCD92">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992" w:type="dxa"/>
            <w:tcBorders>
              <w:top w:val="nil"/>
              <w:left w:val="nil"/>
              <w:bottom w:val="single" w:color="auto" w:sz="4" w:space="0"/>
              <w:right w:val="single" w:color="auto" w:sz="4" w:space="0"/>
            </w:tcBorders>
            <w:vAlign w:val="center"/>
          </w:tcPr>
          <w:p w14:paraId="27E71A41">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720" w:type="dxa"/>
            <w:tcBorders>
              <w:top w:val="nil"/>
              <w:left w:val="nil"/>
              <w:bottom w:val="single" w:color="auto" w:sz="4" w:space="0"/>
              <w:right w:val="single" w:color="auto" w:sz="4" w:space="0"/>
            </w:tcBorders>
            <w:vAlign w:val="center"/>
          </w:tcPr>
          <w:p w14:paraId="67E6FCA3">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2376EEEE">
            <w:pPr>
              <w:rPr>
                <w:rFonts w:hint="eastAsia" w:ascii="宋体" w:hAnsi="宋体" w:eastAsia="宋体" w:cs="宋体"/>
                <w:b/>
                <w:bCs/>
                <w:sz w:val="18"/>
                <w:szCs w:val="18"/>
              </w:rPr>
            </w:pPr>
          </w:p>
        </w:tc>
      </w:tr>
      <w:tr w14:paraId="49D96824">
        <w:tblPrEx>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right w:val="single" w:color="auto" w:sz="4" w:space="0"/>
            </w:tcBorders>
            <w:noWrap/>
            <w:vAlign w:val="center"/>
          </w:tcPr>
          <w:p w14:paraId="63B57831">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43D0D64E">
            <w:pPr>
              <w:jc w:val="center"/>
              <w:rPr>
                <w:rFonts w:hint="eastAsia" w:ascii="宋体" w:hAnsi="宋体" w:eastAsia="宋体" w:cs="宋体"/>
                <w:sz w:val="18"/>
                <w:szCs w:val="18"/>
              </w:rPr>
            </w:pPr>
            <w:r>
              <w:rPr>
                <w:rFonts w:hint="eastAsia" w:ascii="宋体" w:hAnsi="宋体" w:eastAsia="宋体" w:cs="宋体"/>
                <w:sz w:val="18"/>
                <w:szCs w:val="18"/>
              </w:rPr>
              <w:t>时效指标</w:t>
            </w:r>
          </w:p>
        </w:tc>
        <w:tc>
          <w:tcPr>
            <w:tcW w:w="1418" w:type="dxa"/>
            <w:tcBorders>
              <w:top w:val="nil"/>
              <w:left w:val="nil"/>
              <w:bottom w:val="single" w:color="auto" w:sz="4" w:space="0"/>
              <w:right w:val="single" w:color="auto" w:sz="4" w:space="0"/>
            </w:tcBorders>
            <w:noWrap/>
            <w:vAlign w:val="center"/>
          </w:tcPr>
          <w:p w14:paraId="3DBA3465">
            <w:pPr>
              <w:jc w:val="center"/>
              <w:rPr>
                <w:rFonts w:hint="eastAsia" w:ascii="宋体" w:hAnsi="宋体" w:eastAsia="宋体" w:cs="宋体"/>
                <w:sz w:val="18"/>
                <w:szCs w:val="18"/>
              </w:rPr>
            </w:pPr>
            <w:r>
              <w:rPr>
                <w:rFonts w:hint="eastAsia" w:ascii="宋体" w:hAnsi="宋体" w:eastAsia="宋体" w:cs="宋体"/>
                <w:sz w:val="18"/>
                <w:szCs w:val="18"/>
              </w:rPr>
              <w:t>农牧民党员教育培训</w:t>
            </w:r>
          </w:p>
        </w:tc>
        <w:tc>
          <w:tcPr>
            <w:tcW w:w="1276" w:type="dxa"/>
            <w:tcBorders>
              <w:top w:val="nil"/>
              <w:left w:val="nil"/>
              <w:bottom w:val="single" w:color="auto" w:sz="4" w:space="0"/>
              <w:right w:val="single" w:color="auto" w:sz="4" w:space="0"/>
            </w:tcBorders>
            <w:noWrap/>
            <w:vAlign w:val="center"/>
          </w:tcPr>
          <w:p w14:paraId="2B78DA2A">
            <w:pPr>
              <w:jc w:val="center"/>
              <w:rPr>
                <w:rFonts w:hint="eastAsia" w:ascii="宋体" w:hAnsi="宋体" w:eastAsia="宋体" w:cs="宋体"/>
                <w:sz w:val="18"/>
                <w:szCs w:val="18"/>
              </w:rPr>
            </w:pPr>
            <w:r>
              <w:rPr>
                <w:rFonts w:hint="eastAsia" w:ascii="宋体" w:hAnsi="宋体" w:eastAsia="宋体" w:cs="宋体"/>
                <w:sz w:val="18"/>
                <w:szCs w:val="18"/>
              </w:rPr>
              <w:t>&gt;=7天</w:t>
            </w:r>
          </w:p>
        </w:tc>
        <w:tc>
          <w:tcPr>
            <w:tcW w:w="1701" w:type="dxa"/>
            <w:tcBorders>
              <w:top w:val="nil"/>
              <w:left w:val="nil"/>
              <w:bottom w:val="single" w:color="auto" w:sz="4" w:space="0"/>
              <w:right w:val="single" w:color="auto" w:sz="4" w:space="0"/>
            </w:tcBorders>
            <w:noWrap/>
            <w:vAlign w:val="center"/>
          </w:tcPr>
          <w:p w14:paraId="56563E12">
            <w:pPr>
              <w:rPr>
                <w:rFonts w:hint="eastAsia" w:ascii="宋体" w:hAnsi="宋体" w:eastAsia="宋体" w:cs="宋体"/>
                <w:sz w:val="18"/>
                <w:szCs w:val="18"/>
              </w:rPr>
            </w:pPr>
            <w:r>
              <w:rPr>
                <w:rFonts w:hint="eastAsia" w:ascii="宋体" w:hAnsi="宋体" w:eastAsia="宋体" w:cs="宋体"/>
                <w:sz w:val="18"/>
                <w:szCs w:val="18"/>
              </w:rPr>
              <w:t>2024年工作计划</w:t>
            </w:r>
          </w:p>
        </w:tc>
        <w:tc>
          <w:tcPr>
            <w:tcW w:w="1134" w:type="dxa"/>
            <w:tcBorders>
              <w:top w:val="nil"/>
              <w:left w:val="nil"/>
              <w:bottom w:val="single" w:color="auto" w:sz="4" w:space="0"/>
              <w:right w:val="single" w:color="auto" w:sz="4" w:space="0"/>
            </w:tcBorders>
            <w:noWrap/>
            <w:vAlign w:val="center"/>
          </w:tcPr>
          <w:p w14:paraId="459816F3">
            <w:pPr>
              <w:jc w:val="center"/>
              <w:rPr>
                <w:rFonts w:hint="eastAsia" w:ascii="宋体" w:hAnsi="宋体" w:eastAsia="宋体" w:cs="宋体"/>
                <w:sz w:val="18"/>
                <w:szCs w:val="18"/>
              </w:rPr>
            </w:pPr>
            <w:r>
              <w:rPr>
                <w:rFonts w:hint="eastAsia" w:ascii="宋体" w:hAnsi="宋体" w:eastAsia="宋体" w:cs="宋体"/>
                <w:sz w:val="18"/>
                <w:szCs w:val="18"/>
              </w:rPr>
              <w:t>7</w:t>
            </w:r>
          </w:p>
        </w:tc>
        <w:tc>
          <w:tcPr>
            <w:tcW w:w="992" w:type="dxa"/>
            <w:tcBorders>
              <w:top w:val="nil"/>
              <w:left w:val="nil"/>
              <w:bottom w:val="single" w:color="auto" w:sz="4" w:space="0"/>
              <w:right w:val="single" w:color="auto" w:sz="4" w:space="0"/>
            </w:tcBorders>
            <w:noWrap/>
            <w:vAlign w:val="center"/>
          </w:tcPr>
          <w:p w14:paraId="76B53D05">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21F2D35E">
            <w:pPr>
              <w:jc w:val="center"/>
              <w:rPr>
                <w:rFonts w:hint="eastAsia" w:ascii="宋体" w:hAnsi="宋体" w:eastAsia="宋体" w:cs="宋体"/>
                <w:sz w:val="18"/>
                <w:szCs w:val="18"/>
              </w:rPr>
            </w:pPr>
            <w:r>
              <w:rPr>
                <w:rFonts w:hint="eastAsia" w:ascii="宋体" w:hAnsi="宋体" w:eastAsia="宋体" w:cs="宋体"/>
                <w:sz w:val="18"/>
                <w:szCs w:val="18"/>
              </w:rPr>
              <w:t>30</w:t>
            </w:r>
          </w:p>
        </w:tc>
        <w:tc>
          <w:tcPr>
            <w:tcW w:w="284" w:type="dxa"/>
            <w:tcBorders>
              <w:top w:val="nil"/>
              <w:left w:val="nil"/>
              <w:bottom w:val="nil"/>
              <w:right w:val="nil"/>
            </w:tcBorders>
            <w:noWrap/>
            <w:vAlign w:val="center"/>
          </w:tcPr>
          <w:p w14:paraId="7BA37C03">
            <w:pPr>
              <w:jc w:val="center"/>
              <w:rPr>
                <w:rFonts w:hint="eastAsia" w:ascii="宋体" w:hAnsi="宋体" w:eastAsia="宋体" w:cs="宋体"/>
                <w:sz w:val="18"/>
                <w:szCs w:val="18"/>
              </w:rPr>
            </w:pPr>
          </w:p>
        </w:tc>
      </w:tr>
      <w:tr w14:paraId="2790C03E">
        <w:tblPrEx>
          <w:tblCellMar>
            <w:top w:w="0" w:type="dxa"/>
            <w:left w:w="108" w:type="dxa"/>
            <w:bottom w:w="0" w:type="dxa"/>
            <w:right w:w="108" w:type="dxa"/>
          </w:tblCellMar>
        </w:tblPrEx>
        <w:trPr>
          <w:trHeight w:val="740" w:hRule="atLeast"/>
        </w:trPr>
        <w:tc>
          <w:tcPr>
            <w:tcW w:w="993" w:type="dxa"/>
            <w:vMerge w:val="continue"/>
            <w:tcBorders>
              <w:left w:val="single" w:color="auto" w:sz="4" w:space="0"/>
              <w:right w:val="single" w:color="auto" w:sz="4" w:space="0"/>
            </w:tcBorders>
            <w:noWrap/>
            <w:vAlign w:val="center"/>
          </w:tcPr>
          <w:p w14:paraId="347CFA08">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3990CD4A">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03205532">
            <w:pPr>
              <w:jc w:val="center"/>
              <w:rPr>
                <w:rFonts w:hint="eastAsia" w:ascii="宋体" w:hAnsi="宋体" w:eastAsia="宋体" w:cs="宋体"/>
                <w:sz w:val="18"/>
                <w:szCs w:val="18"/>
              </w:rPr>
            </w:pPr>
            <w:r>
              <w:rPr>
                <w:rFonts w:hint="eastAsia" w:ascii="宋体" w:hAnsi="宋体" w:eastAsia="宋体" w:cs="宋体"/>
                <w:sz w:val="18"/>
                <w:szCs w:val="18"/>
              </w:rPr>
              <w:t>村干部培训</w:t>
            </w:r>
          </w:p>
        </w:tc>
        <w:tc>
          <w:tcPr>
            <w:tcW w:w="1276" w:type="dxa"/>
            <w:tcBorders>
              <w:top w:val="nil"/>
              <w:left w:val="nil"/>
              <w:bottom w:val="single" w:color="auto" w:sz="4" w:space="0"/>
              <w:right w:val="single" w:color="auto" w:sz="4" w:space="0"/>
            </w:tcBorders>
            <w:noWrap/>
            <w:vAlign w:val="center"/>
          </w:tcPr>
          <w:p w14:paraId="0A711351">
            <w:pPr>
              <w:jc w:val="center"/>
              <w:rPr>
                <w:rFonts w:hint="eastAsia" w:ascii="宋体" w:hAnsi="宋体" w:eastAsia="宋体" w:cs="宋体"/>
                <w:sz w:val="18"/>
                <w:szCs w:val="18"/>
              </w:rPr>
            </w:pPr>
            <w:r>
              <w:rPr>
                <w:rFonts w:hint="eastAsia" w:ascii="宋体" w:hAnsi="宋体" w:eastAsia="宋体" w:cs="宋体"/>
                <w:sz w:val="18"/>
                <w:szCs w:val="18"/>
              </w:rPr>
              <w:t>&gt;=10天</w:t>
            </w:r>
          </w:p>
        </w:tc>
        <w:tc>
          <w:tcPr>
            <w:tcW w:w="1701" w:type="dxa"/>
            <w:tcBorders>
              <w:top w:val="nil"/>
              <w:left w:val="nil"/>
              <w:bottom w:val="single" w:color="auto" w:sz="4" w:space="0"/>
              <w:right w:val="single" w:color="auto" w:sz="4" w:space="0"/>
            </w:tcBorders>
            <w:noWrap/>
            <w:vAlign w:val="center"/>
          </w:tcPr>
          <w:p w14:paraId="2EFECE17">
            <w:pPr>
              <w:rPr>
                <w:rFonts w:hint="eastAsia" w:ascii="宋体" w:hAnsi="宋体" w:eastAsia="宋体" w:cs="宋体"/>
                <w:sz w:val="18"/>
                <w:szCs w:val="18"/>
              </w:rPr>
            </w:pPr>
            <w:r>
              <w:rPr>
                <w:rFonts w:hint="eastAsia" w:ascii="宋体" w:hAnsi="宋体" w:eastAsia="宋体" w:cs="宋体"/>
                <w:sz w:val="18"/>
                <w:szCs w:val="18"/>
              </w:rPr>
              <w:t>2024年工作计划</w:t>
            </w:r>
          </w:p>
        </w:tc>
        <w:tc>
          <w:tcPr>
            <w:tcW w:w="1134" w:type="dxa"/>
            <w:tcBorders>
              <w:top w:val="nil"/>
              <w:left w:val="nil"/>
              <w:bottom w:val="single" w:color="auto" w:sz="4" w:space="0"/>
              <w:right w:val="single" w:color="auto" w:sz="4" w:space="0"/>
            </w:tcBorders>
            <w:noWrap/>
            <w:vAlign w:val="center"/>
          </w:tcPr>
          <w:p w14:paraId="003513A7">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noWrap/>
            <w:vAlign w:val="center"/>
          </w:tcPr>
          <w:p w14:paraId="0F3FA6F4">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17F4A018">
            <w:pPr>
              <w:jc w:val="center"/>
              <w:rPr>
                <w:rFonts w:hint="eastAsia" w:ascii="宋体" w:hAnsi="宋体" w:eastAsia="宋体" w:cs="宋体"/>
                <w:sz w:val="18"/>
                <w:szCs w:val="18"/>
              </w:rPr>
            </w:pPr>
            <w:r>
              <w:rPr>
                <w:rFonts w:hint="eastAsia" w:ascii="宋体" w:hAnsi="宋体" w:eastAsia="宋体" w:cs="宋体"/>
                <w:sz w:val="18"/>
                <w:szCs w:val="18"/>
              </w:rPr>
              <w:t>30</w:t>
            </w:r>
          </w:p>
        </w:tc>
        <w:tc>
          <w:tcPr>
            <w:tcW w:w="284" w:type="dxa"/>
            <w:tcBorders>
              <w:top w:val="nil"/>
              <w:left w:val="nil"/>
              <w:bottom w:val="nil"/>
              <w:right w:val="nil"/>
            </w:tcBorders>
            <w:noWrap/>
            <w:vAlign w:val="center"/>
          </w:tcPr>
          <w:p w14:paraId="1EAE80D2">
            <w:pPr>
              <w:jc w:val="center"/>
              <w:rPr>
                <w:rFonts w:hint="eastAsia" w:ascii="宋体" w:hAnsi="宋体" w:eastAsia="宋体" w:cs="宋体"/>
                <w:sz w:val="18"/>
                <w:szCs w:val="18"/>
              </w:rPr>
            </w:pPr>
          </w:p>
        </w:tc>
      </w:tr>
      <w:tr w14:paraId="02A4E572">
        <w:tblPrEx>
          <w:tblCellMar>
            <w:top w:w="0" w:type="dxa"/>
            <w:left w:w="108" w:type="dxa"/>
            <w:bottom w:w="0" w:type="dxa"/>
            <w:right w:w="108" w:type="dxa"/>
          </w:tblCellMar>
        </w:tblPrEx>
        <w:trPr>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772BC484">
            <w:pPr>
              <w:jc w:val="center"/>
              <w:rPr>
                <w:rFonts w:hint="eastAsia" w:ascii="宋体" w:hAnsi="宋体" w:eastAsia="宋体" w:cs="宋体"/>
                <w:sz w:val="18"/>
                <w:szCs w:val="18"/>
              </w:rPr>
            </w:pPr>
          </w:p>
        </w:tc>
        <w:tc>
          <w:tcPr>
            <w:tcW w:w="1417" w:type="dxa"/>
            <w:tcBorders>
              <w:top w:val="single" w:color="auto" w:sz="4" w:space="0"/>
              <w:left w:val="nil"/>
              <w:bottom w:val="single" w:color="auto" w:sz="4" w:space="0"/>
              <w:right w:val="single" w:color="auto" w:sz="4" w:space="0"/>
            </w:tcBorders>
            <w:noWrap/>
            <w:vAlign w:val="center"/>
          </w:tcPr>
          <w:p w14:paraId="651EEC6B">
            <w:pPr>
              <w:jc w:val="center"/>
              <w:rPr>
                <w:rFonts w:hint="eastAsia" w:ascii="宋体" w:hAnsi="宋体" w:eastAsia="宋体" w:cs="宋体"/>
                <w:sz w:val="18"/>
                <w:szCs w:val="18"/>
              </w:rPr>
            </w:pPr>
            <w:r>
              <w:rPr>
                <w:rFonts w:hint="eastAsia" w:ascii="宋体" w:hAnsi="宋体" w:eastAsia="宋体" w:cs="宋体"/>
                <w:sz w:val="18"/>
                <w:szCs w:val="18"/>
              </w:rPr>
              <w:t>质量指标</w:t>
            </w:r>
          </w:p>
        </w:tc>
        <w:tc>
          <w:tcPr>
            <w:tcW w:w="1418" w:type="dxa"/>
            <w:tcBorders>
              <w:top w:val="single" w:color="auto" w:sz="4" w:space="0"/>
              <w:left w:val="nil"/>
              <w:bottom w:val="single" w:color="auto" w:sz="4" w:space="0"/>
              <w:right w:val="single" w:color="auto" w:sz="4" w:space="0"/>
            </w:tcBorders>
            <w:noWrap/>
            <w:vAlign w:val="center"/>
          </w:tcPr>
          <w:p w14:paraId="6E60B76F">
            <w:pPr>
              <w:jc w:val="center"/>
              <w:rPr>
                <w:rFonts w:hint="eastAsia" w:ascii="宋体" w:hAnsi="宋体" w:eastAsia="宋体" w:cs="宋体"/>
                <w:sz w:val="18"/>
                <w:szCs w:val="18"/>
              </w:rPr>
            </w:pPr>
            <w:r>
              <w:rPr>
                <w:rFonts w:hint="eastAsia" w:ascii="宋体" w:hAnsi="宋体" w:eastAsia="宋体" w:cs="宋体"/>
                <w:sz w:val="18"/>
                <w:szCs w:val="18"/>
              </w:rPr>
              <w:t>村主要干部集中轮训</w:t>
            </w:r>
          </w:p>
        </w:tc>
        <w:tc>
          <w:tcPr>
            <w:tcW w:w="1276" w:type="dxa"/>
            <w:tcBorders>
              <w:top w:val="single" w:color="auto" w:sz="4" w:space="0"/>
              <w:left w:val="nil"/>
              <w:bottom w:val="single" w:color="auto" w:sz="4" w:space="0"/>
              <w:right w:val="single" w:color="auto" w:sz="4" w:space="0"/>
            </w:tcBorders>
            <w:noWrap/>
            <w:vAlign w:val="center"/>
          </w:tcPr>
          <w:p w14:paraId="0F6A131D">
            <w:pPr>
              <w:jc w:val="center"/>
              <w:rPr>
                <w:rFonts w:hint="eastAsia" w:ascii="宋体" w:hAnsi="宋体" w:eastAsia="宋体" w:cs="宋体"/>
                <w:sz w:val="18"/>
                <w:szCs w:val="18"/>
              </w:rPr>
            </w:pPr>
            <w:r>
              <w:rPr>
                <w:rFonts w:hint="eastAsia" w:ascii="宋体" w:hAnsi="宋体" w:eastAsia="宋体" w:cs="宋体"/>
                <w:sz w:val="18"/>
                <w:szCs w:val="18"/>
              </w:rPr>
              <w:t>&gt;=1次</w:t>
            </w:r>
          </w:p>
        </w:tc>
        <w:tc>
          <w:tcPr>
            <w:tcW w:w="1701" w:type="dxa"/>
            <w:tcBorders>
              <w:top w:val="single" w:color="auto" w:sz="4" w:space="0"/>
              <w:left w:val="nil"/>
              <w:bottom w:val="single" w:color="auto" w:sz="4" w:space="0"/>
              <w:right w:val="single" w:color="auto" w:sz="4" w:space="0"/>
            </w:tcBorders>
            <w:noWrap/>
            <w:vAlign w:val="center"/>
          </w:tcPr>
          <w:p w14:paraId="736C07B0">
            <w:pPr>
              <w:rPr>
                <w:rFonts w:hint="eastAsia" w:ascii="宋体" w:hAnsi="宋体" w:eastAsia="宋体" w:cs="宋体"/>
                <w:sz w:val="18"/>
                <w:szCs w:val="18"/>
              </w:rPr>
            </w:pPr>
            <w:r>
              <w:rPr>
                <w:rFonts w:hint="eastAsia" w:ascii="宋体" w:hAnsi="宋体" w:eastAsia="宋体" w:cs="宋体"/>
                <w:sz w:val="18"/>
                <w:szCs w:val="18"/>
              </w:rPr>
              <w:t>2024年工作计划</w:t>
            </w:r>
          </w:p>
        </w:tc>
        <w:tc>
          <w:tcPr>
            <w:tcW w:w="1134" w:type="dxa"/>
            <w:tcBorders>
              <w:top w:val="single" w:color="auto" w:sz="4" w:space="0"/>
              <w:left w:val="nil"/>
              <w:bottom w:val="single" w:color="auto" w:sz="4" w:space="0"/>
              <w:right w:val="single" w:color="auto" w:sz="4" w:space="0"/>
            </w:tcBorders>
            <w:noWrap/>
            <w:vAlign w:val="center"/>
          </w:tcPr>
          <w:p w14:paraId="126FE812">
            <w:pPr>
              <w:jc w:val="center"/>
              <w:rPr>
                <w:rFonts w:hint="eastAsia" w:ascii="宋体" w:hAnsi="宋体" w:eastAsia="宋体" w:cs="宋体"/>
                <w:sz w:val="18"/>
                <w:szCs w:val="18"/>
              </w:rPr>
            </w:pPr>
            <w:r>
              <w:rPr>
                <w:rFonts w:hint="eastAsia" w:ascii="宋体" w:hAnsi="宋体" w:eastAsia="宋体" w:cs="宋体"/>
                <w:sz w:val="18"/>
                <w:szCs w:val="18"/>
              </w:rPr>
              <w:t>1</w:t>
            </w:r>
          </w:p>
        </w:tc>
        <w:tc>
          <w:tcPr>
            <w:tcW w:w="992" w:type="dxa"/>
            <w:tcBorders>
              <w:top w:val="single" w:color="auto" w:sz="4" w:space="0"/>
              <w:left w:val="nil"/>
              <w:bottom w:val="single" w:color="auto" w:sz="4" w:space="0"/>
              <w:right w:val="single" w:color="auto" w:sz="4" w:space="0"/>
            </w:tcBorders>
            <w:noWrap/>
            <w:vAlign w:val="center"/>
          </w:tcPr>
          <w:p w14:paraId="6A26BB33">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single" w:color="auto" w:sz="4" w:space="0"/>
              <w:left w:val="nil"/>
              <w:bottom w:val="single" w:color="auto" w:sz="4" w:space="0"/>
              <w:right w:val="single" w:color="auto" w:sz="4" w:space="0"/>
            </w:tcBorders>
            <w:noWrap/>
            <w:vAlign w:val="center"/>
          </w:tcPr>
          <w:p w14:paraId="6AE88A5C">
            <w:pPr>
              <w:jc w:val="center"/>
              <w:rPr>
                <w:rFonts w:hint="eastAsia" w:ascii="宋体" w:hAnsi="宋体" w:eastAsia="宋体" w:cs="宋体"/>
                <w:sz w:val="18"/>
                <w:szCs w:val="18"/>
              </w:rPr>
            </w:pPr>
            <w:r>
              <w:rPr>
                <w:rFonts w:hint="eastAsia" w:ascii="宋体" w:hAnsi="宋体" w:eastAsia="宋体" w:cs="宋体"/>
                <w:sz w:val="18"/>
                <w:szCs w:val="18"/>
              </w:rPr>
              <w:t>30</w:t>
            </w:r>
          </w:p>
        </w:tc>
        <w:tc>
          <w:tcPr>
            <w:tcW w:w="284" w:type="dxa"/>
            <w:tcBorders>
              <w:top w:val="nil"/>
              <w:left w:val="nil"/>
              <w:bottom w:val="nil"/>
              <w:right w:val="nil"/>
            </w:tcBorders>
            <w:noWrap/>
            <w:vAlign w:val="center"/>
          </w:tcPr>
          <w:p w14:paraId="7610EEC5">
            <w:pPr>
              <w:jc w:val="center"/>
              <w:rPr>
                <w:rFonts w:hint="eastAsia" w:ascii="宋体" w:hAnsi="宋体" w:eastAsia="宋体" w:cs="宋体"/>
                <w:sz w:val="18"/>
                <w:szCs w:val="18"/>
              </w:rPr>
            </w:pPr>
          </w:p>
        </w:tc>
      </w:tr>
      <w:tr w14:paraId="0E22DAD8">
        <w:tblPrEx>
          <w:tblCellMar>
            <w:top w:w="0" w:type="dxa"/>
            <w:left w:w="108" w:type="dxa"/>
            <w:bottom w:w="0" w:type="dxa"/>
            <w:right w:w="108" w:type="dxa"/>
          </w:tblCellMar>
        </w:tblPrEx>
        <w:trPr>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0B02ECDB">
            <w:pPr>
              <w:jc w:val="center"/>
              <w:rPr>
                <w:rFonts w:hint="eastAsia" w:ascii="宋体" w:hAnsi="宋体" w:eastAsia="宋体" w:cs="宋体"/>
                <w:sz w:val="18"/>
                <w:szCs w:val="18"/>
              </w:rPr>
            </w:pPr>
            <w:r>
              <w:rPr>
                <w:rFonts w:hint="eastAsia" w:ascii="宋体" w:hAnsi="宋体" w:eastAsia="宋体" w:cs="宋体"/>
                <w:sz w:val="18"/>
                <w:szCs w:val="18"/>
              </w:rPr>
              <w:t>总分</w:t>
            </w:r>
          </w:p>
        </w:tc>
        <w:tc>
          <w:tcPr>
            <w:tcW w:w="992" w:type="dxa"/>
            <w:tcBorders>
              <w:top w:val="single" w:color="auto" w:sz="4" w:space="0"/>
              <w:left w:val="nil"/>
              <w:bottom w:val="single" w:color="auto" w:sz="4" w:space="0"/>
              <w:right w:val="single" w:color="auto" w:sz="4" w:space="0"/>
            </w:tcBorders>
            <w:noWrap/>
            <w:vAlign w:val="center"/>
          </w:tcPr>
          <w:p w14:paraId="0A454802">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single" w:color="auto" w:sz="4" w:space="0"/>
              <w:left w:val="nil"/>
              <w:bottom w:val="single" w:color="auto" w:sz="4" w:space="0"/>
              <w:right w:val="single" w:color="auto" w:sz="4" w:space="0"/>
            </w:tcBorders>
            <w:noWrap/>
            <w:vAlign w:val="center"/>
          </w:tcPr>
          <w:p w14:paraId="1EE832E9">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284" w:type="dxa"/>
            <w:tcBorders>
              <w:top w:val="nil"/>
              <w:left w:val="nil"/>
              <w:bottom w:val="nil"/>
              <w:right w:val="nil"/>
            </w:tcBorders>
            <w:noWrap/>
            <w:vAlign w:val="center"/>
          </w:tcPr>
          <w:p w14:paraId="4CF5D616">
            <w:pPr>
              <w:jc w:val="center"/>
              <w:rPr>
                <w:rFonts w:hint="eastAsia" w:ascii="宋体" w:hAnsi="宋体" w:eastAsia="宋体" w:cs="宋体"/>
                <w:sz w:val="18"/>
                <w:szCs w:val="18"/>
              </w:rPr>
            </w:pPr>
          </w:p>
        </w:tc>
      </w:tr>
      <w:bookmarkEnd w:id="13"/>
    </w:tbl>
    <w:p w14:paraId="66F3C019">
      <w:pPr>
        <w:spacing w:after="0" w:line="240" w:lineRule="auto"/>
        <w:ind w:firstLine="643" w:firstLineChars="200"/>
        <w:jc w:val="both"/>
        <w:rPr>
          <w:rFonts w:hint="eastAsia" w:ascii="仿宋_GB2312" w:eastAsia="仿宋_GB2312"/>
          <w:b/>
          <w:bCs/>
          <w:sz w:val="32"/>
          <w:szCs w:val="32"/>
          <w:lang w:eastAsia="zh-CN"/>
        </w:rPr>
      </w:pPr>
    </w:p>
    <w:p w14:paraId="19EF46C5">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十二、其他需说明的事项</w:t>
      </w:r>
    </w:p>
    <w:p w14:paraId="0B7AB34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本单位无其他需说明事项。</w:t>
      </w:r>
    </w:p>
    <w:p w14:paraId="7D3BAD96">
      <w:pPr>
        <w:spacing w:after="0" w:line="240" w:lineRule="auto"/>
        <w:ind w:firstLine="640" w:firstLineChars="200"/>
        <w:rPr>
          <w:rFonts w:hint="eastAsia" w:ascii="仿宋_GB2312" w:eastAsia="仿宋_GB2312"/>
          <w:sz w:val="32"/>
          <w:szCs w:val="32"/>
          <w:lang w:eastAsia="zh-CN"/>
        </w:rPr>
      </w:pPr>
    </w:p>
    <w:p w14:paraId="757F3FB0">
      <w:pPr>
        <w:rPr>
          <w:rFonts w:hint="eastAsia"/>
          <w:lang w:eastAsia="zh-CN"/>
        </w:rPr>
      </w:pPr>
      <w:r>
        <w:rPr>
          <w:sz w:val="0"/>
          <w:szCs w:val="0"/>
          <w:lang w:eastAsia="zh-CN"/>
        </w:rPr>
        <w:br w:type="page"/>
      </w:r>
    </w:p>
    <w:p w14:paraId="2DBB27DE">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14:paraId="7FF53CE5">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7E2E27CE">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4BBA0B89">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3B5970CB">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7148F668">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1721EBBF">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0B5DAA86">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236389A2">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CA3D31C">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73E6A90B">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72EFFCF6">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7BC84DD8">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4E5F47A3">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84C0EE8">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58E4BA30">
      <w:pPr>
        <w:rPr>
          <w:rFonts w:hint="eastAsia"/>
          <w:lang w:eastAsia="zh-CN"/>
        </w:rPr>
      </w:pPr>
      <w:r>
        <w:rPr>
          <w:sz w:val="0"/>
          <w:szCs w:val="0"/>
          <w:lang w:eastAsia="zh-CN"/>
        </w:rPr>
        <w:br w:type="page"/>
      </w:r>
    </w:p>
    <w:p w14:paraId="59C7B075">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14:paraId="5CC95D5B">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340F58A1">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二、《收入决算表》</w:t>
      </w:r>
    </w:p>
    <w:p w14:paraId="4BC7F9E5">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三、《支出决算表》</w:t>
      </w:r>
    </w:p>
    <w:p w14:paraId="51CAA520">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662D9BC8">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7EBE3BB7">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6305E98B">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74DD6251">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6C11C20C">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73414E"/>
    <w:rsid w:val="0000347E"/>
    <w:rsid w:val="001303CE"/>
    <w:rsid w:val="002379A1"/>
    <w:rsid w:val="003E51FE"/>
    <w:rsid w:val="0073414E"/>
    <w:rsid w:val="0075136A"/>
    <w:rsid w:val="007C5AD9"/>
    <w:rsid w:val="007E0B11"/>
    <w:rsid w:val="00962952"/>
    <w:rsid w:val="009F0E69"/>
    <w:rsid w:val="00B76289"/>
    <w:rsid w:val="00DD00F1"/>
    <w:rsid w:val="00F929A7"/>
    <w:rsid w:val="228F6A6E"/>
    <w:rsid w:val="5C384E7D"/>
    <w:rsid w:val="667433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footer"/>
    <w:basedOn w:val="1"/>
    <w:link w:val="24"/>
    <w:unhideWhenUsed/>
    <w:qFormat/>
    <w:uiPriority w:val="99"/>
    <w:pPr>
      <w:tabs>
        <w:tab w:val="center" w:pos="4153"/>
        <w:tab w:val="right" w:pos="8306"/>
      </w:tabs>
      <w:snapToGrid w:val="0"/>
      <w:spacing w:line="240" w:lineRule="auto"/>
    </w:pPr>
    <w:rPr>
      <w:sz w:val="18"/>
      <w:szCs w:val="18"/>
    </w:rPr>
  </w:style>
  <w:style w:type="paragraph" w:styleId="9">
    <w:name w:val="header"/>
    <w:basedOn w:val="1"/>
    <w:link w:val="17"/>
    <w:unhideWhenUsed/>
    <w:qFormat/>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1">
    <w:name w:val="Title"/>
    <w:basedOn w:val="1"/>
    <w:next w:val="1"/>
    <w:link w:val="23"/>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qFormat/>
    <w:uiPriority w:val="99"/>
    <w:rPr>
      <w:color w:val="0563C1" w:themeColor="hyperlink"/>
      <w:u w:val="single"/>
    </w:rPr>
  </w:style>
  <w:style w:type="character" w:customStyle="1" w:styleId="17">
    <w:name w:val="页眉 字符"/>
    <w:basedOn w:val="14"/>
    <w:link w:val="9"/>
    <w:qFormat/>
    <w:uiPriority w:val="99"/>
  </w:style>
  <w:style w:type="character" w:customStyle="1" w:styleId="18">
    <w:name w:val="标题 1 字符"/>
    <w:basedOn w:val="14"/>
    <w:link w:val="2"/>
    <w:uiPriority w:val="9"/>
    <w:rPr>
      <w:rFonts w:asciiTheme="majorHAnsi" w:hAnsiTheme="majorHAnsi" w:eastAsiaTheme="majorEastAsia" w:cstheme="majorBidi"/>
      <w:b/>
      <w:bCs/>
      <w:color w:val="2F5496" w:themeColor="accent1" w:themeShade="BF"/>
      <w:sz w:val="28"/>
      <w:szCs w:val="28"/>
    </w:rPr>
  </w:style>
  <w:style w:type="character" w:customStyle="1" w:styleId="19">
    <w:name w:val="标题 2 字符"/>
    <w:basedOn w:val="14"/>
    <w:link w:val="3"/>
    <w:qFormat/>
    <w:uiPriority w:val="9"/>
    <w:rPr>
      <w:rFonts w:asciiTheme="majorHAnsi" w:hAnsiTheme="majorHAnsi" w:eastAsiaTheme="majorEastAsia" w:cstheme="majorBidi"/>
      <w:b/>
      <w:bCs/>
      <w:color w:val="4472C4" w:themeColor="accent1"/>
      <w:sz w:val="26"/>
      <w:szCs w:val="26"/>
    </w:rPr>
  </w:style>
  <w:style w:type="character" w:customStyle="1" w:styleId="20">
    <w:name w:val="标题 3 字符"/>
    <w:basedOn w:val="14"/>
    <w:link w:val="4"/>
    <w:qFormat/>
    <w:uiPriority w:val="9"/>
    <w:rPr>
      <w:rFonts w:asciiTheme="majorHAnsi" w:hAnsiTheme="majorHAnsi" w:eastAsiaTheme="majorEastAsia" w:cstheme="majorBidi"/>
      <w:b/>
      <w:bCs/>
      <w:color w:val="4472C4" w:themeColor="accent1"/>
    </w:rPr>
  </w:style>
  <w:style w:type="character" w:customStyle="1" w:styleId="21">
    <w:name w:val="标题 4 字符"/>
    <w:basedOn w:val="14"/>
    <w:link w:val="5"/>
    <w:qFormat/>
    <w:uiPriority w:val="9"/>
    <w:rPr>
      <w:rFonts w:asciiTheme="majorHAnsi" w:hAnsiTheme="majorHAnsi" w:eastAsiaTheme="majorEastAsia" w:cstheme="majorBidi"/>
      <w:b/>
      <w:bCs/>
      <w:i/>
      <w:iCs/>
      <w:color w:val="4472C4" w:themeColor="accent1"/>
    </w:rPr>
  </w:style>
  <w:style w:type="character" w:customStyle="1" w:styleId="22">
    <w:name w:val="副标题 字符"/>
    <w:basedOn w:val="14"/>
    <w:link w:val="10"/>
    <w:uiPriority w:val="11"/>
    <w:rPr>
      <w:rFonts w:asciiTheme="majorHAnsi" w:hAnsiTheme="majorHAnsi" w:eastAsiaTheme="majorEastAsia" w:cstheme="majorBidi"/>
      <w:i/>
      <w:iCs/>
      <w:color w:val="4472C4" w:themeColor="accent1"/>
      <w:spacing w:val="15"/>
      <w:sz w:val="24"/>
      <w:szCs w:val="24"/>
    </w:rPr>
  </w:style>
  <w:style w:type="character" w:customStyle="1" w:styleId="23">
    <w:name w:val="标题 字符"/>
    <w:basedOn w:val="14"/>
    <w:link w:val="11"/>
    <w:qFormat/>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6206</Words>
  <Characters>6838</Characters>
  <Lines>748</Lines>
  <Paragraphs>705</Paragraphs>
  <TotalTime>20</TotalTime>
  <ScaleCrop>false</ScaleCrop>
  <LinksUpToDate>false</LinksUpToDate>
  <CharactersWithSpaces>6848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2025-10-08T07:57:00Z</dcterms:created>
  <dc:creator>华为</dc:creator>
  <cp:lastModifiedBy>局外人.</cp:lastModifiedBy>
  <dcterms:modified xsi:type="dcterms:W3CDTF">2025-10-14T08:15:54Z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eyJoZGlkIjoiYzI4NzYwZWZkM2I0OTdlMTA3M2NkMmFjZWIyMDVmNjUiLCJ1c2VySWQiOiIxMjM2MzIxMjUwIn0=</vt:lpwstr>
  </property>
  <property fmtid="{D5CDD505-2E9C-101B-9397-08002B2CF9AE}" pid="3" name="KSOProductBuildVer">
    <vt:lpwstr>2052-12.1.0.23125</vt:lpwstr>
  </property>
  <property fmtid="{D5CDD505-2E9C-101B-9397-08002B2CF9AE}" pid="4" name="ICV">
    <vt:lpwstr>C9A86CD25C304FD7808E6235138F4853_12</vt:lpwstr>
  </property>
</Properties>
</file>