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93002">
      <w:pPr>
        <w:spacing w:after="0" w:line="240" w:lineRule="auto"/>
        <w:rPr>
          <w:rFonts w:ascii="宋体" w:eastAsia="宋体"/>
          <w:sz w:val="32"/>
          <w:szCs w:val="32"/>
        </w:rPr>
      </w:pPr>
    </w:p>
    <w:p w14:paraId="0D536EEF">
      <w:pPr>
        <w:spacing w:after="0" w:line="240" w:lineRule="auto"/>
        <w:rPr>
          <w:rFonts w:ascii="宋体" w:eastAsia="宋体"/>
          <w:sz w:val="44"/>
          <w:szCs w:val="44"/>
        </w:rPr>
      </w:pPr>
    </w:p>
    <w:p w14:paraId="54D36EC3">
      <w:pPr>
        <w:spacing w:after="0" w:line="240" w:lineRule="auto"/>
        <w:rPr>
          <w:rFonts w:ascii="宋体" w:eastAsia="宋体"/>
          <w:sz w:val="44"/>
          <w:szCs w:val="44"/>
        </w:rPr>
      </w:pPr>
    </w:p>
    <w:p w14:paraId="4E4D018F">
      <w:pPr>
        <w:spacing w:after="0" w:line="240" w:lineRule="auto"/>
        <w:rPr>
          <w:rFonts w:ascii="宋体" w:eastAsia="宋体"/>
          <w:sz w:val="44"/>
          <w:szCs w:val="44"/>
        </w:rPr>
      </w:pPr>
    </w:p>
    <w:p w14:paraId="7B41B92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乌鲁木齐市第140中学</w:t>
      </w:r>
    </w:p>
    <w:p w14:paraId="236987E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28E93E3">
      <w:pPr>
        <w:rPr>
          <w:lang w:eastAsia="zh-CN"/>
        </w:rPr>
      </w:pPr>
      <w:r>
        <w:rPr>
          <w:sz w:val="0"/>
          <w:szCs w:val="0"/>
          <w:lang w:eastAsia="zh-CN"/>
        </w:rPr>
        <w:br w:type="page"/>
      </w:r>
    </w:p>
    <w:p w14:paraId="52CC3A7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FEAC5C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CB192F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36018B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8A148F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E7860B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B23A03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0C6B73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26EE91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3F198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82FB6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9F38E6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FAC275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A6F225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484E0F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8B7EFA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72884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E3E49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0C6316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E630CF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8F669C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044DAA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84E69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18F62A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4C9AB0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7B291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7DBA9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A6C682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BE59C6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AEFB3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E7F28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64FE97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2BBDAC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C4399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1E22C05">
      <w:pPr>
        <w:rPr>
          <w:lang w:eastAsia="zh-CN"/>
        </w:rPr>
      </w:pPr>
      <w:r>
        <w:rPr>
          <w:sz w:val="0"/>
          <w:szCs w:val="0"/>
          <w:lang w:eastAsia="zh-CN"/>
        </w:rPr>
        <w:br w:type="page"/>
      </w:r>
    </w:p>
    <w:p w14:paraId="3CBFB7D3">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1FBE4B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782B3E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.贯彻执行国家、自治区和乌鲁木齐市有关教育工作的方针、政策和法律、法规；编制乌鲁木齐第140中学长期规划和年度计划，并组织实施。</w:t>
      </w:r>
    </w:p>
    <w:p w14:paraId="4C3D445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.监督检查学校课程方案、课程标准的实施；组织、指导教育科学研究工作；指导学校教学装备的配备；配合有关部门做好学校语言文字工作。</w:t>
      </w:r>
    </w:p>
    <w:p w14:paraId="6573B5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.负责指导学校德育工作；负责指导学校体育、卫生、艺术教育工作以及思想政治、纪律法制、劳动技术、社会实践等专项教育。</w:t>
      </w:r>
    </w:p>
    <w:p w14:paraId="22F80EE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.指导、协调家庭经济困难学生的资助管理工作。</w:t>
      </w:r>
    </w:p>
    <w:p w14:paraId="215F6C1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.学校开展安全教育，监督检查学校安全、保卫、消防和校车安全管理工作的落实。</w:t>
      </w:r>
    </w:p>
    <w:p w14:paraId="64C251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.规范学校办学行为，指导学校依法治校和内部管理工作。</w:t>
      </w:r>
    </w:p>
    <w:p w14:paraId="0DAEF6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0C4260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乌鲁木齐市第140中学2024年度，实有人数85人，其中：在职人员50人，增加5人；离休人员0人，较上年无变化；退休人员35人，较上年无变化。</w:t>
      </w:r>
    </w:p>
    <w:p w14:paraId="697CAF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乌鲁木齐市第140中学无下属预算单位，下设6个科室，分别是：教务处</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安全办</w:t>
      </w:r>
      <w:r>
        <w:rPr>
          <w:rFonts w:hint="eastAsia" w:ascii="仿宋_GB2312" w:eastAsia="仿宋_GB2312"/>
          <w:sz w:val="32"/>
          <w:szCs w:val="32"/>
          <w:lang w:eastAsia="zh-CN"/>
        </w:rPr>
        <w:t>、</w:t>
      </w:r>
      <w:r>
        <w:rPr>
          <w:rFonts w:ascii="仿宋_GB2312" w:eastAsia="仿宋_GB2312"/>
          <w:sz w:val="32"/>
          <w:szCs w:val="32"/>
          <w:lang w:eastAsia="zh-CN"/>
        </w:rPr>
        <w:t>团队室。</w:t>
      </w:r>
    </w:p>
    <w:p w14:paraId="6F67454E">
      <w:pPr>
        <w:rPr>
          <w:lang w:eastAsia="zh-CN"/>
        </w:rPr>
      </w:pPr>
      <w:r>
        <w:rPr>
          <w:sz w:val="0"/>
          <w:szCs w:val="0"/>
          <w:lang w:eastAsia="zh-CN"/>
        </w:rPr>
        <w:br w:type="page"/>
      </w:r>
    </w:p>
    <w:p w14:paraId="67DAAB0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AE143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EEE2C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2024年度收入总计1,100.26万元，其中：本年收入合计1,026.22万元，使用非财政拨款结余（含专用结余）0.00万元，年初结转和结余74.04万元。</w:t>
      </w:r>
    </w:p>
    <w:p w14:paraId="523D40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2024年度支出总计1,100.26万元，其中：本年支出合计1,044.49万元，结余分配0.00万元，年末结转和结余55.77万元。</w:t>
      </w:r>
    </w:p>
    <w:p w14:paraId="12DAC3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收入支出总体与上年相比，增加47.46万元，增长4.51%，主要原因是：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w:t>
      </w:r>
      <w:r>
        <w:rPr>
          <w:rFonts w:hint="eastAsia" w:ascii="仿宋_GB2312" w:eastAsia="仿宋_GB2312"/>
          <w:sz w:val="32"/>
          <w:szCs w:val="32"/>
          <w:lang w:eastAsia="zh-CN"/>
        </w:rPr>
        <w:t>贫困生生活补助经费增加、自治区自聘教师补助经费增加。</w:t>
      </w:r>
    </w:p>
    <w:p w14:paraId="6D98E9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E3723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本年收入1,026.22万元，其中：财政拨款收入985.86万元,占96.07%；上级补助收入0.00万元,占0.00%；事业收入0.00万元，占0.00%；经营收入0.00万元,占0.00%；附属单位上缴收入0.00万元，占0.00%；其他收入40.36万元，占3.93%。</w:t>
      </w:r>
    </w:p>
    <w:p w14:paraId="4451BF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F1D0D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本年支出1,044.49万元，其中：基本支出875.14万元，占83.79%；项目支出169.35万元，占16.21%；上缴上级支出0.00万元，占0.00%；经营支出0.00万元，占0.00%；对附属单位补助支出0.00万元，占0.00%。</w:t>
      </w:r>
    </w:p>
    <w:p w14:paraId="689CE00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54AC9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1,059.87万元，其中：年初财政拨款结转和结余74.02万元，本年财政拨款收入985.86万元。财政拨款支出总计1,059.87万元，其中：年末财政拨款结转和结余55.70万元，本年财政拨款支出1,004.17万元。</w:t>
      </w:r>
    </w:p>
    <w:p w14:paraId="012026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财政拨款收入支出总体与上年相比，增加41.11万元，增长4.04%，主要原因是：</w:t>
      </w:r>
      <w:r>
        <w:rPr>
          <w:rFonts w:hint="eastAsia" w:ascii="仿宋_GB2312" w:eastAsia="仿宋_GB2312"/>
          <w:sz w:val="32"/>
          <w:szCs w:val="32"/>
          <w:lang w:eastAsia="zh-CN"/>
        </w:rPr>
        <w:t>单位本年贫困生生活补助经费增加、自治区自聘教师补助经费增加</w:t>
      </w:r>
      <w:r>
        <w:rPr>
          <w:rFonts w:ascii="仿宋_GB2312" w:eastAsia="仿宋_GB2312"/>
          <w:sz w:val="32"/>
          <w:szCs w:val="32"/>
          <w:lang w:eastAsia="zh-CN"/>
        </w:rPr>
        <w:t>。与年初预算相比，年初预算数1,135.06万元，决算数1,059.87万元，预决算差异率-6.62%，主要原因是：</w:t>
      </w:r>
      <w:r>
        <w:rPr>
          <w:rFonts w:hint="eastAsia" w:ascii="仿宋_GB2312" w:eastAsia="仿宋_GB2312"/>
          <w:sz w:val="32"/>
          <w:szCs w:val="32"/>
          <w:lang w:val="en-US" w:eastAsia="zh-CN"/>
        </w:rPr>
        <w:t>较预算减少城乡义务教育经费保障机制公用经费补助资金</w:t>
      </w:r>
      <w:r>
        <w:rPr>
          <w:rFonts w:ascii="仿宋_GB2312" w:eastAsia="仿宋_GB2312"/>
          <w:sz w:val="32"/>
          <w:szCs w:val="32"/>
          <w:lang w:eastAsia="zh-CN"/>
        </w:rPr>
        <w:t>。</w:t>
      </w:r>
    </w:p>
    <w:p w14:paraId="497FA21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079E98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FFFD2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2024年度一般公共预算财政拨款支出1,004.17万元，占本年支出合计的96.14%。与上年相比，增加138.85万元，增长16.05%，主要原因是：</w:t>
      </w:r>
      <w:r>
        <w:rPr>
          <w:rFonts w:hint="eastAsia" w:ascii="仿宋_GB2312" w:eastAsia="仿宋_GB2312"/>
          <w:sz w:val="32"/>
          <w:szCs w:val="32"/>
          <w:lang w:eastAsia="zh-CN"/>
        </w:rPr>
        <w:t>单位本年贫困生生活补助经费增加、自治区自聘教师补助经费增加</w:t>
      </w:r>
      <w:r>
        <w:rPr>
          <w:rFonts w:ascii="仿宋_GB2312" w:eastAsia="仿宋_GB2312"/>
          <w:sz w:val="32"/>
          <w:szCs w:val="32"/>
          <w:lang w:eastAsia="zh-CN"/>
        </w:rPr>
        <w:t>。与年初预算相比，年初预算数1,135.06万元，决算数1,004.17万元，预决算差异率-11.53%，主要原因是：</w:t>
      </w:r>
      <w:r>
        <w:rPr>
          <w:rFonts w:hint="eastAsia" w:ascii="仿宋_GB2312" w:eastAsia="仿宋_GB2312"/>
          <w:sz w:val="32"/>
          <w:szCs w:val="32"/>
          <w:lang w:val="en-US" w:eastAsia="zh-CN"/>
        </w:rPr>
        <w:t>较预算减少城乡义务教育经费保障机制公用经费补助资金</w:t>
      </w:r>
      <w:r>
        <w:rPr>
          <w:rFonts w:ascii="仿宋_GB2312" w:eastAsia="仿宋_GB2312"/>
          <w:sz w:val="32"/>
          <w:szCs w:val="32"/>
          <w:lang w:eastAsia="zh-CN"/>
        </w:rPr>
        <w:t>。</w:t>
      </w:r>
    </w:p>
    <w:p w14:paraId="342A34E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23C8F9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.教育支出（类）1,004.17万元，占100.00%。</w:t>
      </w:r>
    </w:p>
    <w:p w14:paraId="785E19A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D0B0E8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1、教育支出（类）普通教育（款）小学教育（项）：支出决算数为784.36万元，比上年决算增加72.90万元，增长10.25%，主要原因是：单位本年</w:t>
      </w:r>
      <w:r>
        <w:rPr>
          <w:rFonts w:hint="eastAsia" w:ascii="仿宋_GB2312" w:eastAsia="仿宋_GB2312"/>
          <w:sz w:val="32"/>
          <w:szCs w:val="32"/>
          <w:lang w:eastAsia="zh-CN"/>
        </w:rPr>
        <w:t>自治区自聘教师补助经费增加；单位本年人员增加，相应人员工资、津贴补贴、奖金等经费增加。</w:t>
      </w:r>
    </w:p>
    <w:p w14:paraId="3C3962C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2、教育支出（类）普通教育（款）初中教育（项）：支出决算数为219.82万元，比上年决算增加65.97万元，增长42.88%，主要原因是：</w:t>
      </w:r>
      <w:r>
        <w:rPr>
          <w:rFonts w:hint="eastAsia" w:ascii="仿宋_GB2312" w:eastAsia="仿宋_GB2312"/>
          <w:sz w:val="32"/>
          <w:szCs w:val="32"/>
          <w:lang w:eastAsia="zh-CN"/>
        </w:rPr>
        <w:t>单位本年度贫困生生活补助经费增加；本年单位人员增加，相应人员工资、津贴补贴、奖金等经费增加。</w:t>
      </w:r>
    </w:p>
    <w:p w14:paraId="008F514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52EA4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875.14万元，其中：人员经费827.92万元，包括：基本工资、津贴补贴、奖金、绩效工资、机关事业单位基本养老保险缴费、职工基本医疗保险缴费、公务员医疗补助缴费、其他社会保障缴费和住房公积金。</w:t>
      </w:r>
    </w:p>
    <w:p w14:paraId="39735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公用经费47.23万元，包括：办公费、电费、取暖费、维修（护）费、劳务费、工会经费、公务用车运行维护费和其他商品和服务支出。</w:t>
      </w:r>
    </w:p>
    <w:p w14:paraId="1934E3F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D1AD4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95BB9B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EEFA4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A8C5C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5D7D9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2024年度财政拨款“三公”经费支出1.80万元，比上年增加0.15万元，增长9.09%，主要原因是：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；公务用车购置及运行维护费支出1.80万元，占100.00%，比上年增加0.15万元，增长9.09%，主要原因是：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4C01F4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97CB2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1FD790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公务用车购置及运行维护费1.80万元，其中：公务用车购置费0.00万元，公务用车运行维护费1.80万元。公务用车运行维护费开支内容包括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。公务用车购置数0辆，公务用车保有量1辆。国有资产占用情况中固定资产车辆2辆，与公务用车保有量差异原因是：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2BE138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w:t>
      </w:r>
      <w:r>
        <w:rPr>
          <w:rFonts w:ascii="仿宋_GB2312" w:eastAsia="仿宋_GB2312"/>
          <w:sz w:val="32"/>
          <w:szCs w:val="32"/>
          <w:lang w:eastAsia="zh-CN"/>
        </w:rPr>
        <w:t>。单位全年安排的国内公务接待0批次，0人次。</w:t>
      </w:r>
    </w:p>
    <w:p w14:paraId="7A4A58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与全年预算相比，财政拨款“三公”经费支出全年预算数1.80万元，决算数1.80万元，预决算差异率0.00%，主要原因是：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；公务用车运行维护费全年预算数1.80万元，决算数1.80万元，预决算差异率0.00%，主要原因是：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12FC03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FEDDD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3635A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2024年度乌鲁木齐市第140中学单位（事业单位）公用经费支出47.23万元，比上年减少17.40万元，下降26.92%，主要原因是：单位本年</w:t>
      </w:r>
      <w:r>
        <w:rPr>
          <w:rFonts w:hint="eastAsia" w:ascii="仿宋_GB2312" w:eastAsia="仿宋_GB2312"/>
          <w:sz w:val="32"/>
          <w:szCs w:val="32"/>
          <w:lang w:eastAsia="zh-CN"/>
        </w:rPr>
        <w:t>电费、取暖费、劳务费、工会经费减少</w:t>
      </w:r>
      <w:r>
        <w:rPr>
          <w:rFonts w:ascii="仿宋_GB2312" w:eastAsia="仿宋_GB2312"/>
          <w:sz w:val="32"/>
          <w:szCs w:val="32"/>
          <w:lang w:eastAsia="zh-CN"/>
        </w:rPr>
        <w:t>。</w:t>
      </w:r>
    </w:p>
    <w:p w14:paraId="6598222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86352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56720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054835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553F76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截至2024年12月31日，房屋15,002.99平方米，价值2,409.08万元。</w:t>
      </w:r>
      <w:r>
        <w:rPr>
          <w:rFonts w:ascii="仿宋_GB2312" w:eastAsia="仿宋_GB2312"/>
          <w:sz w:val="32"/>
          <w:szCs w:val="32"/>
          <w:lang w:eastAsia="zh-CN"/>
        </w:rPr>
        <w:t>车辆2辆，价值19.61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7EBF3F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9EBFF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1,100.26万元，实际执行总额1,044.49万元；预算绩效评价项目3个，全年预算数136.31万元，全年执行数127.96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w:t>
      </w:r>
      <w:r>
        <w:rPr>
          <w:rFonts w:hint="eastAsia" w:ascii="仿宋_GB2312" w:eastAsia="仿宋_GB2312"/>
          <w:sz w:val="32"/>
          <w:szCs w:val="32"/>
          <w:lang w:eastAsia="zh-CN"/>
        </w:rPr>
        <w:t>强对</w:t>
      </w:r>
      <w:r>
        <w:rPr>
          <w:rFonts w:ascii="仿宋_GB2312" w:eastAsia="仿宋_GB2312"/>
          <w:sz w:val="32"/>
          <w:szCs w:val="32"/>
          <w:lang w:eastAsia="zh-CN"/>
        </w:rPr>
        <w:t>项目开展进度的跟踪，开展项目绩效评价，确保项目绩效目标的完成，发挥资金的使用效益，压减年末结余资金规模，提高预算完成率。发现的问题及原因：一是基本支出经费保障水平偏低，预算执行基本围绕保障人员经费，保障正常运转进行，从决算情况看，基本支出比重较大；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要强化对预算执行过程的管理和监督</w:t>
      </w:r>
      <w:r>
        <w:rPr>
          <w:rFonts w:hint="eastAsia" w:ascii="仿宋_GB2312" w:eastAsia="仿宋_GB2312"/>
          <w:sz w:val="32"/>
          <w:szCs w:val="32"/>
          <w:lang w:eastAsia="zh-CN"/>
        </w:rPr>
        <w:t>，对</w:t>
      </w:r>
      <w:r>
        <w:rPr>
          <w:rFonts w:ascii="仿宋_GB2312" w:eastAsia="仿宋_GB2312"/>
          <w:sz w:val="32"/>
          <w:szCs w:val="32"/>
          <w:lang w:eastAsia="zh-CN"/>
        </w:rPr>
        <w:t>预算管理制度加以完善，借助岗位培训学习等途径，强化预算人员素质能力，以提高预算管理的质</w:t>
      </w:r>
      <w:r>
        <w:rPr>
          <w:rFonts w:hint="eastAsia" w:ascii="仿宋_GB2312" w:eastAsia="仿宋_GB2312"/>
          <w:sz w:val="32"/>
          <w:szCs w:val="32"/>
          <w:lang w:eastAsia="zh-CN"/>
        </w:rPr>
        <w:t>量和</w:t>
      </w:r>
      <w:r>
        <w:rPr>
          <w:rFonts w:ascii="仿宋_GB2312" w:eastAsia="仿宋_GB2312"/>
          <w:sz w:val="32"/>
          <w:szCs w:val="32"/>
          <w:lang w:eastAsia="zh-CN"/>
        </w:rPr>
        <w:t>水平；二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项目支出绩效自评表和部门评价报告。</w:t>
      </w:r>
    </w:p>
    <w:p w14:paraId="185DD53A">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DBAA62B">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C85A1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D9ED1F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DA1E6EC">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724E62A">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乌鲁木齐市第140中学</w:t>
            </w:r>
          </w:p>
        </w:tc>
      </w:tr>
      <w:tr w14:paraId="02DF998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E9E28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7A4EB5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E4C08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EBA815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400A3F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79F583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708A1E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13900C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DB9701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12861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CAF442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AD79B29">
            <w:pPr>
              <w:jc w:val="center"/>
              <w:rPr>
                <w:rFonts w:hint="eastAsia" w:ascii="宋体" w:hAnsi="宋体" w:eastAsia="宋体" w:cs="宋体"/>
                <w:sz w:val="18"/>
                <w:szCs w:val="18"/>
              </w:rPr>
            </w:pPr>
            <w:r>
              <w:rPr>
                <w:rFonts w:hint="eastAsia" w:ascii="宋体" w:hAnsi="宋体" w:eastAsia="宋体" w:cs="宋体"/>
                <w:sz w:val="18"/>
                <w:szCs w:val="18"/>
              </w:rPr>
              <w:t>1,135.06</w:t>
            </w:r>
          </w:p>
        </w:tc>
        <w:tc>
          <w:tcPr>
            <w:tcW w:w="1276" w:type="dxa"/>
            <w:tcBorders>
              <w:top w:val="nil"/>
              <w:left w:val="nil"/>
              <w:bottom w:val="single" w:color="auto" w:sz="4" w:space="0"/>
              <w:right w:val="single" w:color="auto" w:sz="4" w:space="0"/>
            </w:tcBorders>
            <w:vAlign w:val="center"/>
          </w:tcPr>
          <w:p w14:paraId="6C6856DF">
            <w:pPr>
              <w:jc w:val="center"/>
              <w:rPr>
                <w:rFonts w:hint="eastAsia" w:ascii="宋体" w:hAnsi="宋体" w:eastAsia="宋体" w:cs="宋体"/>
                <w:sz w:val="18"/>
                <w:szCs w:val="18"/>
              </w:rPr>
            </w:pPr>
            <w:r>
              <w:rPr>
                <w:rFonts w:hint="eastAsia" w:ascii="宋体" w:hAnsi="宋体" w:eastAsia="宋体" w:cs="宋体"/>
                <w:sz w:val="18"/>
                <w:szCs w:val="18"/>
              </w:rPr>
              <w:t>1,100.26</w:t>
            </w:r>
          </w:p>
        </w:tc>
        <w:tc>
          <w:tcPr>
            <w:tcW w:w="1701" w:type="dxa"/>
            <w:tcBorders>
              <w:top w:val="nil"/>
              <w:left w:val="nil"/>
              <w:bottom w:val="single" w:color="auto" w:sz="4" w:space="0"/>
              <w:right w:val="single" w:color="auto" w:sz="4" w:space="0"/>
            </w:tcBorders>
            <w:vAlign w:val="center"/>
          </w:tcPr>
          <w:p w14:paraId="79D9A743">
            <w:pPr>
              <w:jc w:val="center"/>
              <w:rPr>
                <w:rFonts w:hint="eastAsia" w:ascii="宋体" w:hAnsi="宋体" w:eastAsia="宋体" w:cs="宋体"/>
                <w:sz w:val="18"/>
                <w:szCs w:val="18"/>
              </w:rPr>
            </w:pPr>
            <w:r>
              <w:rPr>
                <w:rFonts w:hint="eastAsia" w:ascii="宋体" w:hAnsi="宋体" w:eastAsia="宋体" w:cs="宋体"/>
                <w:sz w:val="18"/>
                <w:szCs w:val="18"/>
              </w:rPr>
              <w:t>1,044.49</w:t>
            </w:r>
          </w:p>
        </w:tc>
        <w:tc>
          <w:tcPr>
            <w:tcW w:w="1134" w:type="dxa"/>
            <w:tcBorders>
              <w:top w:val="nil"/>
              <w:left w:val="nil"/>
              <w:bottom w:val="single" w:color="auto" w:sz="4" w:space="0"/>
              <w:right w:val="single" w:color="auto" w:sz="4" w:space="0"/>
            </w:tcBorders>
            <w:vAlign w:val="center"/>
          </w:tcPr>
          <w:p w14:paraId="2DF2B81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38D22D8">
            <w:pPr>
              <w:jc w:val="center"/>
              <w:rPr>
                <w:rFonts w:hint="eastAsia" w:ascii="宋体" w:hAnsi="宋体" w:eastAsia="宋体" w:cs="宋体"/>
                <w:sz w:val="18"/>
                <w:szCs w:val="18"/>
              </w:rPr>
            </w:pPr>
            <w:r>
              <w:rPr>
                <w:rFonts w:hint="eastAsia" w:ascii="宋体" w:hAnsi="宋体" w:eastAsia="宋体" w:cs="宋体"/>
                <w:sz w:val="18"/>
                <w:szCs w:val="18"/>
              </w:rPr>
              <w:t>94.93%</w:t>
            </w:r>
          </w:p>
        </w:tc>
        <w:tc>
          <w:tcPr>
            <w:tcW w:w="720" w:type="dxa"/>
            <w:tcBorders>
              <w:top w:val="nil"/>
              <w:left w:val="nil"/>
              <w:bottom w:val="single" w:color="auto" w:sz="4" w:space="0"/>
              <w:right w:val="single" w:color="auto" w:sz="4" w:space="0"/>
            </w:tcBorders>
            <w:vAlign w:val="center"/>
          </w:tcPr>
          <w:p w14:paraId="687EA629">
            <w:pPr>
              <w:jc w:val="center"/>
              <w:rPr>
                <w:rFonts w:hint="eastAsia" w:ascii="宋体" w:hAnsi="宋体" w:eastAsia="宋体" w:cs="宋体"/>
                <w:sz w:val="18"/>
                <w:szCs w:val="18"/>
              </w:rPr>
            </w:pPr>
            <w:r>
              <w:rPr>
                <w:rFonts w:hint="eastAsia" w:ascii="宋体" w:hAnsi="宋体" w:eastAsia="宋体" w:cs="宋体"/>
                <w:sz w:val="18"/>
                <w:szCs w:val="18"/>
              </w:rPr>
              <w:t>9.49</w:t>
            </w:r>
          </w:p>
        </w:tc>
      </w:tr>
      <w:tr w14:paraId="68B75B04">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0E5C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0FD4E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2667AFB">
            <w:pPr>
              <w:jc w:val="center"/>
              <w:rPr>
                <w:rFonts w:hint="eastAsia" w:ascii="宋体" w:hAnsi="宋体" w:eastAsia="宋体" w:cs="宋体"/>
                <w:sz w:val="18"/>
                <w:szCs w:val="18"/>
              </w:rPr>
            </w:pPr>
            <w:r>
              <w:rPr>
                <w:rFonts w:hint="eastAsia" w:ascii="宋体" w:hAnsi="宋体" w:eastAsia="宋体" w:cs="宋体"/>
                <w:sz w:val="18"/>
                <w:szCs w:val="18"/>
              </w:rPr>
              <w:t>88.20</w:t>
            </w:r>
          </w:p>
        </w:tc>
        <w:tc>
          <w:tcPr>
            <w:tcW w:w="1276" w:type="dxa"/>
            <w:tcBorders>
              <w:top w:val="nil"/>
              <w:left w:val="nil"/>
              <w:bottom w:val="single" w:color="auto" w:sz="4" w:space="0"/>
              <w:right w:val="single" w:color="auto" w:sz="4" w:space="0"/>
            </w:tcBorders>
            <w:vAlign w:val="center"/>
          </w:tcPr>
          <w:p w14:paraId="0088AE5A">
            <w:pPr>
              <w:jc w:val="center"/>
              <w:rPr>
                <w:rFonts w:hint="eastAsia" w:ascii="宋体" w:hAnsi="宋体" w:eastAsia="宋体" w:cs="宋体"/>
                <w:sz w:val="18"/>
                <w:szCs w:val="18"/>
              </w:rPr>
            </w:pPr>
            <w:r>
              <w:rPr>
                <w:rFonts w:hint="eastAsia" w:ascii="宋体" w:hAnsi="宋体" w:eastAsia="宋体" w:cs="宋体"/>
                <w:sz w:val="18"/>
                <w:szCs w:val="18"/>
              </w:rPr>
              <w:t>96.99</w:t>
            </w:r>
          </w:p>
        </w:tc>
        <w:tc>
          <w:tcPr>
            <w:tcW w:w="1701" w:type="dxa"/>
            <w:tcBorders>
              <w:top w:val="nil"/>
              <w:left w:val="nil"/>
              <w:bottom w:val="single" w:color="auto" w:sz="4" w:space="0"/>
              <w:right w:val="single" w:color="auto" w:sz="4" w:space="0"/>
            </w:tcBorders>
            <w:vAlign w:val="center"/>
          </w:tcPr>
          <w:p w14:paraId="16956AE5">
            <w:pPr>
              <w:jc w:val="center"/>
              <w:rPr>
                <w:rFonts w:hint="eastAsia" w:ascii="宋体" w:hAnsi="宋体" w:eastAsia="宋体" w:cs="宋体"/>
                <w:sz w:val="18"/>
                <w:szCs w:val="18"/>
              </w:rPr>
            </w:pPr>
            <w:r>
              <w:rPr>
                <w:rFonts w:hint="eastAsia" w:ascii="宋体" w:hAnsi="宋体" w:eastAsia="宋体" w:cs="宋体"/>
                <w:sz w:val="18"/>
                <w:szCs w:val="18"/>
              </w:rPr>
              <w:t>92.93</w:t>
            </w:r>
          </w:p>
        </w:tc>
        <w:tc>
          <w:tcPr>
            <w:tcW w:w="1134" w:type="dxa"/>
            <w:tcBorders>
              <w:top w:val="nil"/>
              <w:left w:val="nil"/>
              <w:bottom w:val="single" w:color="auto" w:sz="4" w:space="0"/>
              <w:right w:val="single" w:color="auto" w:sz="4" w:space="0"/>
            </w:tcBorders>
            <w:vAlign w:val="center"/>
          </w:tcPr>
          <w:p w14:paraId="7D328F8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7B85C0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AF936C">
            <w:pPr>
              <w:jc w:val="center"/>
              <w:rPr>
                <w:rFonts w:hint="eastAsia" w:ascii="宋体" w:hAnsi="宋体" w:eastAsia="宋体" w:cs="宋体"/>
                <w:sz w:val="18"/>
                <w:szCs w:val="18"/>
              </w:rPr>
            </w:pPr>
            <w:r>
              <w:rPr>
                <w:rFonts w:hint="eastAsia" w:ascii="宋体" w:hAnsi="宋体" w:eastAsia="宋体"/>
                <w:sz w:val="18"/>
                <w:szCs w:val="18"/>
              </w:rPr>
              <w:t>-</w:t>
            </w:r>
          </w:p>
        </w:tc>
      </w:tr>
      <w:tr w14:paraId="4707C7AD">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2B9EE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D7C5783">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6363AFE">
            <w:pPr>
              <w:jc w:val="center"/>
              <w:rPr>
                <w:rFonts w:hint="eastAsia" w:ascii="宋体" w:hAnsi="宋体" w:eastAsia="宋体" w:cs="宋体"/>
                <w:sz w:val="18"/>
                <w:szCs w:val="18"/>
              </w:rPr>
            </w:pPr>
            <w:r>
              <w:rPr>
                <w:rFonts w:hint="eastAsia" w:ascii="宋体" w:hAnsi="宋体" w:eastAsia="宋体" w:cs="宋体"/>
                <w:sz w:val="18"/>
                <w:szCs w:val="18"/>
              </w:rPr>
              <w:t>1,007.54</w:t>
            </w:r>
          </w:p>
        </w:tc>
        <w:tc>
          <w:tcPr>
            <w:tcW w:w="1276" w:type="dxa"/>
            <w:tcBorders>
              <w:top w:val="nil"/>
              <w:left w:val="nil"/>
              <w:bottom w:val="single" w:color="auto" w:sz="4" w:space="0"/>
              <w:right w:val="single" w:color="auto" w:sz="4" w:space="0"/>
            </w:tcBorders>
            <w:vAlign w:val="center"/>
          </w:tcPr>
          <w:p w14:paraId="79820C98">
            <w:pPr>
              <w:jc w:val="center"/>
              <w:rPr>
                <w:rFonts w:hint="eastAsia" w:ascii="宋体" w:hAnsi="宋体" w:eastAsia="宋体" w:cs="宋体"/>
                <w:sz w:val="18"/>
                <w:szCs w:val="18"/>
              </w:rPr>
            </w:pPr>
            <w:r>
              <w:rPr>
                <w:rFonts w:hint="eastAsia" w:ascii="宋体" w:hAnsi="宋体" w:eastAsia="宋体" w:cs="宋体"/>
                <w:sz w:val="18"/>
                <w:szCs w:val="18"/>
              </w:rPr>
              <w:t>963.95</w:t>
            </w:r>
          </w:p>
        </w:tc>
        <w:tc>
          <w:tcPr>
            <w:tcW w:w="1701" w:type="dxa"/>
            <w:tcBorders>
              <w:top w:val="nil"/>
              <w:left w:val="nil"/>
              <w:bottom w:val="single" w:color="auto" w:sz="4" w:space="0"/>
              <w:right w:val="single" w:color="auto" w:sz="4" w:space="0"/>
            </w:tcBorders>
            <w:vAlign w:val="center"/>
          </w:tcPr>
          <w:p w14:paraId="0D2A19C2">
            <w:pPr>
              <w:jc w:val="center"/>
              <w:rPr>
                <w:rFonts w:hint="eastAsia" w:ascii="宋体" w:hAnsi="宋体" w:eastAsia="宋体" w:cs="宋体"/>
                <w:sz w:val="18"/>
                <w:szCs w:val="18"/>
              </w:rPr>
            </w:pPr>
            <w:r>
              <w:rPr>
                <w:rFonts w:hint="eastAsia" w:ascii="宋体" w:hAnsi="宋体" w:eastAsia="宋体" w:cs="宋体"/>
                <w:sz w:val="18"/>
                <w:szCs w:val="18"/>
              </w:rPr>
              <w:t>912.24</w:t>
            </w:r>
          </w:p>
        </w:tc>
        <w:tc>
          <w:tcPr>
            <w:tcW w:w="1134" w:type="dxa"/>
            <w:tcBorders>
              <w:top w:val="nil"/>
              <w:left w:val="nil"/>
              <w:bottom w:val="single" w:color="auto" w:sz="4" w:space="0"/>
              <w:right w:val="single" w:color="auto" w:sz="4" w:space="0"/>
            </w:tcBorders>
            <w:vAlign w:val="center"/>
          </w:tcPr>
          <w:p w14:paraId="232AE8B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02F7C8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8C8B655">
            <w:pPr>
              <w:jc w:val="center"/>
              <w:rPr>
                <w:rFonts w:hint="eastAsia" w:ascii="宋体" w:hAnsi="宋体" w:eastAsia="宋体" w:cs="宋体"/>
                <w:sz w:val="18"/>
                <w:szCs w:val="18"/>
              </w:rPr>
            </w:pPr>
            <w:r>
              <w:rPr>
                <w:rFonts w:hint="eastAsia" w:ascii="宋体" w:hAnsi="宋体" w:eastAsia="宋体"/>
                <w:sz w:val="18"/>
                <w:szCs w:val="18"/>
              </w:rPr>
              <w:t>-</w:t>
            </w:r>
          </w:p>
        </w:tc>
      </w:tr>
      <w:tr w14:paraId="299C3701">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8407C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42BEFA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496C67F">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276" w:type="dxa"/>
            <w:tcBorders>
              <w:top w:val="nil"/>
              <w:left w:val="nil"/>
              <w:bottom w:val="single" w:color="auto" w:sz="4" w:space="0"/>
              <w:right w:val="single" w:color="auto" w:sz="4" w:space="0"/>
            </w:tcBorders>
            <w:vAlign w:val="center"/>
          </w:tcPr>
          <w:p w14:paraId="7749B945">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701" w:type="dxa"/>
            <w:tcBorders>
              <w:top w:val="nil"/>
              <w:left w:val="nil"/>
              <w:bottom w:val="single" w:color="auto" w:sz="4" w:space="0"/>
              <w:right w:val="single" w:color="auto" w:sz="4" w:space="0"/>
            </w:tcBorders>
            <w:vAlign w:val="center"/>
          </w:tcPr>
          <w:p w14:paraId="625582AD">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134" w:type="dxa"/>
            <w:tcBorders>
              <w:top w:val="nil"/>
              <w:left w:val="nil"/>
              <w:bottom w:val="single" w:color="auto" w:sz="4" w:space="0"/>
              <w:right w:val="single" w:color="auto" w:sz="4" w:space="0"/>
            </w:tcBorders>
            <w:vAlign w:val="center"/>
          </w:tcPr>
          <w:p w14:paraId="0583155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0D78DE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86C30E3">
            <w:pPr>
              <w:jc w:val="center"/>
              <w:rPr>
                <w:rFonts w:hint="eastAsia" w:ascii="宋体" w:hAnsi="宋体" w:eastAsia="宋体" w:cs="宋体"/>
                <w:sz w:val="18"/>
                <w:szCs w:val="18"/>
              </w:rPr>
            </w:pPr>
            <w:r>
              <w:rPr>
                <w:rFonts w:hint="eastAsia" w:ascii="宋体" w:hAnsi="宋体" w:eastAsia="宋体" w:cs="宋体"/>
                <w:sz w:val="18"/>
                <w:szCs w:val="18"/>
              </w:rPr>
              <w:t>-</w:t>
            </w:r>
          </w:p>
        </w:tc>
      </w:tr>
      <w:tr w14:paraId="2FCBFA9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F6E03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204FA1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3FC440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DACA85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5A735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C069DD5">
            <w:pPr>
              <w:rPr>
                <w:rFonts w:hint="eastAsia" w:ascii="宋体" w:hAnsi="宋体" w:eastAsia="宋体" w:cs="宋体"/>
                <w:sz w:val="18"/>
                <w:szCs w:val="18"/>
                <w:lang w:eastAsia="zh-CN"/>
              </w:rPr>
            </w:pPr>
            <w:r>
              <w:rPr>
                <w:rFonts w:hint="eastAsia" w:ascii="宋体" w:hAnsi="宋体" w:eastAsia="宋体" w:cs="宋体"/>
                <w:sz w:val="18"/>
                <w:szCs w:val="18"/>
                <w:lang w:eastAsia="zh-CN"/>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4547" w:type="dxa"/>
            <w:gridSpan w:val="4"/>
            <w:tcBorders>
              <w:top w:val="single" w:color="auto" w:sz="4" w:space="0"/>
              <w:left w:val="nil"/>
              <w:bottom w:val="single" w:color="auto" w:sz="4" w:space="0"/>
              <w:right w:val="single" w:color="auto" w:sz="4" w:space="0"/>
            </w:tcBorders>
          </w:tcPr>
          <w:p w14:paraId="74E198B7">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校全面彻党和国家的路线、方针、政策、法规，全面实施素质教育，认真执行上级党委和教育行政部门的指示，依法治校，努力提高学校的办学水平和办学效益。年度绩效目标完成情况如下：1、安全管理得到加强，安保要求得到严格落实，外来人员进入校园需进行登记，值班制度得到有效执行，保障了师生的绝对安全。2、“五项管理”、“双减”工作取得实效。积极响应国家号召，增强意识，明确目标，落实责任，强化教学常规管理。3、严格执行教学工作计划，加强教学过程管理，优化教学评价机制，教学质量稳步提高。4、教学模式得到优化。我校全力打造优质高效课堂，推进新课程改革，优化课堂教学结构。5、教学研究取得新进展，积极参加教育局、教研室举办的各种教研和培训活动，深入推进校本教研，积极开展高效课堂和课堂建模探究。6、重视学生根本道德养成，以德育处为龙头，整合社会资源，运用各种教育载体，加大了学校道德教育的落实力度。7、切实加强师生食堂管理，严防食物安全事故的发生。不断改善校园环境，加大绿化、美化、硬化力度，保障了学校水、电、暖的安全使用。8、严格执行财经纪律，加强内部管理，逐步实现了财务管理程序化、规范化、精细化和预算化。</w:t>
            </w:r>
          </w:p>
        </w:tc>
      </w:tr>
      <w:tr w14:paraId="10700C68">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3C378E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D0251E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D0D84F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AB263B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8A89D4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7A77EC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FB81A3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4D1D1F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E95BBD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5989CF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AC99501">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2661DD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02933F63">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5F3659F">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新疆维吾尔族自治区中小学教学常规管理基本要求</w:t>
            </w:r>
          </w:p>
        </w:tc>
        <w:tc>
          <w:tcPr>
            <w:tcW w:w="1134" w:type="dxa"/>
            <w:tcBorders>
              <w:top w:val="nil"/>
              <w:left w:val="nil"/>
              <w:bottom w:val="single" w:color="auto" w:sz="4" w:space="0"/>
              <w:right w:val="single" w:color="auto" w:sz="4" w:space="0"/>
            </w:tcBorders>
            <w:noWrap/>
            <w:vAlign w:val="center"/>
          </w:tcPr>
          <w:p w14:paraId="458E687E">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034B918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51B97A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090A538">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152D26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15D83D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B97412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74AA80C4">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C1AD0D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3BCBC39E">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131C5E9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2667B2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42426EC">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81F4BC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3ABFE6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84C2DF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每位老师每学年开展公开课的次数</w:t>
            </w:r>
          </w:p>
        </w:tc>
        <w:tc>
          <w:tcPr>
            <w:tcW w:w="1276" w:type="dxa"/>
            <w:tcBorders>
              <w:top w:val="single" w:color="auto" w:sz="4" w:space="0"/>
              <w:left w:val="nil"/>
              <w:bottom w:val="single" w:color="auto" w:sz="4" w:space="0"/>
              <w:right w:val="single" w:color="auto" w:sz="4" w:space="0"/>
            </w:tcBorders>
            <w:noWrap/>
            <w:vAlign w:val="center"/>
          </w:tcPr>
          <w:p w14:paraId="7D8BD6BC">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78B9D61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C58256D">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2CA0891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5B6E2B6">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C382FF">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9F61E8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1FDDF0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36131E1">
            <w:pPr>
              <w:jc w:val="center"/>
              <w:rPr>
                <w:rFonts w:hint="eastAsia" w:ascii="宋体" w:hAnsi="宋体" w:eastAsia="宋体" w:cs="宋体"/>
                <w:sz w:val="18"/>
                <w:szCs w:val="18"/>
              </w:rPr>
            </w:pPr>
            <w:r>
              <w:rPr>
                <w:rFonts w:hint="eastAsia" w:ascii="宋体" w:hAnsi="宋体" w:eastAsia="宋体" w:cs="宋体"/>
                <w:sz w:val="18"/>
                <w:szCs w:val="18"/>
              </w:rPr>
              <w:t>99.49</w:t>
            </w:r>
          </w:p>
        </w:tc>
      </w:tr>
    </w:tbl>
    <w:p w14:paraId="4185269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C2619F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6A38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CBDF7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BAEE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70E96A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A084F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BE8E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086614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E4D9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7214034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5A384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2B6E4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32EC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AA1AF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CA4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745A4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BC9D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FEB54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3183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CE1DB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570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01E6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91.29</w:t>
            </w:r>
          </w:p>
        </w:tc>
        <w:tc>
          <w:tcPr>
            <w:tcW w:w="1125" w:type="dxa"/>
            <w:tcBorders>
              <w:top w:val="nil"/>
              <w:left w:val="nil"/>
              <w:bottom w:val="single" w:color="auto" w:sz="4" w:space="0"/>
              <w:right w:val="single" w:color="auto" w:sz="4" w:space="0"/>
            </w:tcBorders>
            <w:noWrap/>
            <w:vAlign w:val="center"/>
          </w:tcPr>
          <w:p w14:paraId="79C58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94.02</w:t>
            </w:r>
          </w:p>
        </w:tc>
        <w:tc>
          <w:tcPr>
            <w:tcW w:w="1275" w:type="dxa"/>
            <w:gridSpan w:val="2"/>
            <w:tcBorders>
              <w:top w:val="single" w:color="auto" w:sz="4" w:space="0"/>
              <w:left w:val="nil"/>
              <w:bottom w:val="single" w:color="auto" w:sz="4" w:space="0"/>
              <w:right w:val="single" w:color="000000" w:sz="4" w:space="0"/>
            </w:tcBorders>
            <w:noWrap/>
            <w:vAlign w:val="center"/>
          </w:tcPr>
          <w:p w14:paraId="28F77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93.28</w:t>
            </w:r>
          </w:p>
        </w:tc>
        <w:tc>
          <w:tcPr>
            <w:tcW w:w="1134" w:type="dxa"/>
            <w:gridSpan w:val="2"/>
            <w:tcBorders>
              <w:top w:val="single" w:color="auto" w:sz="4" w:space="0"/>
              <w:left w:val="nil"/>
              <w:bottom w:val="single" w:color="auto" w:sz="4" w:space="0"/>
              <w:right w:val="single" w:color="auto" w:sz="4" w:space="0"/>
            </w:tcBorders>
            <w:vAlign w:val="center"/>
          </w:tcPr>
          <w:p w14:paraId="387A9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1E85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99.21%</w:t>
            </w:r>
          </w:p>
        </w:tc>
        <w:tc>
          <w:tcPr>
            <w:tcW w:w="1275" w:type="dxa"/>
            <w:tcBorders>
              <w:top w:val="nil"/>
              <w:left w:val="nil"/>
              <w:bottom w:val="single" w:color="auto" w:sz="4" w:space="0"/>
              <w:right w:val="single" w:color="auto" w:sz="4" w:space="0"/>
            </w:tcBorders>
            <w:vAlign w:val="center"/>
          </w:tcPr>
          <w:p w14:paraId="5961E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9.92分</w:t>
            </w:r>
          </w:p>
        </w:tc>
      </w:tr>
      <w:tr w14:paraId="5CB2A1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89B0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3F22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70FA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71.66</w:t>
            </w:r>
          </w:p>
        </w:tc>
        <w:tc>
          <w:tcPr>
            <w:tcW w:w="1125" w:type="dxa"/>
            <w:tcBorders>
              <w:top w:val="nil"/>
              <w:left w:val="nil"/>
              <w:bottom w:val="single" w:color="auto" w:sz="4" w:space="0"/>
              <w:right w:val="single" w:color="auto" w:sz="4" w:space="0"/>
            </w:tcBorders>
            <w:noWrap/>
            <w:vAlign w:val="center"/>
          </w:tcPr>
          <w:p w14:paraId="2E667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74.39</w:t>
            </w:r>
          </w:p>
        </w:tc>
        <w:tc>
          <w:tcPr>
            <w:tcW w:w="1275" w:type="dxa"/>
            <w:gridSpan w:val="2"/>
            <w:tcBorders>
              <w:top w:val="single" w:color="auto" w:sz="4" w:space="0"/>
              <w:left w:val="nil"/>
              <w:bottom w:val="single" w:color="auto" w:sz="4" w:space="0"/>
              <w:right w:val="single" w:color="000000" w:sz="4" w:space="0"/>
            </w:tcBorders>
            <w:noWrap/>
            <w:vAlign w:val="center"/>
          </w:tcPr>
          <w:p w14:paraId="2BDBB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73.65</w:t>
            </w:r>
          </w:p>
        </w:tc>
        <w:tc>
          <w:tcPr>
            <w:tcW w:w="1134" w:type="dxa"/>
            <w:gridSpan w:val="2"/>
            <w:tcBorders>
              <w:top w:val="single" w:color="auto" w:sz="4" w:space="0"/>
              <w:left w:val="nil"/>
              <w:bottom w:val="single" w:color="auto" w:sz="4" w:space="0"/>
              <w:right w:val="single" w:color="auto" w:sz="4" w:space="0"/>
            </w:tcBorders>
            <w:vAlign w:val="center"/>
          </w:tcPr>
          <w:p w14:paraId="2645F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1E1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2D3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1EC9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FB5CA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51DB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09BA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125" w:type="dxa"/>
            <w:tcBorders>
              <w:top w:val="nil"/>
              <w:left w:val="nil"/>
              <w:bottom w:val="single" w:color="auto" w:sz="4" w:space="0"/>
              <w:right w:val="single" w:color="auto" w:sz="4" w:space="0"/>
            </w:tcBorders>
            <w:noWrap/>
            <w:vAlign w:val="center"/>
          </w:tcPr>
          <w:p w14:paraId="4DF15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275" w:type="dxa"/>
            <w:gridSpan w:val="2"/>
            <w:tcBorders>
              <w:top w:val="single" w:color="auto" w:sz="4" w:space="0"/>
              <w:left w:val="nil"/>
              <w:bottom w:val="single" w:color="auto" w:sz="4" w:space="0"/>
              <w:right w:val="single" w:color="000000" w:sz="4" w:space="0"/>
            </w:tcBorders>
            <w:noWrap/>
            <w:vAlign w:val="center"/>
          </w:tcPr>
          <w:p w14:paraId="3DC7E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134" w:type="dxa"/>
            <w:gridSpan w:val="2"/>
            <w:tcBorders>
              <w:top w:val="single" w:color="auto" w:sz="4" w:space="0"/>
              <w:left w:val="nil"/>
              <w:bottom w:val="single" w:color="auto" w:sz="4" w:space="0"/>
              <w:right w:val="single" w:color="auto" w:sz="4" w:space="0"/>
            </w:tcBorders>
            <w:vAlign w:val="center"/>
          </w:tcPr>
          <w:p w14:paraId="37F74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534B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127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F1AA6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D2156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117C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0E7B4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EC51E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23576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BDC31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财政直达资金数为94.02万元。主要用于11175平方米校舍的供暖，学校绿化及新建学校班级校园文化建设、学校硬件设施的完善和修缮、学生体检费、学生的日常活动所需经费等。</w:t>
            </w:r>
          </w:p>
        </w:tc>
        <w:tc>
          <w:tcPr>
            <w:tcW w:w="4677" w:type="dxa"/>
            <w:gridSpan w:val="7"/>
            <w:tcBorders>
              <w:top w:val="single" w:color="auto" w:sz="4" w:space="0"/>
              <w:left w:val="nil"/>
              <w:bottom w:val="single" w:color="auto" w:sz="4" w:space="0"/>
              <w:right w:val="single" w:color="000000" w:sz="4" w:space="0"/>
            </w:tcBorders>
          </w:tcPr>
          <w:p w14:paraId="395A5E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在2024年实际完成情况为全部完成。该笔项目资金使我单位在2024年10月至次年3月供暖面积11175平方米全部正常供暖，供暖面积覆盖率达到100%；该笔项目资金改善了我校教学条件，使学生在舒适的环境中学习，教师在舒适的环境中教学，提高了学校教师的教学质量，提高了我校学生升学率，促进了基础教育事业的发展，完全达到计划预期。</w:t>
            </w:r>
          </w:p>
        </w:tc>
      </w:tr>
      <w:tr w14:paraId="1DDE6D5F">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70ECC7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DC762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5095E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37FC1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7368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29386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0ABCD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E9F4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F4B7B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B7A05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9169E6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3C83E9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416313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26C2A9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AAB6BA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D4DBC5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3FF55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B3848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F0609F">
            <w:pPr>
              <w:rPr>
                <w:rFonts w:hint="eastAsia" w:ascii="宋体" w:hAnsi="宋体" w:eastAsia="宋体" w:cs="宋体"/>
                <w:color w:val="000000"/>
                <w:sz w:val="18"/>
                <w:szCs w:val="18"/>
                <w:lang w:eastAsia="zh-CN"/>
              </w:rPr>
            </w:pPr>
          </w:p>
        </w:tc>
      </w:tr>
      <w:tr w14:paraId="78774C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28EBE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926D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1D7A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87A31AC">
            <w:pPr>
              <w:rPr>
                <w:rFonts w:hint="eastAsia" w:ascii="宋体" w:hAnsi="宋体" w:eastAsia="宋体" w:cs="宋体"/>
                <w:color w:val="000000"/>
                <w:sz w:val="18"/>
                <w:szCs w:val="18"/>
              </w:rPr>
            </w:pPr>
            <w:r>
              <w:rPr>
                <w:rFonts w:hint="eastAsia" w:ascii="宋体" w:hAnsi="宋体" w:eastAsia="宋体" w:cs="宋体"/>
                <w:color w:val="000000"/>
                <w:sz w:val="18"/>
                <w:szCs w:val="18"/>
              </w:rPr>
              <w:t>覆盖学生人数</w:t>
            </w:r>
          </w:p>
        </w:tc>
        <w:tc>
          <w:tcPr>
            <w:tcW w:w="1125" w:type="dxa"/>
            <w:tcBorders>
              <w:top w:val="nil"/>
              <w:left w:val="nil"/>
              <w:bottom w:val="single" w:color="auto" w:sz="4" w:space="0"/>
              <w:right w:val="single" w:color="auto" w:sz="4" w:space="0"/>
            </w:tcBorders>
            <w:vAlign w:val="center"/>
          </w:tcPr>
          <w:p w14:paraId="62D07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=753人</w:t>
            </w:r>
          </w:p>
        </w:tc>
        <w:tc>
          <w:tcPr>
            <w:tcW w:w="1229" w:type="dxa"/>
            <w:tcBorders>
              <w:top w:val="nil"/>
              <w:left w:val="nil"/>
              <w:bottom w:val="single" w:color="auto" w:sz="4" w:space="0"/>
              <w:right w:val="single" w:color="auto" w:sz="4" w:space="0"/>
            </w:tcBorders>
            <w:vAlign w:val="center"/>
          </w:tcPr>
          <w:p w14:paraId="7312A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599人</w:t>
            </w:r>
          </w:p>
        </w:tc>
        <w:tc>
          <w:tcPr>
            <w:tcW w:w="755" w:type="dxa"/>
            <w:gridSpan w:val="2"/>
            <w:tcBorders>
              <w:top w:val="single" w:color="auto" w:sz="4" w:space="0"/>
              <w:left w:val="nil"/>
              <w:bottom w:val="single" w:color="auto" w:sz="4" w:space="0"/>
              <w:right w:val="single" w:color="000000" w:sz="4" w:space="0"/>
            </w:tcBorders>
            <w:vAlign w:val="center"/>
          </w:tcPr>
          <w:p w14:paraId="2D002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372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7.95</w:t>
            </w:r>
          </w:p>
        </w:tc>
        <w:tc>
          <w:tcPr>
            <w:tcW w:w="1984" w:type="dxa"/>
            <w:gridSpan w:val="2"/>
            <w:tcBorders>
              <w:top w:val="single" w:color="auto" w:sz="4" w:space="0"/>
              <w:left w:val="nil"/>
              <w:bottom w:val="single" w:color="auto" w:sz="4" w:space="0"/>
              <w:right w:val="single" w:color="auto" w:sz="4" w:space="0"/>
            </w:tcBorders>
            <w:vAlign w:val="center"/>
          </w:tcPr>
          <w:p w14:paraId="0E9B57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24年由于新收学生人数减少，部分学生转入城镇学校导致学生人数减少。</w:t>
            </w:r>
          </w:p>
        </w:tc>
      </w:tr>
      <w:tr w14:paraId="7400FE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BD621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3683BA8">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0C5842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6CC4FC">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7BCDB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=11175平方米</w:t>
            </w:r>
          </w:p>
        </w:tc>
        <w:tc>
          <w:tcPr>
            <w:tcW w:w="1229" w:type="dxa"/>
            <w:tcBorders>
              <w:top w:val="nil"/>
              <w:left w:val="nil"/>
              <w:bottom w:val="single" w:color="auto" w:sz="4" w:space="0"/>
              <w:right w:val="single" w:color="auto" w:sz="4" w:space="0"/>
            </w:tcBorders>
            <w:vAlign w:val="center"/>
          </w:tcPr>
          <w:p w14:paraId="1EDB9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11175平方米</w:t>
            </w:r>
          </w:p>
        </w:tc>
        <w:tc>
          <w:tcPr>
            <w:tcW w:w="755" w:type="dxa"/>
            <w:gridSpan w:val="2"/>
            <w:tcBorders>
              <w:top w:val="single" w:color="auto" w:sz="4" w:space="0"/>
              <w:left w:val="nil"/>
              <w:bottom w:val="single" w:color="auto" w:sz="4" w:space="0"/>
              <w:right w:val="single" w:color="000000" w:sz="4" w:space="0"/>
            </w:tcBorders>
            <w:vAlign w:val="center"/>
          </w:tcPr>
          <w:p w14:paraId="6956F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9AA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7D826B">
            <w:pPr>
              <w:jc w:val="center"/>
              <w:rPr>
                <w:rFonts w:hint="eastAsia" w:ascii="宋体" w:hAnsi="宋体" w:eastAsia="宋体" w:cs="宋体"/>
                <w:color w:val="000000"/>
                <w:sz w:val="18"/>
                <w:szCs w:val="18"/>
              </w:rPr>
            </w:pPr>
          </w:p>
        </w:tc>
      </w:tr>
      <w:tr w14:paraId="33897A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25586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BE1C5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C525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19FBFF">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35E52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276E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7A47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ED1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545D859">
            <w:pPr>
              <w:jc w:val="center"/>
              <w:rPr>
                <w:rFonts w:hint="eastAsia" w:ascii="宋体" w:hAnsi="宋体" w:eastAsia="宋体" w:cs="宋体"/>
                <w:color w:val="000000"/>
                <w:sz w:val="18"/>
                <w:szCs w:val="18"/>
              </w:rPr>
            </w:pPr>
          </w:p>
        </w:tc>
      </w:tr>
      <w:tr w14:paraId="0CB39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34A02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F0FFC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D91B96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A81A5A4">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7ABC5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25909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F58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8F8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7691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24年全年100%运转，目标值为大于等于98%</w:t>
            </w:r>
          </w:p>
        </w:tc>
      </w:tr>
      <w:tr w14:paraId="58C122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D6C4D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74B483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E1E8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472EF00">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8479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1D0FB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7DE75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09D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AEFA32">
            <w:pPr>
              <w:jc w:val="center"/>
              <w:rPr>
                <w:rFonts w:hint="eastAsia" w:ascii="宋体" w:hAnsi="宋体" w:eastAsia="宋体" w:cs="宋体"/>
                <w:color w:val="000000"/>
                <w:sz w:val="18"/>
                <w:szCs w:val="18"/>
              </w:rPr>
            </w:pPr>
          </w:p>
        </w:tc>
      </w:tr>
      <w:tr w14:paraId="6BE57E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5E669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4922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5AC7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39C65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保障教学活动更好开展</w:t>
            </w:r>
          </w:p>
        </w:tc>
        <w:tc>
          <w:tcPr>
            <w:tcW w:w="1125" w:type="dxa"/>
            <w:tcBorders>
              <w:top w:val="nil"/>
              <w:left w:val="nil"/>
              <w:bottom w:val="single" w:color="auto" w:sz="4" w:space="0"/>
              <w:right w:val="single" w:color="auto" w:sz="4" w:space="0"/>
            </w:tcBorders>
            <w:vAlign w:val="center"/>
          </w:tcPr>
          <w:p w14:paraId="41F73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4792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764E6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1CF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6E2F533">
            <w:pPr>
              <w:jc w:val="center"/>
              <w:rPr>
                <w:rFonts w:hint="eastAsia" w:ascii="宋体" w:hAnsi="宋体" w:eastAsia="宋体" w:cs="宋体"/>
                <w:color w:val="000000"/>
                <w:sz w:val="18"/>
                <w:szCs w:val="18"/>
              </w:rPr>
            </w:pPr>
          </w:p>
        </w:tc>
      </w:tr>
      <w:tr w14:paraId="2AA266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2EAC8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F9C932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4C6F5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FCB96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保障特殊学生正常学习生活</w:t>
            </w:r>
          </w:p>
        </w:tc>
        <w:tc>
          <w:tcPr>
            <w:tcW w:w="1125" w:type="dxa"/>
            <w:tcBorders>
              <w:top w:val="nil"/>
              <w:left w:val="nil"/>
              <w:bottom w:val="single" w:color="auto" w:sz="4" w:space="0"/>
              <w:right w:val="single" w:color="auto" w:sz="4" w:space="0"/>
            </w:tcBorders>
            <w:vAlign w:val="center"/>
          </w:tcPr>
          <w:p w14:paraId="105AD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724C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9F28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82E9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DE77B0">
            <w:pPr>
              <w:jc w:val="center"/>
              <w:rPr>
                <w:rFonts w:hint="eastAsia" w:ascii="宋体" w:hAnsi="宋体" w:eastAsia="宋体" w:cs="宋体"/>
                <w:color w:val="000000"/>
                <w:sz w:val="18"/>
                <w:szCs w:val="18"/>
              </w:rPr>
            </w:pPr>
          </w:p>
        </w:tc>
      </w:tr>
      <w:tr w14:paraId="5314B8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308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E2AB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0E043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97.87分</w:t>
            </w:r>
          </w:p>
        </w:tc>
        <w:tc>
          <w:tcPr>
            <w:tcW w:w="1984" w:type="dxa"/>
            <w:gridSpan w:val="2"/>
            <w:tcBorders>
              <w:top w:val="single" w:color="auto" w:sz="4" w:space="0"/>
              <w:left w:val="nil"/>
              <w:bottom w:val="single" w:color="auto" w:sz="4" w:space="0"/>
              <w:right w:val="single" w:color="auto" w:sz="4" w:space="0"/>
            </w:tcBorders>
            <w:vAlign w:val="center"/>
          </w:tcPr>
          <w:p w14:paraId="568BFA78">
            <w:pPr>
              <w:jc w:val="center"/>
              <w:rPr>
                <w:rFonts w:hint="eastAsia" w:ascii="宋体" w:hAnsi="宋体" w:eastAsia="宋体" w:cs="宋体"/>
                <w:b/>
                <w:bCs/>
                <w:color w:val="000000"/>
                <w:sz w:val="18"/>
                <w:szCs w:val="18"/>
              </w:rPr>
            </w:pPr>
          </w:p>
        </w:tc>
      </w:tr>
    </w:tbl>
    <w:p w14:paraId="5CFD414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BD18E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C856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7047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57028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6DD366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BE09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F7B2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29FBD6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328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707100A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FECD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252E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86E3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69887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4904A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E99E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29088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DD71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F45E34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34110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7D9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58B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14.08</w:t>
            </w:r>
          </w:p>
        </w:tc>
        <w:tc>
          <w:tcPr>
            <w:tcW w:w="1125" w:type="dxa"/>
            <w:tcBorders>
              <w:top w:val="nil"/>
              <w:left w:val="nil"/>
              <w:bottom w:val="single" w:color="auto" w:sz="4" w:space="0"/>
              <w:right w:val="single" w:color="auto" w:sz="4" w:space="0"/>
            </w:tcBorders>
            <w:noWrap/>
            <w:vAlign w:val="center"/>
          </w:tcPr>
          <w:p w14:paraId="2576D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13.15</w:t>
            </w:r>
          </w:p>
        </w:tc>
        <w:tc>
          <w:tcPr>
            <w:tcW w:w="1275" w:type="dxa"/>
            <w:gridSpan w:val="2"/>
            <w:tcBorders>
              <w:top w:val="single" w:color="auto" w:sz="4" w:space="0"/>
              <w:left w:val="nil"/>
              <w:bottom w:val="single" w:color="auto" w:sz="4" w:space="0"/>
              <w:right w:val="single" w:color="000000" w:sz="4" w:space="0"/>
            </w:tcBorders>
            <w:noWrap/>
            <w:vAlign w:val="center"/>
          </w:tcPr>
          <w:p w14:paraId="5A1EF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6.49</w:t>
            </w:r>
          </w:p>
        </w:tc>
        <w:tc>
          <w:tcPr>
            <w:tcW w:w="1134" w:type="dxa"/>
            <w:gridSpan w:val="2"/>
            <w:tcBorders>
              <w:top w:val="single" w:color="auto" w:sz="4" w:space="0"/>
              <w:left w:val="nil"/>
              <w:bottom w:val="single" w:color="auto" w:sz="4" w:space="0"/>
              <w:right w:val="single" w:color="auto" w:sz="4" w:space="0"/>
            </w:tcBorders>
            <w:vAlign w:val="center"/>
          </w:tcPr>
          <w:p w14:paraId="70451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527E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49.35%</w:t>
            </w:r>
          </w:p>
        </w:tc>
        <w:tc>
          <w:tcPr>
            <w:tcW w:w="1275" w:type="dxa"/>
            <w:tcBorders>
              <w:top w:val="nil"/>
              <w:left w:val="nil"/>
              <w:bottom w:val="single" w:color="auto" w:sz="4" w:space="0"/>
              <w:right w:val="single" w:color="auto" w:sz="4" w:space="0"/>
            </w:tcBorders>
            <w:vAlign w:val="center"/>
          </w:tcPr>
          <w:p w14:paraId="07944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4.94分</w:t>
            </w:r>
          </w:p>
        </w:tc>
      </w:tr>
      <w:tr w14:paraId="09B26C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2D965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ECE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2AD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w:t>
            </w:r>
          </w:p>
        </w:tc>
        <w:tc>
          <w:tcPr>
            <w:tcW w:w="1125" w:type="dxa"/>
            <w:tcBorders>
              <w:top w:val="nil"/>
              <w:left w:val="nil"/>
              <w:bottom w:val="single" w:color="auto" w:sz="4" w:space="0"/>
              <w:right w:val="single" w:color="auto" w:sz="4" w:space="0"/>
            </w:tcBorders>
            <w:noWrap/>
            <w:vAlign w:val="center"/>
          </w:tcPr>
          <w:p w14:paraId="6FFEA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w:t>
            </w:r>
          </w:p>
        </w:tc>
        <w:tc>
          <w:tcPr>
            <w:tcW w:w="1275" w:type="dxa"/>
            <w:gridSpan w:val="2"/>
            <w:tcBorders>
              <w:top w:val="single" w:color="auto" w:sz="4" w:space="0"/>
              <w:left w:val="nil"/>
              <w:bottom w:val="single" w:color="auto" w:sz="4" w:space="0"/>
              <w:right w:val="single" w:color="000000" w:sz="4" w:space="0"/>
            </w:tcBorders>
            <w:noWrap/>
            <w:vAlign w:val="center"/>
          </w:tcPr>
          <w:p w14:paraId="178CB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6.49</w:t>
            </w:r>
          </w:p>
        </w:tc>
        <w:tc>
          <w:tcPr>
            <w:tcW w:w="1134" w:type="dxa"/>
            <w:gridSpan w:val="2"/>
            <w:tcBorders>
              <w:top w:val="single" w:color="auto" w:sz="4" w:space="0"/>
              <w:left w:val="nil"/>
              <w:bottom w:val="single" w:color="auto" w:sz="4" w:space="0"/>
              <w:right w:val="single" w:color="auto" w:sz="4" w:space="0"/>
            </w:tcBorders>
            <w:vAlign w:val="center"/>
          </w:tcPr>
          <w:p w14:paraId="0BCB2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A00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620F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2B79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0AFEE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9E175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96F2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w:t>
            </w:r>
          </w:p>
        </w:tc>
        <w:tc>
          <w:tcPr>
            <w:tcW w:w="1125" w:type="dxa"/>
            <w:tcBorders>
              <w:top w:val="nil"/>
              <w:left w:val="nil"/>
              <w:bottom w:val="single" w:color="auto" w:sz="4" w:space="0"/>
              <w:right w:val="single" w:color="auto" w:sz="4" w:space="0"/>
            </w:tcBorders>
            <w:noWrap/>
            <w:vAlign w:val="center"/>
          </w:tcPr>
          <w:p w14:paraId="68954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w:t>
            </w:r>
          </w:p>
        </w:tc>
        <w:tc>
          <w:tcPr>
            <w:tcW w:w="1275" w:type="dxa"/>
            <w:gridSpan w:val="2"/>
            <w:tcBorders>
              <w:top w:val="single" w:color="auto" w:sz="4" w:space="0"/>
              <w:left w:val="nil"/>
              <w:bottom w:val="single" w:color="auto" w:sz="4" w:space="0"/>
              <w:right w:val="single" w:color="000000" w:sz="4" w:space="0"/>
            </w:tcBorders>
            <w:noWrap/>
            <w:vAlign w:val="center"/>
          </w:tcPr>
          <w:p w14:paraId="41426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C70C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ADF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F0D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C654B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D627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8C17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10E90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C59ED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AC20F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37A21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本项目家庭经济困难学生生活补助给与家庭经济困难学生补助，解决本校小学87人，初中29人共计116人的家庭经济困难学生的生活问题。由总务室提供困难学生名单，财务部门发放。</w:t>
            </w:r>
          </w:p>
        </w:tc>
        <w:tc>
          <w:tcPr>
            <w:tcW w:w="4677" w:type="dxa"/>
            <w:gridSpan w:val="7"/>
            <w:tcBorders>
              <w:top w:val="single" w:color="auto" w:sz="4" w:space="0"/>
              <w:left w:val="nil"/>
              <w:bottom w:val="single" w:color="auto" w:sz="4" w:space="0"/>
              <w:right w:val="single" w:color="000000" w:sz="4" w:space="0"/>
            </w:tcBorders>
          </w:tcPr>
          <w:p w14:paraId="6F7000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我校贫困生资助管理专干根据贫困生资助管理平台，提供人数，支付2024年非寄宿生家庭困难生活补助春季共计116人，秋季共79人，小学学生312.5元/学期，初中学生375元/学期，达到可改善贫困生家庭经济条件目的，帮助贫困生顺利完成学业</w:t>
            </w:r>
          </w:p>
        </w:tc>
      </w:tr>
      <w:tr w14:paraId="1B5027FE">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66B7BF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8089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22BB9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8A8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883E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74455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39FAF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24FF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67D2DB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32256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D1AF29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DD8A6D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B84DA2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B0BF8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1B1CB2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CCBA14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F6581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79F3A0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2823B84">
            <w:pPr>
              <w:rPr>
                <w:rFonts w:hint="eastAsia" w:ascii="宋体" w:hAnsi="宋体" w:eastAsia="宋体" w:cs="宋体"/>
                <w:color w:val="000000"/>
                <w:sz w:val="18"/>
                <w:szCs w:val="18"/>
                <w:lang w:eastAsia="zh-CN"/>
              </w:rPr>
            </w:pPr>
          </w:p>
        </w:tc>
      </w:tr>
      <w:tr w14:paraId="1A9A019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3D189D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8A25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7914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C9D0B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4FDE7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=116人</w:t>
            </w:r>
          </w:p>
        </w:tc>
        <w:tc>
          <w:tcPr>
            <w:tcW w:w="1229" w:type="dxa"/>
            <w:tcBorders>
              <w:top w:val="nil"/>
              <w:left w:val="nil"/>
              <w:bottom w:val="single" w:color="auto" w:sz="4" w:space="0"/>
              <w:right w:val="single" w:color="auto" w:sz="4" w:space="0"/>
            </w:tcBorders>
            <w:vAlign w:val="center"/>
          </w:tcPr>
          <w:p w14:paraId="2422C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99人</w:t>
            </w:r>
          </w:p>
        </w:tc>
        <w:tc>
          <w:tcPr>
            <w:tcW w:w="755" w:type="dxa"/>
            <w:gridSpan w:val="2"/>
            <w:tcBorders>
              <w:top w:val="single" w:color="auto" w:sz="4" w:space="0"/>
              <w:left w:val="nil"/>
              <w:bottom w:val="single" w:color="auto" w:sz="4" w:space="0"/>
              <w:right w:val="single" w:color="000000" w:sz="4" w:space="0"/>
            </w:tcBorders>
            <w:vAlign w:val="center"/>
          </w:tcPr>
          <w:p w14:paraId="651DC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2A91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17.07</w:t>
            </w:r>
          </w:p>
        </w:tc>
        <w:tc>
          <w:tcPr>
            <w:tcW w:w="1984" w:type="dxa"/>
            <w:gridSpan w:val="2"/>
            <w:tcBorders>
              <w:top w:val="single" w:color="auto" w:sz="4" w:space="0"/>
              <w:left w:val="nil"/>
              <w:bottom w:val="single" w:color="auto" w:sz="4" w:space="0"/>
              <w:right w:val="single" w:color="auto" w:sz="4" w:space="0"/>
            </w:tcBorders>
            <w:vAlign w:val="center"/>
          </w:tcPr>
          <w:p w14:paraId="6BE065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我校少数民族较多，转校生较多，补助学生人数与预算人数相差较大</w:t>
            </w:r>
          </w:p>
        </w:tc>
      </w:tr>
      <w:tr w14:paraId="4CC63F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3C3C6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EE5EB86">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5893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D369299">
            <w:pPr>
              <w:rPr>
                <w:rFonts w:hint="eastAsia" w:ascii="宋体" w:hAnsi="宋体" w:eastAsia="宋体" w:cs="宋体"/>
                <w:color w:val="000000"/>
                <w:sz w:val="18"/>
                <w:szCs w:val="18"/>
              </w:rPr>
            </w:pPr>
            <w:r>
              <w:rPr>
                <w:rFonts w:hint="eastAsia" w:ascii="宋体" w:hAnsi="宋体" w:eastAsia="宋体" w:cs="宋体"/>
                <w:color w:val="000000"/>
                <w:sz w:val="18"/>
                <w:szCs w:val="18"/>
              </w:rPr>
              <w:t>贫困生发放准确率</w:t>
            </w:r>
          </w:p>
        </w:tc>
        <w:tc>
          <w:tcPr>
            <w:tcW w:w="1125" w:type="dxa"/>
            <w:tcBorders>
              <w:top w:val="nil"/>
              <w:left w:val="nil"/>
              <w:bottom w:val="single" w:color="auto" w:sz="4" w:space="0"/>
              <w:right w:val="single" w:color="auto" w:sz="4" w:space="0"/>
            </w:tcBorders>
            <w:vAlign w:val="center"/>
          </w:tcPr>
          <w:p w14:paraId="21A2B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049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E568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B4A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46EB86">
            <w:pPr>
              <w:jc w:val="center"/>
              <w:rPr>
                <w:rFonts w:hint="eastAsia" w:ascii="宋体" w:hAnsi="宋体" w:eastAsia="宋体" w:cs="宋体"/>
                <w:color w:val="000000"/>
                <w:sz w:val="18"/>
                <w:szCs w:val="18"/>
              </w:rPr>
            </w:pPr>
          </w:p>
        </w:tc>
      </w:tr>
      <w:tr w14:paraId="745BA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C514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47D7D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730C12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46ED1DB">
            <w:pPr>
              <w:rPr>
                <w:rFonts w:hint="eastAsia" w:ascii="宋体" w:hAnsi="宋体" w:eastAsia="宋体" w:cs="宋体"/>
                <w:color w:val="000000"/>
                <w:sz w:val="18"/>
                <w:szCs w:val="18"/>
              </w:rPr>
            </w:pPr>
            <w:r>
              <w:rPr>
                <w:rFonts w:hint="eastAsia" w:ascii="宋体" w:hAnsi="宋体" w:eastAsia="宋体" w:cs="宋体"/>
                <w:color w:val="000000"/>
                <w:sz w:val="18"/>
                <w:szCs w:val="18"/>
              </w:rPr>
              <w:t>贫困生发放覆盖率</w:t>
            </w:r>
          </w:p>
        </w:tc>
        <w:tc>
          <w:tcPr>
            <w:tcW w:w="1125" w:type="dxa"/>
            <w:tcBorders>
              <w:top w:val="nil"/>
              <w:left w:val="nil"/>
              <w:bottom w:val="single" w:color="auto" w:sz="4" w:space="0"/>
              <w:right w:val="single" w:color="auto" w:sz="4" w:space="0"/>
            </w:tcBorders>
            <w:vAlign w:val="center"/>
          </w:tcPr>
          <w:p w14:paraId="4A758C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A9E2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0512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816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21D7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我校本年贫困生全覆盖，覆盖率为100%，超出目标</w:t>
            </w:r>
          </w:p>
        </w:tc>
      </w:tr>
      <w:tr w14:paraId="09B693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5131CD">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4F06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6B8B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7896534">
            <w:pPr>
              <w:rPr>
                <w:rFonts w:hint="eastAsia" w:ascii="宋体" w:hAnsi="宋体" w:eastAsia="宋体" w:cs="宋体"/>
                <w:color w:val="000000"/>
                <w:sz w:val="18"/>
                <w:szCs w:val="18"/>
              </w:rPr>
            </w:pPr>
            <w:r>
              <w:rPr>
                <w:rFonts w:hint="eastAsia" w:ascii="宋体" w:hAnsi="宋体" w:eastAsia="宋体" w:cs="宋体"/>
                <w:color w:val="000000"/>
                <w:sz w:val="18"/>
                <w:szCs w:val="18"/>
              </w:rPr>
              <w:t>小学生补助标准</w:t>
            </w:r>
          </w:p>
        </w:tc>
        <w:tc>
          <w:tcPr>
            <w:tcW w:w="1125" w:type="dxa"/>
            <w:tcBorders>
              <w:top w:val="nil"/>
              <w:left w:val="nil"/>
              <w:bottom w:val="single" w:color="auto" w:sz="4" w:space="0"/>
              <w:right w:val="single" w:color="auto" w:sz="4" w:space="0"/>
            </w:tcBorders>
            <w:vAlign w:val="center"/>
          </w:tcPr>
          <w:p w14:paraId="2CFC4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65A2E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367B5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378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8D16F5">
            <w:pPr>
              <w:jc w:val="center"/>
              <w:rPr>
                <w:rFonts w:hint="eastAsia" w:ascii="宋体" w:hAnsi="宋体" w:eastAsia="宋体" w:cs="宋体"/>
                <w:color w:val="000000"/>
                <w:sz w:val="18"/>
                <w:szCs w:val="18"/>
              </w:rPr>
            </w:pPr>
          </w:p>
        </w:tc>
      </w:tr>
      <w:tr w14:paraId="3BFD1F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397EA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4BC2A2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1A8F19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48A072">
            <w:pPr>
              <w:rPr>
                <w:rFonts w:hint="eastAsia" w:ascii="宋体" w:hAnsi="宋体" w:eastAsia="宋体" w:cs="宋体"/>
                <w:color w:val="000000"/>
                <w:sz w:val="18"/>
                <w:szCs w:val="18"/>
              </w:rPr>
            </w:pPr>
            <w:r>
              <w:rPr>
                <w:rFonts w:hint="eastAsia" w:ascii="宋体" w:hAnsi="宋体" w:eastAsia="宋体" w:cs="宋体"/>
                <w:color w:val="000000"/>
                <w:sz w:val="18"/>
                <w:szCs w:val="18"/>
              </w:rPr>
              <w:t>初中生补助标准</w:t>
            </w:r>
          </w:p>
        </w:tc>
        <w:tc>
          <w:tcPr>
            <w:tcW w:w="1125" w:type="dxa"/>
            <w:tcBorders>
              <w:top w:val="nil"/>
              <w:left w:val="nil"/>
              <w:bottom w:val="single" w:color="auto" w:sz="4" w:space="0"/>
              <w:right w:val="single" w:color="auto" w:sz="4" w:space="0"/>
            </w:tcBorders>
            <w:vAlign w:val="center"/>
          </w:tcPr>
          <w:p w14:paraId="423FF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1229" w:type="dxa"/>
            <w:tcBorders>
              <w:top w:val="nil"/>
              <w:left w:val="nil"/>
              <w:bottom w:val="single" w:color="auto" w:sz="4" w:space="0"/>
              <w:right w:val="single" w:color="auto" w:sz="4" w:space="0"/>
            </w:tcBorders>
            <w:vAlign w:val="center"/>
          </w:tcPr>
          <w:p w14:paraId="2BA20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755" w:type="dxa"/>
            <w:gridSpan w:val="2"/>
            <w:tcBorders>
              <w:top w:val="single" w:color="auto" w:sz="4" w:space="0"/>
              <w:left w:val="nil"/>
              <w:bottom w:val="single" w:color="auto" w:sz="4" w:space="0"/>
              <w:right w:val="single" w:color="000000" w:sz="4" w:space="0"/>
            </w:tcBorders>
            <w:vAlign w:val="center"/>
          </w:tcPr>
          <w:p w14:paraId="018BB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84E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26A7B8">
            <w:pPr>
              <w:jc w:val="center"/>
              <w:rPr>
                <w:rFonts w:hint="eastAsia" w:ascii="宋体" w:hAnsi="宋体" w:eastAsia="宋体" w:cs="宋体"/>
                <w:color w:val="000000"/>
                <w:sz w:val="18"/>
                <w:szCs w:val="18"/>
              </w:rPr>
            </w:pPr>
          </w:p>
        </w:tc>
      </w:tr>
      <w:tr w14:paraId="6EA90E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A4B92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2611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2F80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156C594">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38E69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1229" w:type="dxa"/>
            <w:tcBorders>
              <w:top w:val="nil"/>
              <w:left w:val="nil"/>
              <w:bottom w:val="single" w:color="auto" w:sz="4" w:space="0"/>
              <w:right w:val="single" w:color="auto" w:sz="4" w:space="0"/>
            </w:tcBorders>
            <w:vAlign w:val="center"/>
          </w:tcPr>
          <w:p w14:paraId="027BF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8F30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E7C8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9691075">
            <w:pPr>
              <w:jc w:val="center"/>
              <w:rPr>
                <w:rFonts w:hint="eastAsia" w:ascii="宋体" w:hAnsi="宋体" w:eastAsia="宋体" w:cs="宋体"/>
                <w:color w:val="000000"/>
                <w:sz w:val="18"/>
                <w:szCs w:val="18"/>
              </w:rPr>
            </w:pPr>
          </w:p>
        </w:tc>
      </w:tr>
      <w:tr w14:paraId="593D2D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969B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798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475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1B0D335">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67A35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151D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C2C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804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682A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我校学生满意度100%，超出预期。</w:t>
            </w:r>
          </w:p>
        </w:tc>
      </w:tr>
      <w:tr w14:paraId="7A457DA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B128C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91D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3B3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92.01分</w:t>
            </w:r>
          </w:p>
        </w:tc>
        <w:tc>
          <w:tcPr>
            <w:tcW w:w="1984" w:type="dxa"/>
            <w:gridSpan w:val="2"/>
            <w:tcBorders>
              <w:top w:val="single" w:color="auto" w:sz="4" w:space="0"/>
              <w:left w:val="nil"/>
              <w:bottom w:val="single" w:color="auto" w:sz="4" w:space="0"/>
              <w:right w:val="single" w:color="auto" w:sz="4" w:space="0"/>
            </w:tcBorders>
            <w:vAlign w:val="center"/>
          </w:tcPr>
          <w:p w14:paraId="7523D23E">
            <w:pPr>
              <w:jc w:val="center"/>
              <w:rPr>
                <w:rFonts w:hint="eastAsia" w:ascii="宋体" w:hAnsi="宋体" w:eastAsia="宋体" w:cs="宋体"/>
                <w:b/>
                <w:bCs/>
                <w:color w:val="000000"/>
                <w:sz w:val="18"/>
                <w:szCs w:val="18"/>
              </w:rPr>
            </w:pPr>
          </w:p>
        </w:tc>
      </w:tr>
    </w:tbl>
    <w:p w14:paraId="56F21D2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551E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84FE596">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9813E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E492C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663E55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279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629B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A5430B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ADEF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25108E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05E3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9DF968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19E83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925A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E36C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B38B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F200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EFB98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CB92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38EF7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469B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5C60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23.24</w:t>
            </w:r>
          </w:p>
        </w:tc>
        <w:tc>
          <w:tcPr>
            <w:tcW w:w="1125" w:type="dxa"/>
            <w:tcBorders>
              <w:top w:val="nil"/>
              <w:left w:val="nil"/>
              <w:bottom w:val="single" w:color="auto" w:sz="4" w:space="0"/>
              <w:right w:val="single" w:color="auto" w:sz="4" w:space="0"/>
            </w:tcBorders>
            <w:noWrap/>
            <w:vAlign w:val="center"/>
          </w:tcPr>
          <w:p w14:paraId="79D1C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29.14</w:t>
            </w:r>
          </w:p>
        </w:tc>
        <w:tc>
          <w:tcPr>
            <w:tcW w:w="1275" w:type="dxa"/>
            <w:gridSpan w:val="2"/>
            <w:tcBorders>
              <w:top w:val="single" w:color="auto" w:sz="4" w:space="0"/>
              <w:left w:val="nil"/>
              <w:bottom w:val="single" w:color="auto" w:sz="4" w:space="0"/>
              <w:right w:val="single" w:color="000000" w:sz="4" w:space="0"/>
            </w:tcBorders>
            <w:noWrap/>
            <w:vAlign w:val="center"/>
          </w:tcPr>
          <w:p w14:paraId="007A8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28.19</w:t>
            </w:r>
          </w:p>
        </w:tc>
        <w:tc>
          <w:tcPr>
            <w:tcW w:w="1134" w:type="dxa"/>
            <w:gridSpan w:val="2"/>
            <w:tcBorders>
              <w:top w:val="single" w:color="auto" w:sz="4" w:space="0"/>
              <w:left w:val="nil"/>
              <w:bottom w:val="single" w:color="auto" w:sz="4" w:space="0"/>
              <w:right w:val="single" w:color="auto" w:sz="4" w:space="0"/>
            </w:tcBorders>
            <w:vAlign w:val="center"/>
          </w:tcPr>
          <w:p w14:paraId="776D4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CDE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96.74%</w:t>
            </w:r>
          </w:p>
        </w:tc>
        <w:tc>
          <w:tcPr>
            <w:tcW w:w="1275" w:type="dxa"/>
            <w:tcBorders>
              <w:top w:val="nil"/>
              <w:left w:val="nil"/>
              <w:bottom w:val="single" w:color="auto" w:sz="4" w:space="0"/>
              <w:right w:val="single" w:color="auto" w:sz="4" w:space="0"/>
            </w:tcBorders>
            <w:vAlign w:val="center"/>
          </w:tcPr>
          <w:p w14:paraId="36E5D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9.67分</w:t>
            </w:r>
          </w:p>
        </w:tc>
      </w:tr>
      <w:tr w14:paraId="65065F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AF2DE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81C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0A9A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7.84</w:t>
            </w:r>
          </w:p>
        </w:tc>
        <w:tc>
          <w:tcPr>
            <w:tcW w:w="1125" w:type="dxa"/>
            <w:tcBorders>
              <w:top w:val="nil"/>
              <w:left w:val="nil"/>
              <w:bottom w:val="single" w:color="auto" w:sz="4" w:space="0"/>
              <w:right w:val="single" w:color="auto" w:sz="4" w:space="0"/>
            </w:tcBorders>
            <w:noWrap/>
            <w:vAlign w:val="center"/>
          </w:tcPr>
          <w:p w14:paraId="367D3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13.74</w:t>
            </w:r>
          </w:p>
        </w:tc>
        <w:tc>
          <w:tcPr>
            <w:tcW w:w="1275" w:type="dxa"/>
            <w:gridSpan w:val="2"/>
            <w:tcBorders>
              <w:top w:val="single" w:color="auto" w:sz="4" w:space="0"/>
              <w:left w:val="nil"/>
              <w:bottom w:val="single" w:color="auto" w:sz="4" w:space="0"/>
              <w:right w:val="single" w:color="000000" w:sz="4" w:space="0"/>
            </w:tcBorders>
            <w:noWrap/>
            <w:vAlign w:val="center"/>
          </w:tcPr>
          <w:p w14:paraId="7CFA5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12.79</w:t>
            </w:r>
          </w:p>
        </w:tc>
        <w:tc>
          <w:tcPr>
            <w:tcW w:w="1134" w:type="dxa"/>
            <w:gridSpan w:val="2"/>
            <w:tcBorders>
              <w:top w:val="single" w:color="auto" w:sz="4" w:space="0"/>
              <w:left w:val="nil"/>
              <w:bottom w:val="single" w:color="auto" w:sz="4" w:space="0"/>
              <w:right w:val="single" w:color="auto" w:sz="4" w:space="0"/>
            </w:tcBorders>
            <w:vAlign w:val="center"/>
          </w:tcPr>
          <w:p w14:paraId="2B74D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C1B0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3823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7D4C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95119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D16F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AC1A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125" w:type="dxa"/>
            <w:tcBorders>
              <w:top w:val="nil"/>
              <w:left w:val="nil"/>
              <w:bottom w:val="single" w:color="auto" w:sz="4" w:space="0"/>
              <w:right w:val="single" w:color="auto" w:sz="4" w:space="0"/>
            </w:tcBorders>
            <w:noWrap/>
            <w:vAlign w:val="center"/>
          </w:tcPr>
          <w:p w14:paraId="037C4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275" w:type="dxa"/>
            <w:gridSpan w:val="2"/>
            <w:tcBorders>
              <w:top w:val="single" w:color="auto" w:sz="4" w:space="0"/>
              <w:left w:val="nil"/>
              <w:bottom w:val="single" w:color="auto" w:sz="4" w:space="0"/>
              <w:right w:val="single" w:color="000000" w:sz="4" w:space="0"/>
            </w:tcBorders>
            <w:noWrap/>
            <w:vAlign w:val="center"/>
          </w:tcPr>
          <w:p w14:paraId="51CB0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134" w:type="dxa"/>
            <w:gridSpan w:val="2"/>
            <w:tcBorders>
              <w:top w:val="single" w:color="auto" w:sz="4" w:space="0"/>
              <w:left w:val="nil"/>
              <w:bottom w:val="single" w:color="auto" w:sz="4" w:space="0"/>
              <w:right w:val="single" w:color="auto" w:sz="4" w:space="0"/>
            </w:tcBorders>
            <w:vAlign w:val="center"/>
          </w:tcPr>
          <w:p w14:paraId="73CE9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76A8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9865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8803E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AE63E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0639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FDE1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CCB6A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B09A2B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BB4D1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自聘教师12人并依据工资标准按时发放工资，代课教师工资按照4200元/人/月的标准进行发放，绩效工资350元/月，共计4550元/月/人。此项目的实施可有效保障我校自聘教师基本生活待遇，保障我校教师队伍稳定性，保障我校教育教学工作正常开展。</w:t>
            </w:r>
          </w:p>
        </w:tc>
        <w:tc>
          <w:tcPr>
            <w:tcW w:w="4677" w:type="dxa"/>
            <w:gridSpan w:val="7"/>
            <w:tcBorders>
              <w:top w:val="single" w:color="auto" w:sz="4" w:space="0"/>
              <w:left w:val="nil"/>
              <w:bottom w:val="single" w:color="auto" w:sz="4" w:space="0"/>
              <w:right w:val="single" w:color="000000" w:sz="4" w:space="0"/>
            </w:tcBorders>
          </w:tcPr>
          <w:p w14:paraId="52D6E9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该项目为支付劳务派遣公司自聘教师2024年工资薪酬，达到保障自聘教师工资薪酬发放的目的，提高代课教师的工资。</w:t>
            </w:r>
          </w:p>
        </w:tc>
      </w:tr>
      <w:tr w14:paraId="56ECAB96">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D88DCB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68953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D4E32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BF9FD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80A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25137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0DBAC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6860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01C40C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2863B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07F8F4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8A893B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6370C0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D42AE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E7E9DA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A7329A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11833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DE2F05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2B88B5">
            <w:pPr>
              <w:rPr>
                <w:rFonts w:hint="eastAsia" w:ascii="宋体" w:hAnsi="宋体" w:eastAsia="宋体" w:cs="宋体"/>
                <w:color w:val="000000"/>
                <w:sz w:val="18"/>
                <w:szCs w:val="18"/>
                <w:lang w:eastAsia="zh-CN"/>
              </w:rPr>
            </w:pPr>
          </w:p>
        </w:tc>
      </w:tr>
      <w:tr w14:paraId="4CB4565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B85524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4B1F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AD6A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827B220">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65E94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1229" w:type="dxa"/>
            <w:tcBorders>
              <w:top w:val="nil"/>
              <w:left w:val="nil"/>
              <w:bottom w:val="single" w:color="auto" w:sz="4" w:space="0"/>
              <w:right w:val="single" w:color="auto" w:sz="4" w:space="0"/>
            </w:tcBorders>
            <w:vAlign w:val="center"/>
          </w:tcPr>
          <w:p w14:paraId="404D1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755" w:type="dxa"/>
            <w:gridSpan w:val="2"/>
            <w:tcBorders>
              <w:top w:val="single" w:color="auto" w:sz="4" w:space="0"/>
              <w:left w:val="nil"/>
              <w:bottom w:val="single" w:color="auto" w:sz="4" w:space="0"/>
              <w:right w:val="single" w:color="000000" w:sz="4" w:space="0"/>
            </w:tcBorders>
            <w:vAlign w:val="center"/>
          </w:tcPr>
          <w:p w14:paraId="68150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C98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8.33</w:t>
            </w:r>
          </w:p>
        </w:tc>
        <w:tc>
          <w:tcPr>
            <w:tcW w:w="1984" w:type="dxa"/>
            <w:gridSpan w:val="2"/>
            <w:tcBorders>
              <w:top w:val="single" w:color="auto" w:sz="4" w:space="0"/>
              <w:left w:val="nil"/>
              <w:bottom w:val="single" w:color="auto" w:sz="4" w:space="0"/>
              <w:right w:val="single" w:color="auto" w:sz="4" w:space="0"/>
            </w:tcBorders>
            <w:vAlign w:val="center"/>
          </w:tcPr>
          <w:p w14:paraId="365A99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本年自聘教师年初辞职3人，1人经社招考试入编。</w:t>
            </w:r>
          </w:p>
        </w:tc>
      </w:tr>
      <w:tr w14:paraId="5B4E9A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19B3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48BF1EE">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7CD2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3930C52">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自聘教师上岗率</w:t>
            </w:r>
          </w:p>
        </w:tc>
        <w:tc>
          <w:tcPr>
            <w:tcW w:w="1125" w:type="dxa"/>
            <w:tcBorders>
              <w:top w:val="nil"/>
              <w:left w:val="nil"/>
              <w:bottom w:val="single" w:color="auto" w:sz="4" w:space="0"/>
              <w:right w:val="single" w:color="auto" w:sz="4" w:space="0"/>
            </w:tcBorders>
            <w:vAlign w:val="center"/>
          </w:tcPr>
          <w:p w14:paraId="7B4C9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43725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6DA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BDA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F0147A">
            <w:pPr>
              <w:jc w:val="center"/>
              <w:rPr>
                <w:rFonts w:hint="eastAsia" w:ascii="宋体" w:hAnsi="宋体" w:eastAsia="宋体" w:cs="宋体"/>
                <w:color w:val="000000"/>
                <w:sz w:val="18"/>
                <w:szCs w:val="18"/>
              </w:rPr>
            </w:pPr>
          </w:p>
        </w:tc>
      </w:tr>
      <w:tr w14:paraId="29B66A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A0AF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202AE4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E55F1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97CF7B3">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2A377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CD76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A8B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005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AC2AEB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我校24年资金准确发放，准确率为100%</w:t>
            </w:r>
          </w:p>
        </w:tc>
      </w:tr>
      <w:tr w14:paraId="19D5A0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2CABD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AC84D3E">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147E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999B27">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42E22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929F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A1A9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E8C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C266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我校24年自聘教师资金及时发放，及时率为100%</w:t>
            </w:r>
          </w:p>
        </w:tc>
      </w:tr>
      <w:tr w14:paraId="5D988D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76D4F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0D55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2A7C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AA4D520">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6090F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&lt;=4550元/月/人</w:t>
            </w:r>
          </w:p>
        </w:tc>
        <w:tc>
          <w:tcPr>
            <w:tcW w:w="1229" w:type="dxa"/>
            <w:tcBorders>
              <w:top w:val="nil"/>
              <w:left w:val="nil"/>
              <w:bottom w:val="single" w:color="auto" w:sz="4" w:space="0"/>
              <w:right w:val="single" w:color="auto" w:sz="4" w:space="0"/>
            </w:tcBorders>
            <w:vAlign w:val="center"/>
          </w:tcPr>
          <w:p w14:paraId="33B25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4950元/月/人</w:t>
            </w:r>
          </w:p>
        </w:tc>
        <w:tc>
          <w:tcPr>
            <w:tcW w:w="755" w:type="dxa"/>
            <w:gridSpan w:val="2"/>
            <w:tcBorders>
              <w:top w:val="single" w:color="auto" w:sz="4" w:space="0"/>
              <w:left w:val="nil"/>
              <w:bottom w:val="single" w:color="auto" w:sz="4" w:space="0"/>
              <w:right w:val="single" w:color="000000" w:sz="4" w:space="0"/>
            </w:tcBorders>
            <w:vAlign w:val="center"/>
          </w:tcPr>
          <w:p w14:paraId="5BD10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D8CA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8F3D7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我校因农村学校，代课教师工资略有上升。</w:t>
            </w:r>
          </w:p>
        </w:tc>
      </w:tr>
      <w:tr w14:paraId="04542C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6BF0A0">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7FB1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62F9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9E3E1D9">
            <w:pPr>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提高社会服务能力</w:t>
            </w:r>
          </w:p>
        </w:tc>
        <w:tc>
          <w:tcPr>
            <w:tcW w:w="1125" w:type="dxa"/>
            <w:tcBorders>
              <w:top w:val="nil"/>
              <w:left w:val="nil"/>
              <w:bottom w:val="single" w:color="auto" w:sz="4" w:space="0"/>
              <w:right w:val="single" w:color="auto" w:sz="4" w:space="0"/>
            </w:tcBorders>
            <w:vAlign w:val="center"/>
          </w:tcPr>
          <w:p w14:paraId="265C1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352B9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6CE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0E7B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51C9386">
            <w:pPr>
              <w:jc w:val="center"/>
              <w:rPr>
                <w:rFonts w:hint="eastAsia" w:ascii="宋体" w:hAnsi="宋体" w:eastAsia="宋体" w:cs="宋体"/>
                <w:color w:val="000000"/>
                <w:sz w:val="18"/>
                <w:szCs w:val="18"/>
              </w:rPr>
            </w:pPr>
          </w:p>
        </w:tc>
      </w:tr>
      <w:tr w14:paraId="7EE770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34A81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B226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14D7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527EE7B">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7F4C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59F5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F0C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720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C0FE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我校教师满意度为100%，超过预期</w:t>
            </w:r>
          </w:p>
        </w:tc>
      </w:tr>
      <w:tr w14:paraId="3A65146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FE65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3B78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45ED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78.00分</w:t>
            </w:r>
          </w:p>
        </w:tc>
        <w:tc>
          <w:tcPr>
            <w:tcW w:w="1984" w:type="dxa"/>
            <w:gridSpan w:val="2"/>
            <w:tcBorders>
              <w:top w:val="single" w:color="auto" w:sz="4" w:space="0"/>
              <w:left w:val="nil"/>
              <w:bottom w:val="single" w:color="auto" w:sz="4" w:space="0"/>
              <w:right w:val="single" w:color="auto" w:sz="4" w:space="0"/>
            </w:tcBorders>
            <w:vAlign w:val="center"/>
          </w:tcPr>
          <w:p w14:paraId="4FC7ADD8">
            <w:pPr>
              <w:jc w:val="center"/>
              <w:rPr>
                <w:rFonts w:hint="eastAsia" w:ascii="宋体" w:hAnsi="宋体" w:eastAsia="宋体" w:cs="宋体"/>
                <w:b/>
                <w:bCs/>
                <w:color w:val="000000"/>
                <w:sz w:val="18"/>
                <w:szCs w:val="18"/>
              </w:rPr>
            </w:pPr>
          </w:p>
        </w:tc>
      </w:tr>
    </w:tbl>
    <w:p w14:paraId="52CBC712">
      <w:pPr>
        <w:spacing w:after="0" w:line="240" w:lineRule="auto"/>
        <w:ind w:firstLine="640" w:firstLineChars="200"/>
        <w:jc w:val="both"/>
        <w:rPr>
          <w:rFonts w:ascii="仿宋_GB2312" w:eastAsia="仿宋_GB2312"/>
          <w:sz w:val="32"/>
          <w:szCs w:val="32"/>
          <w:lang w:eastAsia="zh-CN"/>
        </w:rPr>
      </w:pPr>
    </w:p>
    <w:p w14:paraId="6EA0E4B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D731EE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474E593">
      <w:pPr>
        <w:spacing w:after="0" w:line="240" w:lineRule="auto"/>
        <w:ind w:firstLine="640" w:firstLineChars="200"/>
        <w:rPr>
          <w:rFonts w:ascii="仿宋_GB2312" w:eastAsia="仿宋_GB2312"/>
          <w:sz w:val="32"/>
          <w:szCs w:val="32"/>
          <w:lang w:eastAsia="zh-CN"/>
        </w:rPr>
      </w:pPr>
    </w:p>
    <w:p w14:paraId="0397FC97">
      <w:pPr>
        <w:rPr>
          <w:lang w:eastAsia="zh-CN"/>
        </w:rPr>
      </w:pPr>
      <w:r>
        <w:rPr>
          <w:sz w:val="0"/>
          <w:szCs w:val="0"/>
          <w:lang w:eastAsia="zh-CN"/>
        </w:rPr>
        <w:br w:type="page"/>
      </w:r>
    </w:p>
    <w:p w14:paraId="78C1EB91">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2771B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E597C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9FF03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3CD89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44E037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FE84B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DA02C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4CA36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9982A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836E6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D427E3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F152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701A9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C070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298AD38">
      <w:pPr>
        <w:rPr>
          <w:lang w:eastAsia="zh-CN"/>
        </w:rPr>
      </w:pPr>
      <w:r>
        <w:rPr>
          <w:sz w:val="0"/>
          <w:szCs w:val="0"/>
          <w:lang w:eastAsia="zh-CN"/>
        </w:rPr>
        <w:br w:type="page"/>
      </w:r>
    </w:p>
    <w:p w14:paraId="763A242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F89816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93502F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1BE7A7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6D19C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B83768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D672DE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A59B3D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E560C2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61D69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bookmarkStart w:id="0" w:name="_GoBack"/>
      <w:bookmarkEnd w:id="0"/>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C80FD5"/>
    <w:rsid w:val="000E6621"/>
    <w:rsid w:val="001E6FE2"/>
    <w:rsid w:val="00494A4E"/>
    <w:rsid w:val="004C460E"/>
    <w:rsid w:val="005E16FF"/>
    <w:rsid w:val="008B332E"/>
    <w:rsid w:val="00C24E3D"/>
    <w:rsid w:val="00C80FD5"/>
    <w:rsid w:val="00D7232D"/>
    <w:rsid w:val="00FE4961"/>
    <w:rsid w:val="5CFD1F3A"/>
    <w:rsid w:val="7CF4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8442</Words>
  <Characters>9514</Characters>
  <Lines>541</Lines>
  <Paragraphs>510</Paragraphs>
  <TotalTime>1</TotalTime>
  <ScaleCrop>false</ScaleCrop>
  <LinksUpToDate>false</LinksUpToDate>
  <CharactersWithSpaces>9525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2025-10-09T03:27:00Z</dcterms:created>
  <dc:creator>ldan</dc:creator>
  <cp:lastModifiedBy>W.w</cp:lastModifiedBy>
  <dcterms:modified xsi:type="dcterms:W3CDTF">2025-10-14T07:44:36Z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DA1EF69CFAF84427AFD7185F58812E0B_12</vt:lpwstr>
  </property>
</Properties>
</file>