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A6D2D8">
      <w:pPr>
        <w:widowControl/>
        <w:jc w:val="left"/>
        <w:rPr>
          <w:rFonts w:ascii="宋体" w:eastAsia="宋体"/>
          <w:sz w:val="32"/>
          <w:szCs w:val="32"/>
        </w:rPr>
      </w:pPr>
    </w:p>
    <w:p w14:paraId="54691F5A">
      <w:pPr>
        <w:widowControl/>
        <w:jc w:val="left"/>
        <w:rPr>
          <w:rFonts w:ascii="宋体" w:eastAsia="宋体"/>
          <w:sz w:val="44"/>
          <w:szCs w:val="44"/>
        </w:rPr>
      </w:pPr>
    </w:p>
    <w:p w14:paraId="7C1D4135">
      <w:pPr>
        <w:widowControl/>
        <w:jc w:val="left"/>
        <w:rPr>
          <w:rFonts w:ascii="宋体" w:eastAsia="宋体"/>
          <w:sz w:val="44"/>
          <w:szCs w:val="44"/>
        </w:rPr>
      </w:pPr>
    </w:p>
    <w:p w14:paraId="681F68DB">
      <w:pPr>
        <w:widowControl/>
        <w:jc w:val="left"/>
        <w:rPr>
          <w:rFonts w:ascii="宋体" w:eastAsia="宋体"/>
          <w:sz w:val="44"/>
          <w:szCs w:val="44"/>
        </w:rPr>
      </w:pPr>
    </w:p>
    <w:p w14:paraId="4A1B68E3">
      <w:pPr>
        <w:widowControl/>
        <w:jc w:val="center"/>
        <w:outlineLvl w:val="0"/>
        <w:rPr>
          <w:rFonts w:ascii="宋体" w:eastAsia="黑体"/>
          <w:sz w:val="44"/>
          <w:szCs w:val="44"/>
        </w:rPr>
      </w:pPr>
      <w:r>
        <w:rPr>
          <w:rFonts w:ascii="宋体" w:eastAsia="黑体"/>
          <w:sz w:val="44"/>
          <w:szCs w:val="44"/>
        </w:rPr>
        <w:t>乌鲁木齐市第七十九中学</w:t>
      </w:r>
    </w:p>
    <w:p w14:paraId="7FABCC14">
      <w:pPr>
        <w:widowControl/>
        <w:jc w:val="center"/>
        <w:outlineLvl w:val="0"/>
        <w:rPr>
          <w:rFonts w:ascii="黑体" w:eastAsia="黑体"/>
          <w:sz w:val="44"/>
          <w:szCs w:val="44"/>
        </w:rPr>
      </w:pPr>
      <w:r>
        <w:rPr>
          <w:rFonts w:ascii="黑体" w:eastAsia="黑体"/>
          <w:sz w:val="44"/>
          <w:szCs w:val="44"/>
        </w:rPr>
        <w:t>2024年度部门决算公开说明</w:t>
      </w:r>
    </w:p>
    <w:p w14:paraId="66B0213B">
      <w:pPr>
        <w:widowControl/>
      </w:pPr>
      <w:bookmarkStart w:id="0" w:name="_GoBack"/>
      <w:bookmarkEnd w:id="0"/>
      <w:r>
        <w:rPr>
          <w:sz w:val="0"/>
          <w:szCs w:val="0"/>
        </w:rPr>
        <w:br w:type="page"/>
      </w:r>
    </w:p>
    <w:p w14:paraId="3D61DA69">
      <w:pPr>
        <w:widowControl/>
        <w:jc w:val="center"/>
        <w:rPr>
          <w:rFonts w:ascii="黑体" w:eastAsia="黑体"/>
          <w:sz w:val="32"/>
          <w:szCs w:val="32"/>
        </w:rPr>
      </w:pPr>
      <w:r>
        <w:rPr>
          <w:rFonts w:ascii="黑体" w:eastAsia="黑体"/>
          <w:b/>
          <w:sz w:val="32"/>
          <w:szCs w:val="32"/>
        </w:rPr>
        <w:t>目  录</w:t>
      </w:r>
    </w:p>
    <w:p w14:paraId="48860611">
      <w:pPr>
        <w:widowControl/>
        <w:jc w:val="left"/>
        <w:rPr>
          <w:rFonts w:ascii="仿宋_GB2312" w:eastAsia="仿宋_GB2312"/>
          <w:sz w:val="32"/>
          <w:szCs w:val="32"/>
        </w:rPr>
      </w:pPr>
      <w:r>
        <w:rPr>
          <w:rFonts w:ascii="仿宋_GB2312" w:eastAsia="仿宋_GB2312"/>
          <w:b/>
          <w:sz w:val="32"/>
          <w:szCs w:val="32"/>
        </w:rPr>
        <w:t>第一部分单位概况</w:t>
      </w:r>
    </w:p>
    <w:p w14:paraId="27AD82A0">
      <w:pPr>
        <w:widowControl/>
        <w:jc w:val="left"/>
        <w:rPr>
          <w:rFonts w:ascii="仿宋_GB2312" w:eastAsia="仿宋_GB2312"/>
          <w:sz w:val="32"/>
          <w:szCs w:val="32"/>
        </w:rPr>
      </w:pPr>
      <w:r>
        <w:rPr>
          <w:rFonts w:ascii="仿宋_GB2312" w:eastAsia="仿宋_GB2312"/>
          <w:sz w:val="32"/>
          <w:szCs w:val="32"/>
        </w:rPr>
        <w:t>一、主要职能</w:t>
      </w:r>
    </w:p>
    <w:p w14:paraId="397D73E9">
      <w:pPr>
        <w:widowControl/>
        <w:jc w:val="left"/>
        <w:rPr>
          <w:rFonts w:ascii="仿宋_GB2312" w:eastAsia="仿宋_GB2312"/>
          <w:sz w:val="32"/>
          <w:szCs w:val="32"/>
        </w:rPr>
      </w:pPr>
      <w:r>
        <w:rPr>
          <w:rFonts w:ascii="仿宋_GB2312" w:eastAsia="仿宋_GB2312"/>
          <w:sz w:val="32"/>
          <w:szCs w:val="32"/>
        </w:rPr>
        <w:t>二、机构设置及人员情况</w:t>
      </w:r>
    </w:p>
    <w:p w14:paraId="507E189D">
      <w:pPr>
        <w:widowControl/>
        <w:jc w:val="left"/>
        <w:rPr>
          <w:rFonts w:ascii="仿宋_GB2312" w:eastAsia="仿宋_GB2312"/>
          <w:sz w:val="32"/>
          <w:szCs w:val="32"/>
        </w:rPr>
      </w:pPr>
      <w:r>
        <w:rPr>
          <w:rFonts w:ascii="仿宋_GB2312" w:eastAsia="仿宋_GB2312"/>
          <w:b/>
          <w:sz w:val="32"/>
          <w:szCs w:val="32"/>
        </w:rPr>
        <w:t>第二部分 部门决算情况说明</w:t>
      </w:r>
    </w:p>
    <w:p w14:paraId="360F182D">
      <w:pPr>
        <w:widowControl/>
        <w:jc w:val="left"/>
        <w:rPr>
          <w:rFonts w:ascii="仿宋_GB2312" w:eastAsia="仿宋_GB2312"/>
          <w:sz w:val="32"/>
          <w:szCs w:val="32"/>
        </w:rPr>
      </w:pPr>
      <w:r>
        <w:rPr>
          <w:rFonts w:ascii="仿宋_GB2312" w:eastAsia="仿宋_GB2312"/>
          <w:sz w:val="32"/>
          <w:szCs w:val="32"/>
        </w:rPr>
        <w:t>一、收入支出决算总体情况说明</w:t>
      </w:r>
    </w:p>
    <w:p w14:paraId="53CAAB05">
      <w:pPr>
        <w:widowControl/>
        <w:jc w:val="left"/>
        <w:rPr>
          <w:rFonts w:ascii="仿宋_GB2312" w:eastAsia="仿宋_GB2312"/>
          <w:sz w:val="32"/>
          <w:szCs w:val="32"/>
        </w:rPr>
      </w:pPr>
      <w:r>
        <w:rPr>
          <w:rFonts w:ascii="仿宋_GB2312" w:eastAsia="仿宋_GB2312"/>
          <w:sz w:val="32"/>
          <w:szCs w:val="32"/>
        </w:rPr>
        <w:t>二、收入决算情况说明</w:t>
      </w:r>
    </w:p>
    <w:p w14:paraId="2C27F2F6">
      <w:pPr>
        <w:widowControl/>
        <w:jc w:val="left"/>
        <w:rPr>
          <w:rFonts w:ascii="仿宋_GB2312" w:eastAsia="仿宋_GB2312"/>
          <w:sz w:val="32"/>
          <w:szCs w:val="32"/>
        </w:rPr>
      </w:pPr>
      <w:r>
        <w:rPr>
          <w:rFonts w:ascii="仿宋_GB2312" w:eastAsia="仿宋_GB2312"/>
          <w:sz w:val="32"/>
          <w:szCs w:val="32"/>
        </w:rPr>
        <w:t>三、支出决算情况说明</w:t>
      </w:r>
    </w:p>
    <w:p w14:paraId="20C3DE85">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20E273F3">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2FF28A9E">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206DD3D3">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6EE3D5D8">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5F5AC5B2">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14:paraId="76FF1D92">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3DC0434B">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429A69F0">
      <w:pPr>
        <w:widowControl/>
        <w:jc w:val="left"/>
        <w:rPr>
          <w:rFonts w:ascii="仿宋_GB2312" w:eastAsia="仿宋_GB2312"/>
          <w:sz w:val="32"/>
          <w:szCs w:val="32"/>
        </w:rPr>
      </w:pPr>
      <w:r>
        <w:rPr>
          <w:rFonts w:ascii="仿宋_GB2312" w:eastAsia="仿宋_GB2312"/>
          <w:sz w:val="32"/>
          <w:szCs w:val="32"/>
        </w:rPr>
        <w:t>九、财政拨款“三公”经费支出决算情况说明</w:t>
      </w:r>
    </w:p>
    <w:p w14:paraId="48A05A7E">
      <w:pPr>
        <w:widowControl/>
        <w:jc w:val="left"/>
        <w:rPr>
          <w:rFonts w:ascii="仿宋_GB2312" w:eastAsia="仿宋_GB2312"/>
          <w:sz w:val="32"/>
          <w:szCs w:val="32"/>
        </w:rPr>
      </w:pPr>
      <w:r>
        <w:rPr>
          <w:rFonts w:ascii="仿宋_GB2312" w:eastAsia="仿宋_GB2312"/>
          <w:sz w:val="32"/>
          <w:szCs w:val="32"/>
        </w:rPr>
        <w:t>​十、其他重要事项的情况说明</w:t>
      </w:r>
    </w:p>
    <w:p w14:paraId="689900B8">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28B9EBA7">
      <w:pPr>
        <w:widowControl/>
        <w:jc w:val="left"/>
        <w:rPr>
          <w:rFonts w:ascii="仿宋_GB2312" w:eastAsia="仿宋_GB2312"/>
          <w:sz w:val="32"/>
          <w:szCs w:val="32"/>
        </w:rPr>
      </w:pPr>
      <w:r>
        <w:rPr>
          <w:rFonts w:ascii="仿宋_GB2312" w:eastAsia="仿宋_GB2312"/>
          <w:sz w:val="32"/>
          <w:szCs w:val="32"/>
        </w:rPr>
        <w:t>（二）政府采购情况</w:t>
      </w:r>
    </w:p>
    <w:p w14:paraId="641F747F">
      <w:pPr>
        <w:widowControl/>
        <w:jc w:val="left"/>
        <w:rPr>
          <w:rFonts w:ascii="仿宋_GB2312" w:eastAsia="仿宋_GB2312"/>
          <w:sz w:val="32"/>
          <w:szCs w:val="32"/>
        </w:rPr>
      </w:pPr>
      <w:r>
        <w:rPr>
          <w:rFonts w:ascii="仿宋_GB2312" w:eastAsia="仿宋_GB2312"/>
          <w:sz w:val="32"/>
          <w:szCs w:val="32"/>
        </w:rPr>
        <w:t>（三）国有资产占用情况说明</w:t>
      </w:r>
    </w:p>
    <w:p w14:paraId="1B963621">
      <w:pPr>
        <w:widowControl/>
        <w:jc w:val="left"/>
        <w:rPr>
          <w:rFonts w:ascii="仿宋_GB2312" w:eastAsia="仿宋_GB2312"/>
          <w:sz w:val="32"/>
          <w:szCs w:val="32"/>
        </w:rPr>
      </w:pPr>
      <w:r>
        <w:rPr>
          <w:rFonts w:ascii="仿宋_GB2312" w:eastAsia="仿宋_GB2312"/>
          <w:sz w:val="32"/>
          <w:szCs w:val="32"/>
        </w:rPr>
        <w:t>十一、预算绩效的情况说明</w:t>
      </w:r>
    </w:p>
    <w:p w14:paraId="454F3E60">
      <w:pPr>
        <w:widowControl/>
        <w:jc w:val="left"/>
        <w:rPr>
          <w:rFonts w:ascii="仿宋_GB2312" w:eastAsia="仿宋_GB2312"/>
          <w:sz w:val="32"/>
          <w:szCs w:val="32"/>
        </w:rPr>
      </w:pPr>
      <w:r>
        <w:rPr>
          <w:rFonts w:ascii="仿宋_GB2312" w:eastAsia="仿宋_GB2312"/>
          <w:sz w:val="32"/>
          <w:szCs w:val="32"/>
        </w:rPr>
        <w:t>十二、其他需说明的事项</w:t>
      </w:r>
    </w:p>
    <w:p w14:paraId="4DE1F4DE">
      <w:pPr>
        <w:widowControl/>
        <w:jc w:val="left"/>
        <w:rPr>
          <w:rFonts w:ascii="仿宋_GB2312" w:eastAsia="仿宋_GB2312"/>
          <w:sz w:val="32"/>
          <w:szCs w:val="32"/>
        </w:rPr>
      </w:pPr>
      <w:r>
        <w:rPr>
          <w:rFonts w:ascii="仿宋_GB2312" w:eastAsia="仿宋_GB2312"/>
          <w:b/>
          <w:sz w:val="32"/>
          <w:szCs w:val="32"/>
        </w:rPr>
        <w:t>第三部分 专业名词解释</w:t>
      </w:r>
    </w:p>
    <w:p w14:paraId="0018CF54">
      <w:pPr>
        <w:widowControl/>
        <w:jc w:val="left"/>
        <w:rPr>
          <w:rFonts w:ascii="仿宋_GB2312" w:eastAsia="仿宋_GB2312"/>
          <w:sz w:val="32"/>
          <w:szCs w:val="32"/>
        </w:rPr>
      </w:pPr>
      <w:r>
        <w:rPr>
          <w:rFonts w:ascii="仿宋_GB2312" w:eastAsia="仿宋_GB2312"/>
          <w:b/>
          <w:sz w:val="32"/>
          <w:szCs w:val="32"/>
        </w:rPr>
        <w:t>第四部分 部门决算报表（见附表）</w:t>
      </w:r>
    </w:p>
    <w:p w14:paraId="667AD53C">
      <w:pPr>
        <w:widowControl/>
        <w:jc w:val="left"/>
        <w:rPr>
          <w:rFonts w:ascii="仿宋_GB2312" w:eastAsia="仿宋_GB2312"/>
          <w:sz w:val="32"/>
          <w:szCs w:val="32"/>
        </w:rPr>
      </w:pPr>
      <w:r>
        <w:rPr>
          <w:rFonts w:ascii="仿宋_GB2312" w:eastAsia="仿宋_GB2312"/>
          <w:sz w:val="32"/>
          <w:szCs w:val="32"/>
        </w:rPr>
        <w:t>一、《收入支出决算总表》</w:t>
      </w:r>
    </w:p>
    <w:p w14:paraId="4A2DBC30">
      <w:pPr>
        <w:widowControl/>
        <w:jc w:val="left"/>
        <w:rPr>
          <w:rFonts w:ascii="仿宋_GB2312" w:eastAsia="仿宋_GB2312"/>
          <w:sz w:val="32"/>
          <w:szCs w:val="32"/>
        </w:rPr>
      </w:pPr>
      <w:r>
        <w:rPr>
          <w:rFonts w:ascii="仿宋_GB2312" w:eastAsia="仿宋_GB2312"/>
          <w:sz w:val="32"/>
          <w:szCs w:val="32"/>
        </w:rPr>
        <w:t>二、《收入决算表》</w:t>
      </w:r>
    </w:p>
    <w:p w14:paraId="2C514F2E">
      <w:pPr>
        <w:widowControl/>
        <w:jc w:val="left"/>
        <w:rPr>
          <w:rFonts w:ascii="仿宋_GB2312" w:eastAsia="仿宋_GB2312"/>
          <w:sz w:val="32"/>
          <w:szCs w:val="32"/>
        </w:rPr>
      </w:pPr>
      <w:r>
        <w:rPr>
          <w:rFonts w:ascii="仿宋_GB2312" w:eastAsia="仿宋_GB2312"/>
          <w:sz w:val="32"/>
          <w:szCs w:val="32"/>
        </w:rPr>
        <w:t>三、《支出决算表》</w:t>
      </w:r>
    </w:p>
    <w:p w14:paraId="2184D7BA">
      <w:pPr>
        <w:widowControl/>
        <w:jc w:val="left"/>
        <w:rPr>
          <w:rFonts w:ascii="仿宋_GB2312" w:eastAsia="仿宋_GB2312"/>
          <w:sz w:val="32"/>
          <w:szCs w:val="32"/>
        </w:rPr>
      </w:pPr>
      <w:r>
        <w:rPr>
          <w:rFonts w:ascii="仿宋_GB2312" w:eastAsia="仿宋_GB2312"/>
          <w:sz w:val="32"/>
          <w:szCs w:val="32"/>
        </w:rPr>
        <w:t>四、《财政拨款收入支出决算总表》</w:t>
      </w:r>
    </w:p>
    <w:p w14:paraId="28DE9EFE">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217512BC">
      <w:pPr>
        <w:widowControl/>
        <w:jc w:val="left"/>
        <w:rPr>
          <w:rFonts w:ascii="仿宋_GB2312" w:eastAsia="仿宋_GB2312"/>
          <w:sz w:val="32"/>
          <w:szCs w:val="32"/>
        </w:rPr>
      </w:pPr>
      <w:r>
        <w:rPr>
          <w:rFonts w:ascii="仿宋_GB2312" w:eastAsia="仿宋_GB2312"/>
          <w:sz w:val="32"/>
          <w:szCs w:val="32"/>
        </w:rPr>
        <w:t>六、《一般公共预算财政拨款基本支出决算表》</w:t>
      </w:r>
    </w:p>
    <w:p w14:paraId="1FEB5F82">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434B1767">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269B698C">
      <w:pPr>
        <w:widowControl/>
        <w:jc w:val="left"/>
        <w:rPr>
          <w:rFonts w:ascii="仿宋_GB2312" w:eastAsia="仿宋_GB2312"/>
          <w:sz w:val="32"/>
          <w:szCs w:val="32"/>
        </w:rPr>
      </w:pPr>
      <w:r>
        <w:rPr>
          <w:rFonts w:ascii="仿宋_GB2312" w:eastAsia="仿宋_GB2312"/>
          <w:sz w:val="32"/>
          <w:szCs w:val="32"/>
        </w:rPr>
        <w:t>九、《财政拨款“三公”经费支出决算表》</w:t>
      </w:r>
    </w:p>
    <w:p w14:paraId="3032AFA9">
      <w:pPr>
        <w:widowControl/>
      </w:pPr>
      <w:r>
        <w:rPr>
          <w:sz w:val="0"/>
          <w:szCs w:val="0"/>
        </w:rPr>
        <w:br w:type="page"/>
      </w:r>
    </w:p>
    <w:p w14:paraId="01D16A5F">
      <w:pPr>
        <w:widowControl/>
        <w:jc w:val="center"/>
        <w:outlineLvl w:val="0"/>
        <w:rPr>
          <w:rFonts w:ascii="黑体" w:eastAsia="黑体"/>
          <w:sz w:val="32"/>
          <w:szCs w:val="32"/>
        </w:rPr>
      </w:pPr>
      <w:r>
        <w:rPr>
          <w:rFonts w:ascii="黑体" w:eastAsia="黑体"/>
          <w:sz w:val="32"/>
          <w:szCs w:val="32"/>
        </w:rPr>
        <w:t>第一部分 单位概况</w:t>
      </w:r>
    </w:p>
    <w:p w14:paraId="27AF4849">
      <w:pPr>
        <w:widowControl/>
        <w:ind w:firstLine="640" w:firstLineChars="200"/>
        <w:jc w:val="left"/>
        <w:outlineLvl w:val="1"/>
        <w:rPr>
          <w:rFonts w:ascii="黑体" w:eastAsia="黑体"/>
          <w:sz w:val="32"/>
          <w:szCs w:val="32"/>
        </w:rPr>
      </w:pPr>
      <w:r>
        <w:rPr>
          <w:rFonts w:ascii="黑体" w:eastAsia="黑体"/>
          <w:sz w:val="32"/>
          <w:szCs w:val="32"/>
        </w:rPr>
        <w:t> 一、主要职能</w:t>
      </w:r>
    </w:p>
    <w:p w14:paraId="3D7C3945">
      <w:pPr>
        <w:widowControl/>
        <w:ind w:firstLine="640" w:firstLineChars="200"/>
        <w:rPr>
          <w:rFonts w:ascii="仿宋_GB2312" w:eastAsia="仿宋_GB2312"/>
          <w:sz w:val="32"/>
          <w:szCs w:val="32"/>
        </w:rPr>
      </w:pPr>
      <w:r>
        <w:rPr>
          <w:rFonts w:ascii="仿宋_GB2312" w:eastAsia="仿宋_GB2312"/>
          <w:sz w:val="32"/>
          <w:szCs w:val="32"/>
        </w:rPr>
        <w:t>1、全面贯彻党和国家的路线、方针、政策、法规，全面实施素质教育，认真执行上级党委和教育行政部门的指示，依法治校，努力提高学校的办学水平和办学效益；</w:t>
      </w:r>
    </w:p>
    <w:p w14:paraId="5C0EC8CA">
      <w:pPr>
        <w:widowControl/>
        <w:ind w:firstLine="640" w:firstLineChars="200"/>
        <w:rPr>
          <w:rFonts w:ascii="仿宋_GB2312" w:eastAsia="仿宋_GB2312"/>
          <w:sz w:val="32"/>
          <w:szCs w:val="32"/>
        </w:rPr>
      </w:pPr>
      <w:r>
        <w:rPr>
          <w:rFonts w:ascii="仿宋_GB2312" w:eastAsia="仿宋_GB2312"/>
          <w:sz w:val="32"/>
          <w:szCs w:val="32"/>
        </w:rPr>
        <w:t>2、全面规划，统一安排学校的各项工作，组织制定和实施学校发展规划、工作计划；</w:t>
      </w:r>
    </w:p>
    <w:p w14:paraId="20BE3DCD">
      <w:pPr>
        <w:widowControl/>
        <w:ind w:firstLine="640" w:firstLineChars="200"/>
        <w:rPr>
          <w:rFonts w:ascii="仿宋_GB2312" w:eastAsia="仿宋_GB2312"/>
          <w:sz w:val="32"/>
          <w:szCs w:val="32"/>
        </w:rPr>
      </w:pPr>
      <w:r>
        <w:rPr>
          <w:rFonts w:ascii="仿宋_GB2312" w:eastAsia="仿宋_GB2312"/>
          <w:sz w:val="32"/>
          <w:szCs w:val="32"/>
        </w:rPr>
        <w:t>3、负责健全学校行政指挥系统，健全各项规章制度，保证学校正常的工作秩序；</w:t>
      </w:r>
    </w:p>
    <w:p w14:paraId="305726B1">
      <w:pPr>
        <w:widowControl/>
        <w:ind w:firstLine="640" w:firstLineChars="200"/>
        <w:rPr>
          <w:rFonts w:ascii="仿宋_GB2312" w:eastAsia="仿宋_GB2312"/>
          <w:sz w:val="32"/>
          <w:szCs w:val="32"/>
        </w:rPr>
      </w:pPr>
      <w:r>
        <w:rPr>
          <w:rFonts w:ascii="仿宋_GB2312" w:eastAsia="仿宋_GB2312"/>
          <w:sz w:val="32"/>
          <w:szCs w:val="32"/>
        </w:rPr>
        <w:t>4、按照学校经费使用计划，负责教育教学及办公用品、维修设备的采购、发放和管理工作；</w:t>
      </w:r>
    </w:p>
    <w:p w14:paraId="2C582BBD">
      <w:pPr>
        <w:widowControl/>
        <w:ind w:firstLine="640" w:firstLineChars="200"/>
        <w:rPr>
          <w:rFonts w:ascii="仿宋_GB2312" w:eastAsia="仿宋_GB2312"/>
          <w:sz w:val="32"/>
          <w:szCs w:val="32"/>
        </w:rPr>
      </w:pPr>
      <w:r>
        <w:rPr>
          <w:rFonts w:ascii="仿宋_GB2312" w:eastAsia="仿宋_GB2312"/>
          <w:sz w:val="32"/>
          <w:szCs w:val="32"/>
        </w:rPr>
        <w:t>5、根据预算安排，拟定收支计划，并组织实施、管理和监督；</w:t>
      </w:r>
    </w:p>
    <w:p w14:paraId="7F66053E">
      <w:pPr>
        <w:widowControl/>
        <w:ind w:firstLine="640" w:firstLineChars="200"/>
        <w:rPr>
          <w:rFonts w:ascii="仿宋_GB2312" w:eastAsia="仿宋_GB2312"/>
          <w:sz w:val="32"/>
          <w:szCs w:val="32"/>
        </w:rPr>
      </w:pPr>
      <w:r>
        <w:rPr>
          <w:rFonts w:ascii="仿宋_GB2312" w:eastAsia="仿宋_GB2312"/>
          <w:sz w:val="32"/>
          <w:szCs w:val="32"/>
        </w:rPr>
        <w:t>6、规范会计行为；组织执行国家统一的会计制度和自治区相关补充规定；组织管理会计人员的业务培训。</w:t>
      </w:r>
    </w:p>
    <w:p w14:paraId="6109B163">
      <w:pPr>
        <w:widowControl/>
        <w:ind w:firstLine="640" w:firstLineChars="200"/>
        <w:jc w:val="left"/>
        <w:outlineLvl w:val="1"/>
        <w:rPr>
          <w:rFonts w:ascii="黑体" w:eastAsia="黑体"/>
          <w:sz w:val="32"/>
          <w:szCs w:val="32"/>
        </w:rPr>
      </w:pPr>
      <w:r>
        <w:rPr>
          <w:rFonts w:ascii="黑体" w:eastAsia="黑体"/>
          <w:sz w:val="32"/>
          <w:szCs w:val="32"/>
        </w:rPr>
        <w:t>二、机构设置及人员情况</w:t>
      </w:r>
    </w:p>
    <w:p w14:paraId="5589D5E5">
      <w:pPr>
        <w:widowControl/>
        <w:ind w:firstLine="640" w:firstLineChars="200"/>
        <w:rPr>
          <w:rFonts w:ascii="仿宋_GB2312" w:eastAsia="仿宋_GB2312"/>
          <w:sz w:val="32"/>
          <w:szCs w:val="32"/>
        </w:rPr>
      </w:pPr>
      <w:r>
        <w:rPr>
          <w:rFonts w:ascii="仿宋_GB2312" w:eastAsia="仿宋_GB2312"/>
          <w:sz w:val="32"/>
          <w:szCs w:val="32"/>
        </w:rPr>
        <w:t>乌鲁木齐市第七十九中学2024年度，实有人数196人，其中：在职人员110人，增加3人；离休人员0人，较上年无变化；退休人员86人，增加2人。</w:t>
      </w:r>
    </w:p>
    <w:p w14:paraId="2AB2CE5F">
      <w:pPr>
        <w:widowControl/>
        <w:ind w:firstLine="640" w:firstLineChars="200"/>
        <w:rPr>
          <w:rFonts w:ascii="仿宋_GB2312" w:eastAsia="仿宋_GB2312"/>
          <w:sz w:val="32"/>
          <w:szCs w:val="32"/>
        </w:rPr>
      </w:pPr>
      <w:r>
        <w:rPr>
          <w:rFonts w:ascii="仿宋_GB2312" w:eastAsia="仿宋_GB2312"/>
          <w:sz w:val="32"/>
          <w:szCs w:val="32"/>
        </w:rPr>
        <w:t>乌鲁木齐市第七十九中学无下属预算单位，下设5个</w:t>
      </w:r>
      <w:r>
        <w:rPr>
          <w:rFonts w:hint="eastAsia" w:ascii="仿宋_GB2312" w:eastAsia="仿宋_GB2312"/>
          <w:sz w:val="32"/>
          <w:szCs w:val="32"/>
        </w:rPr>
        <w:t>科室</w:t>
      </w:r>
      <w:r>
        <w:rPr>
          <w:rFonts w:ascii="仿宋_GB2312" w:eastAsia="仿宋_GB2312"/>
          <w:sz w:val="32"/>
          <w:szCs w:val="32"/>
        </w:rPr>
        <w:t>，分别是：党政办</w:t>
      </w:r>
      <w:r>
        <w:rPr>
          <w:rFonts w:hint="eastAsia" w:ascii="仿宋_GB2312" w:eastAsia="仿宋_GB2312"/>
          <w:sz w:val="32"/>
          <w:szCs w:val="32"/>
        </w:rPr>
        <w:t>、</w:t>
      </w:r>
      <w:r>
        <w:rPr>
          <w:rFonts w:ascii="仿宋_GB2312" w:eastAsia="仿宋_GB2312"/>
          <w:sz w:val="32"/>
          <w:szCs w:val="32"/>
        </w:rPr>
        <w:t>总务处</w:t>
      </w:r>
      <w:r>
        <w:rPr>
          <w:rFonts w:hint="eastAsia" w:ascii="仿宋_GB2312" w:eastAsia="仿宋_GB2312"/>
          <w:sz w:val="32"/>
          <w:szCs w:val="32"/>
        </w:rPr>
        <w:t>、</w:t>
      </w:r>
      <w:r>
        <w:rPr>
          <w:rFonts w:ascii="仿宋_GB2312" w:eastAsia="仿宋_GB2312"/>
          <w:sz w:val="32"/>
          <w:szCs w:val="32"/>
        </w:rPr>
        <w:t>教务处</w:t>
      </w:r>
      <w:r>
        <w:rPr>
          <w:rFonts w:hint="eastAsia" w:ascii="仿宋_GB2312" w:eastAsia="仿宋_GB2312"/>
          <w:sz w:val="32"/>
          <w:szCs w:val="32"/>
        </w:rPr>
        <w:t>、</w:t>
      </w:r>
      <w:r>
        <w:rPr>
          <w:rFonts w:ascii="仿宋_GB2312" w:eastAsia="仿宋_GB2312"/>
          <w:sz w:val="32"/>
          <w:szCs w:val="32"/>
        </w:rPr>
        <w:t>财务处</w:t>
      </w:r>
      <w:r>
        <w:rPr>
          <w:rFonts w:hint="eastAsia" w:ascii="仿宋_GB2312" w:eastAsia="仿宋_GB2312"/>
          <w:sz w:val="32"/>
          <w:szCs w:val="32"/>
        </w:rPr>
        <w:t>、</w:t>
      </w:r>
      <w:r>
        <w:rPr>
          <w:rFonts w:ascii="仿宋_GB2312" w:eastAsia="仿宋_GB2312"/>
          <w:sz w:val="32"/>
          <w:szCs w:val="32"/>
        </w:rPr>
        <w:t>安全办。</w:t>
      </w:r>
    </w:p>
    <w:p w14:paraId="78328B28">
      <w:pPr>
        <w:widowControl/>
      </w:pPr>
      <w:r>
        <w:rPr>
          <w:sz w:val="0"/>
          <w:szCs w:val="0"/>
        </w:rPr>
        <w:br w:type="page"/>
      </w:r>
    </w:p>
    <w:p w14:paraId="144B6842">
      <w:pPr>
        <w:widowControl/>
        <w:jc w:val="center"/>
        <w:outlineLvl w:val="0"/>
        <w:rPr>
          <w:rFonts w:ascii="黑体" w:eastAsia="黑体"/>
          <w:sz w:val="32"/>
          <w:szCs w:val="32"/>
        </w:rPr>
      </w:pPr>
      <w:r>
        <w:rPr>
          <w:rFonts w:ascii="黑体" w:eastAsia="黑体"/>
          <w:sz w:val="32"/>
          <w:szCs w:val="32"/>
        </w:rPr>
        <w:t>第二部分 部门决算情况说明</w:t>
      </w:r>
    </w:p>
    <w:p w14:paraId="65C8C5E3">
      <w:pPr>
        <w:widowControl/>
        <w:ind w:firstLine="640" w:firstLineChars="200"/>
        <w:jc w:val="left"/>
        <w:outlineLvl w:val="1"/>
        <w:rPr>
          <w:rFonts w:ascii="黑体" w:eastAsia="黑体"/>
          <w:sz w:val="32"/>
          <w:szCs w:val="32"/>
        </w:rPr>
      </w:pPr>
      <w:r>
        <w:rPr>
          <w:rFonts w:ascii="黑体" w:eastAsia="黑体"/>
          <w:sz w:val="32"/>
          <w:szCs w:val="32"/>
        </w:rPr>
        <w:t>一、收入支出决算总体情况说明</w:t>
      </w:r>
    </w:p>
    <w:p w14:paraId="2A560F08">
      <w:pPr>
        <w:widowControl/>
        <w:ind w:firstLine="640" w:firstLineChars="200"/>
        <w:rPr>
          <w:rFonts w:ascii="仿宋_GB2312" w:eastAsia="仿宋_GB2312"/>
          <w:sz w:val="32"/>
          <w:szCs w:val="32"/>
        </w:rPr>
      </w:pPr>
      <w:r>
        <w:rPr>
          <w:rFonts w:ascii="仿宋_GB2312" w:eastAsia="仿宋_GB2312"/>
          <w:sz w:val="32"/>
          <w:szCs w:val="32"/>
        </w:rPr>
        <w:t>2024年度收入总计2,392.71万元，其中：本年收入合计2,387.73万元，使用非财政拨款结余（含专用结余）0.00万元，年初结转和结余4.98万元。</w:t>
      </w:r>
    </w:p>
    <w:p w14:paraId="1E58F488">
      <w:pPr>
        <w:widowControl/>
        <w:ind w:firstLine="640" w:firstLineChars="200"/>
        <w:rPr>
          <w:rFonts w:ascii="仿宋_GB2312" w:eastAsia="仿宋_GB2312"/>
          <w:sz w:val="32"/>
          <w:szCs w:val="32"/>
        </w:rPr>
      </w:pPr>
      <w:r>
        <w:rPr>
          <w:rFonts w:ascii="仿宋_GB2312" w:eastAsia="仿宋_GB2312"/>
          <w:sz w:val="32"/>
          <w:szCs w:val="32"/>
        </w:rPr>
        <w:t>2024年度支出总计2,392.71万元，其中：本年支出合计2,316.20万元，结余分配0.00万元，年末结转和结余76.51万元。</w:t>
      </w:r>
    </w:p>
    <w:p w14:paraId="55D647B0">
      <w:pPr>
        <w:widowControl/>
        <w:ind w:firstLine="640" w:firstLineChars="200"/>
        <w:rPr>
          <w:rFonts w:ascii="仿宋_GB2312" w:eastAsia="仿宋_GB2312"/>
          <w:sz w:val="32"/>
          <w:szCs w:val="32"/>
        </w:rPr>
      </w:pPr>
      <w:r>
        <w:rPr>
          <w:rFonts w:ascii="仿宋_GB2312" w:eastAsia="仿宋_GB2312"/>
          <w:sz w:val="32"/>
          <w:szCs w:val="32"/>
        </w:rPr>
        <w:t>收入支出总体与上年相比，减少16.22万元，下降0.67%，主要原因是：</w:t>
      </w:r>
      <w:r>
        <w:rPr>
          <w:rFonts w:hint="eastAsia" w:ascii="仿宋_GB2312" w:eastAsia="仿宋_GB2312"/>
          <w:sz w:val="32"/>
          <w:szCs w:val="32"/>
        </w:rPr>
        <w:t>城乡义务教育经费保障机制-公用经费补助、代课教师经费等项目经费、南疆支教生活补助经费减少。</w:t>
      </w:r>
    </w:p>
    <w:p w14:paraId="1916B04B">
      <w:pPr>
        <w:widowControl/>
        <w:ind w:firstLine="640" w:firstLineChars="200"/>
        <w:jc w:val="left"/>
        <w:outlineLvl w:val="1"/>
        <w:rPr>
          <w:rFonts w:ascii="黑体" w:eastAsia="黑体"/>
          <w:sz w:val="32"/>
          <w:szCs w:val="32"/>
        </w:rPr>
      </w:pPr>
      <w:r>
        <w:rPr>
          <w:rFonts w:ascii="黑体" w:eastAsia="黑体"/>
          <w:sz w:val="32"/>
          <w:szCs w:val="32"/>
        </w:rPr>
        <w:t>二、收入决算情况说明</w:t>
      </w:r>
    </w:p>
    <w:p w14:paraId="0C9FE8DD">
      <w:pPr>
        <w:widowControl/>
        <w:ind w:firstLine="640" w:firstLineChars="200"/>
        <w:rPr>
          <w:rFonts w:ascii="仿宋_GB2312" w:eastAsia="仿宋_GB2312"/>
          <w:sz w:val="32"/>
          <w:szCs w:val="32"/>
        </w:rPr>
      </w:pPr>
      <w:r>
        <w:rPr>
          <w:rFonts w:ascii="仿宋_GB2312" w:eastAsia="仿宋_GB2312"/>
          <w:sz w:val="32"/>
          <w:szCs w:val="32"/>
        </w:rPr>
        <w:t>本年收入2,387.73万元，其中：财政拨款收入2,247.34万元,占94.12%；上级补助收入0.00万元,占0.00%；事业收入0.00万元，占0.00%；经营收入0.00万元,占0.00%；附属单位上缴收入0.00万元，占0.00%；其他收入140.39万元，占5.88%。</w:t>
      </w:r>
    </w:p>
    <w:p w14:paraId="34FA7895">
      <w:pPr>
        <w:widowControl/>
        <w:ind w:firstLine="640" w:firstLineChars="200"/>
        <w:jc w:val="left"/>
        <w:outlineLvl w:val="1"/>
        <w:rPr>
          <w:rFonts w:ascii="黑体" w:eastAsia="黑体"/>
          <w:sz w:val="32"/>
          <w:szCs w:val="32"/>
        </w:rPr>
      </w:pPr>
      <w:r>
        <w:rPr>
          <w:rFonts w:ascii="黑体" w:eastAsia="黑体"/>
          <w:sz w:val="32"/>
          <w:szCs w:val="32"/>
        </w:rPr>
        <w:t>三、支出决算情况说明</w:t>
      </w:r>
    </w:p>
    <w:p w14:paraId="7046C258">
      <w:pPr>
        <w:widowControl/>
        <w:ind w:firstLine="640" w:firstLineChars="200"/>
        <w:rPr>
          <w:rFonts w:ascii="仿宋_GB2312" w:eastAsia="仿宋_GB2312"/>
          <w:sz w:val="32"/>
          <w:szCs w:val="32"/>
        </w:rPr>
      </w:pPr>
      <w:r>
        <w:rPr>
          <w:rFonts w:ascii="仿宋_GB2312" w:eastAsia="仿宋_GB2312"/>
          <w:sz w:val="32"/>
          <w:szCs w:val="32"/>
        </w:rPr>
        <w:t>本年支出2,316.20万元，其中：基本支出1,877.38万元，占81.05%；项目支出438.82万元，占18.95%；上缴上级支出0.00万元，占0.00%；经营支出0.00万元，占0.00%；对附属单位补助支出0.00万元，占0.00%。</w:t>
      </w:r>
    </w:p>
    <w:p w14:paraId="09797D6D">
      <w:pPr>
        <w:widowControl/>
        <w:ind w:firstLine="640" w:firstLineChars="200"/>
        <w:jc w:val="left"/>
        <w:outlineLvl w:val="1"/>
        <w:rPr>
          <w:rFonts w:ascii="黑体" w:eastAsia="黑体"/>
          <w:sz w:val="32"/>
          <w:szCs w:val="32"/>
        </w:rPr>
      </w:pPr>
      <w:r>
        <w:rPr>
          <w:rFonts w:ascii="黑体" w:eastAsia="黑体"/>
          <w:sz w:val="32"/>
          <w:szCs w:val="32"/>
        </w:rPr>
        <w:t>四、财政拨款收入支出决算总体情况说明</w:t>
      </w:r>
    </w:p>
    <w:p w14:paraId="378D6FEB">
      <w:pPr>
        <w:widowControl/>
        <w:ind w:firstLine="640" w:firstLineChars="200"/>
        <w:rPr>
          <w:rFonts w:ascii="仿宋_GB2312" w:eastAsia="仿宋_GB2312"/>
          <w:sz w:val="32"/>
          <w:szCs w:val="32"/>
        </w:rPr>
      </w:pPr>
      <w:r>
        <w:rPr>
          <w:rFonts w:ascii="仿宋_GB2312" w:eastAsia="仿宋_GB2312"/>
          <w:sz w:val="32"/>
          <w:szCs w:val="32"/>
        </w:rPr>
        <w:t>2024年度财政拨款收入总计2,252.14万元，其中：年初财政拨款结转和结余4.80万元，本年财政拨款收入2,247.34万元。财政拨款支出总计2,252.14万元，其中：年末财政拨款结转和结余74.35万元，本年财政拨款支出2,177.79万元。</w:t>
      </w:r>
    </w:p>
    <w:p w14:paraId="4C8EBCDC">
      <w:pPr>
        <w:widowControl/>
        <w:ind w:firstLine="640" w:firstLineChars="200"/>
        <w:rPr>
          <w:rFonts w:ascii="仿宋_GB2312" w:eastAsia="仿宋_GB2312"/>
          <w:sz w:val="32"/>
          <w:szCs w:val="32"/>
        </w:rPr>
      </w:pPr>
      <w:r>
        <w:rPr>
          <w:rFonts w:ascii="仿宋_GB2312" w:eastAsia="仿宋_GB2312"/>
          <w:sz w:val="32"/>
          <w:szCs w:val="32"/>
        </w:rPr>
        <w:t>财政拨款收入支出总体与上年相比，减少17.96万元，下降0.79%，主要原因是：</w:t>
      </w:r>
      <w:r>
        <w:rPr>
          <w:rFonts w:hint="eastAsia" w:ascii="仿宋_GB2312" w:eastAsia="仿宋_GB2312"/>
          <w:sz w:val="32"/>
          <w:szCs w:val="32"/>
        </w:rPr>
        <w:t>城乡义务教育经费保障机制-公用经费补助、代课教师经费等项目经费、南疆支教生活补助经费减少。</w:t>
      </w:r>
      <w:r>
        <w:rPr>
          <w:rFonts w:ascii="仿宋_GB2312" w:eastAsia="仿宋_GB2312"/>
          <w:sz w:val="32"/>
          <w:szCs w:val="32"/>
        </w:rPr>
        <w:t>与年初预算相比，年初预算数2,593.63万元，决算数2,252.14万元，预决算差异率-13.17%，主要原因是：</w:t>
      </w:r>
      <w:r>
        <w:rPr>
          <w:rFonts w:hint="eastAsia" w:ascii="仿宋_GB2312" w:eastAsia="仿宋_GB2312"/>
          <w:sz w:val="32"/>
          <w:szCs w:val="32"/>
        </w:rPr>
        <w:t>较预算减少城乡义务教育经费保障机制-公用经费补助、代课教师经费等项目经费。</w:t>
      </w:r>
    </w:p>
    <w:p w14:paraId="7C3DDE30">
      <w:pPr>
        <w:widowControl/>
        <w:ind w:firstLine="640" w:firstLineChars="200"/>
        <w:jc w:val="left"/>
        <w:outlineLvl w:val="1"/>
        <w:rPr>
          <w:rFonts w:ascii="黑体" w:eastAsia="黑体"/>
          <w:sz w:val="32"/>
          <w:szCs w:val="32"/>
        </w:rPr>
      </w:pPr>
      <w:r>
        <w:rPr>
          <w:rFonts w:ascii="黑体" w:eastAsia="黑体"/>
          <w:sz w:val="32"/>
          <w:szCs w:val="32"/>
        </w:rPr>
        <w:t>五、一般公共预算财政拨款支出决算情况说明</w:t>
      </w:r>
    </w:p>
    <w:p w14:paraId="54F94716">
      <w:pPr>
        <w:widowControl/>
        <w:ind w:firstLine="640" w:firstLineChars="200"/>
        <w:jc w:val="left"/>
        <w:outlineLvl w:val="2"/>
        <w:rPr>
          <w:rFonts w:ascii="黑体" w:eastAsia="黑体"/>
          <w:sz w:val="32"/>
          <w:szCs w:val="32"/>
        </w:rPr>
      </w:pPr>
      <w:r>
        <w:rPr>
          <w:rFonts w:ascii="黑体" w:eastAsia="黑体"/>
          <w:sz w:val="32"/>
          <w:szCs w:val="32"/>
        </w:rPr>
        <w:t>（一）一般公共预算财政拨款支出决算总体情况</w:t>
      </w:r>
    </w:p>
    <w:p w14:paraId="4504D76C">
      <w:pPr>
        <w:widowControl/>
        <w:ind w:firstLine="640" w:firstLineChars="200"/>
        <w:rPr>
          <w:rFonts w:ascii="仿宋_GB2312" w:eastAsia="仿宋_GB2312"/>
          <w:sz w:val="32"/>
          <w:szCs w:val="32"/>
        </w:rPr>
      </w:pPr>
      <w:r>
        <w:rPr>
          <w:rFonts w:ascii="仿宋_GB2312" w:eastAsia="仿宋_GB2312"/>
          <w:sz w:val="32"/>
          <w:szCs w:val="32"/>
        </w:rPr>
        <w:t>2024年度一般公共预算财政拨款支出2,177.79万元，占本年支出合计的94.02%。与上年相比，减少18.17万元，下降0.83%，主要原因是：</w:t>
      </w:r>
      <w:r>
        <w:rPr>
          <w:rFonts w:hint="eastAsia" w:ascii="仿宋_GB2312" w:eastAsia="仿宋_GB2312"/>
          <w:sz w:val="32"/>
          <w:szCs w:val="32"/>
        </w:rPr>
        <w:t>城乡义务教育经费保障机制-公用经费补助、代课教师经费等项目经费、南疆支教生活补助经费减少。</w:t>
      </w:r>
      <w:r>
        <w:rPr>
          <w:rFonts w:ascii="仿宋_GB2312" w:eastAsia="仿宋_GB2312"/>
          <w:sz w:val="32"/>
          <w:szCs w:val="32"/>
        </w:rPr>
        <w:t>与年初预算相比，年初预算数2,593.63万元，决算数2,177.79万元，预决算差异率-16.03%，主要原因是：</w:t>
      </w:r>
      <w:r>
        <w:rPr>
          <w:rFonts w:hint="eastAsia" w:ascii="仿宋_GB2312" w:eastAsia="仿宋_GB2312"/>
          <w:sz w:val="32"/>
          <w:szCs w:val="32"/>
        </w:rPr>
        <w:t>较预算减少城乡义务教育经费保障机制-公用经费补助、代课教师经费等项目经费。</w:t>
      </w:r>
    </w:p>
    <w:p w14:paraId="75F9986A">
      <w:pPr>
        <w:widowControl/>
        <w:ind w:firstLine="640" w:firstLineChars="200"/>
        <w:jc w:val="left"/>
        <w:outlineLvl w:val="2"/>
        <w:rPr>
          <w:rFonts w:ascii="黑体" w:eastAsia="黑体"/>
          <w:sz w:val="32"/>
          <w:szCs w:val="32"/>
        </w:rPr>
      </w:pPr>
      <w:r>
        <w:rPr>
          <w:rFonts w:ascii="黑体" w:eastAsia="黑体"/>
          <w:sz w:val="32"/>
          <w:szCs w:val="32"/>
        </w:rPr>
        <w:t>（二）一般公共预算财政拨款支出决算结构情况</w:t>
      </w:r>
    </w:p>
    <w:p w14:paraId="77DE0E76">
      <w:pPr>
        <w:widowControl/>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教育支出（类）2,177.79万元，占100.00%。</w:t>
      </w:r>
    </w:p>
    <w:p w14:paraId="2995E450">
      <w:pPr>
        <w:widowControl/>
        <w:ind w:firstLine="640" w:firstLineChars="200"/>
        <w:jc w:val="left"/>
        <w:outlineLvl w:val="2"/>
        <w:rPr>
          <w:rFonts w:ascii="黑体" w:eastAsia="黑体"/>
          <w:sz w:val="32"/>
          <w:szCs w:val="32"/>
        </w:rPr>
      </w:pPr>
      <w:r>
        <w:rPr>
          <w:rFonts w:ascii="黑体" w:eastAsia="黑体"/>
          <w:sz w:val="32"/>
          <w:szCs w:val="32"/>
        </w:rPr>
        <w:t>（三）一般公共预算财政拨款支出决算具体情况</w:t>
      </w:r>
    </w:p>
    <w:p w14:paraId="26D9BDCF">
      <w:pPr>
        <w:widowControl/>
        <w:ind w:firstLine="640" w:firstLineChars="200"/>
        <w:rPr>
          <w:rFonts w:ascii="仿宋_GB2312" w:eastAsia="仿宋_GB2312"/>
          <w:sz w:val="32"/>
          <w:szCs w:val="32"/>
        </w:rPr>
      </w:pPr>
      <w:r>
        <w:rPr>
          <w:rFonts w:ascii="仿宋_GB2312" w:eastAsia="仿宋_GB2312"/>
          <w:sz w:val="32"/>
          <w:szCs w:val="32"/>
        </w:rPr>
        <w:t>1、教育支出（类）普通教育（款）小学教育（项）：支出决算数为1,213.80万元，比上年决算减少38.19万元，下降3.05%，主要原因是：</w:t>
      </w:r>
      <w:r>
        <w:rPr>
          <w:rFonts w:hint="eastAsia" w:ascii="仿宋_GB2312" w:eastAsia="仿宋_GB2312"/>
          <w:sz w:val="32"/>
          <w:szCs w:val="32"/>
        </w:rPr>
        <w:t>城乡义务教育经费保障机制-公用经费补助、代课教师经费等项目经费减少。</w:t>
      </w:r>
    </w:p>
    <w:p w14:paraId="284A879E">
      <w:pPr>
        <w:widowControl/>
        <w:ind w:firstLine="640" w:firstLineChars="200"/>
        <w:rPr>
          <w:rFonts w:ascii="仿宋_GB2312" w:eastAsia="仿宋_GB2312"/>
          <w:sz w:val="32"/>
          <w:szCs w:val="32"/>
        </w:rPr>
      </w:pPr>
      <w:r>
        <w:rPr>
          <w:rFonts w:ascii="仿宋_GB2312" w:eastAsia="仿宋_GB2312"/>
          <w:sz w:val="32"/>
          <w:szCs w:val="32"/>
        </w:rPr>
        <w:t>2、教育支出（类）普通教育（款）初中教育（项）：支出决算数为963.99万元，比上年决算增加22.02万元，增长2.34%，主要原因是：</w:t>
      </w:r>
      <w:r>
        <w:rPr>
          <w:rFonts w:hint="eastAsia" w:ascii="仿宋_GB2312" w:eastAsia="仿宋_GB2312"/>
          <w:sz w:val="32"/>
          <w:szCs w:val="32"/>
        </w:rPr>
        <w:t>单位本年在职人员增加，基本工资、奖金等人员经费增加。</w:t>
      </w:r>
    </w:p>
    <w:p w14:paraId="26E5382B">
      <w:pPr>
        <w:widowControl/>
        <w:ind w:firstLine="640" w:firstLineChars="200"/>
        <w:rPr>
          <w:rFonts w:ascii="仿宋_GB2312" w:eastAsia="仿宋_GB2312"/>
          <w:sz w:val="32"/>
          <w:szCs w:val="32"/>
        </w:rPr>
      </w:pPr>
      <w:r>
        <w:rPr>
          <w:rFonts w:ascii="仿宋_GB2312" w:eastAsia="仿宋_GB2312"/>
          <w:sz w:val="32"/>
          <w:szCs w:val="32"/>
        </w:rPr>
        <w:t>3、教育支出（类）普通教育（款）其他普通教育支出（项）：支出决算数为0.00万元，比上年决算减少2.00万元，下降100.00%，主要原因是：</w:t>
      </w:r>
      <w:r>
        <w:rPr>
          <w:rFonts w:hint="eastAsia" w:ascii="仿宋_GB2312" w:eastAsia="仿宋_GB2312"/>
          <w:sz w:val="32"/>
          <w:szCs w:val="32"/>
        </w:rPr>
        <w:t>单位南疆支教生活补助经费较上年减少。</w:t>
      </w:r>
    </w:p>
    <w:p w14:paraId="6BB5201B">
      <w:pPr>
        <w:widowControl/>
        <w:ind w:firstLine="640" w:firstLineChars="200"/>
        <w:jc w:val="left"/>
        <w:outlineLvl w:val="1"/>
        <w:rPr>
          <w:rFonts w:ascii="黑体" w:eastAsia="黑体"/>
          <w:sz w:val="32"/>
          <w:szCs w:val="32"/>
        </w:rPr>
      </w:pPr>
      <w:r>
        <w:rPr>
          <w:rFonts w:ascii="黑体" w:eastAsia="黑体"/>
          <w:sz w:val="32"/>
          <w:szCs w:val="32"/>
        </w:rPr>
        <w:t>六、一般公共预算财政拨款基本支出决算情况说明</w:t>
      </w:r>
    </w:p>
    <w:p w14:paraId="50E1D706">
      <w:pPr>
        <w:widowControl/>
        <w:ind w:firstLine="640" w:firstLineChars="200"/>
        <w:rPr>
          <w:rFonts w:ascii="仿宋_GB2312" w:eastAsia="仿宋_GB2312"/>
          <w:sz w:val="32"/>
          <w:szCs w:val="32"/>
        </w:rPr>
      </w:pPr>
      <w:r>
        <w:rPr>
          <w:rFonts w:ascii="仿宋_GB2312" w:eastAsia="仿宋_GB2312"/>
          <w:sz w:val="32"/>
          <w:szCs w:val="32"/>
        </w:rPr>
        <w:t>2024年度一般公共预算财政拨款基本支出1,877.38万元，其中：人员经费1,859.04万元，包括：基本工资、津贴补贴、奖金、绩效工资、机关事业单位基本养老保险缴费、职工基本医疗保险缴费、公务员医疗补助缴费、其他社会保障缴费和住房公积金。</w:t>
      </w:r>
    </w:p>
    <w:p w14:paraId="7F387697">
      <w:pPr>
        <w:widowControl/>
        <w:ind w:firstLine="640" w:firstLineChars="200"/>
        <w:rPr>
          <w:rFonts w:ascii="仿宋_GB2312" w:eastAsia="仿宋_GB2312"/>
          <w:sz w:val="32"/>
          <w:szCs w:val="32"/>
        </w:rPr>
      </w:pPr>
      <w:r>
        <w:rPr>
          <w:rFonts w:ascii="仿宋_GB2312" w:eastAsia="仿宋_GB2312"/>
          <w:sz w:val="32"/>
          <w:szCs w:val="32"/>
        </w:rPr>
        <w:t>公用经费18.35万元，包括：办公费和工会经费。</w:t>
      </w:r>
    </w:p>
    <w:p w14:paraId="251F57D7">
      <w:pPr>
        <w:widowControl/>
        <w:ind w:firstLine="640" w:firstLineChars="200"/>
        <w:jc w:val="left"/>
        <w:outlineLvl w:val="1"/>
        <w:rPr>
          <w:rFonts w:ascii="黑体" w:eastAsia="黑体"/>
          <w:sz w:val="32"/>
          <w:szCs w:val="32"/>
        </w:rPr>
      </w:pPr>
      <w:r>
        <w:rPr>
          <w:rFonts w:ascii="黑体" w:eastAsia="黑体"/>
          <w:sz w:val="32"/>
          <w:szCs w:val="32"/>
        </w:rPr>
        <w:t>七、政府性基金预算财政拨款收入支出决算情况说明</w:t>
      </w:r>
    </w:p>
    <w:p w14:paraId="2E024D86">
      <w:pPr>
        <w:widowControl/>
        <w:ind w:firstLine="640" w:firstLineChars="20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1FA6D88F">
      <w:pPr>
        <w:widowControl/>
        <w:ind w:firstLine="640" w:firstLineChars="200"/>
        <w:jc w:val="left"/>
        <w:outlineLvl w:val="1"/>
        <w:rPr>
          <w:rFonts w:ascii="黑体" w:eastAsia="黑体"/>
          <w:sz w:val="32"/>
          <w:szCs w:val="32"/>
        </w:rPr>
      </w:pPr>
      <w:r>
        <w:rPr>
          <w:rFonts w:ascii="黑体" w:eastAsia="黑体"/>
          <w:sz w:val="32"/>
          <w:szCs w:val="32"/>
        </w:rPr>
        <w:t>八、国有资本经营预算财政拨款收入支出决算情况说明</w:t>
      </w:r>
    </w:p>
    <w:p w14:paraId="0275B053">
      <w:pPr>
        <w:widowControl/>
        <w:ind w:firstLine="640" w:firstLineChars="20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497B5E88">
      <w:pPr>
        <w:widowControl/>
        <w:ind w:firstLine="640" w:firstLineChars="200"/>
        <w:jc w:val="left"/>
        <w:outlineLvl w:val="1"/>
        <w:rPr>
          <w:rFonts w:ascii="黑体" w:eastAsia="黑体"/>
          <w:sz w:val="32"/>
          <w:szCs w:val="32"/>
        </w:rPr>
      </w:pPr>
      <w:r>
        <w:rPr>
          <w:rFonts w:ascii="黑体" w:eastAsia="黑体"/>
          <w:sz w:val="32"/>
          <w:szCs w:val="32"/>
        </w:rPr>
        <w:t>九、财政拨款“三公”经费支出决算情况说明</w:t>
      </w:r>
    </w:p>
    <w:p w14:paraId="06517A4C">
      <w:pPr>
        <w:widowControl/>
        <w:ind w:firstLine="640" w:firstLineChars="200"/>
        <w:jc w:val="left"/>
        <w:rPr>
          <w:rFonts w:ascii="仿宋_GB2312" w:eastAsia="仿宋_GB2312"/>
          <w:sz w:val="32"/>
          <w:szCs w:val="32"/>
        </w:rPr>
      </w:pPr>
      <w:r>
        <w:rPr>
          <w:rFonts w:ascii="仿宋_GB2312" w:eastAsia="仿宋_GB2312"/>
          <w:sz w:val="32"/>
          <w:szCs w:val="32"/>
        </w:rPr>
        <w:t>2024年度财政拨款“三公”经费支出0.00万元，与上年相比无变化，主要原因是：</w:t>
      </w:r>
      <w:r>
        <w:rPr>
          <w:rFonts w:hint="eastAsia" w:ascii="仿宋_GB2312" w:eastAsia="仿宋_GB2312"/>
          <w:sz w:val="32"/>
          <w:szCs w:val="32"/>
        </w:rPr>
        <w:t>我单位上年度与本年度均无</w:t>
      </w:r>
      <w:r>
        <w:rPr>
          <w:rFonts w:ascii="仿宋_GB2312" w:eastAsia="仿宋_GB2312"/>
          <w:sz w:val="32"/>
          <w:szCs w:val="32"/>
        </w:rPr>
        <w:t>“三公”经费。其中：因公出国（境）费支出0.00万元,占0.00%，与上年相比无变化，主要原因是：</w:t>
      </w:r>
      <w:r>
        <w:rPr>
          <w:rFonts w:hint="eastAsia" w:ascii="仿宋_GB2312" w:eastAsia="仿宋_GB2312"/>
          <w:sz w:val="32"/>
          <w:szCs w:val="32"/>
        </w:rPr>
        <w:t>我单位上年度与本年度均无因公出国（境）费</w:t>
      </w:r>
      <w:r>
        <w:rPr>
          <w:rFonts w:ascii="仿宋_GB2312" w:eastAsia="仿宋_GB2312"/>
          <w:sz w:val="32"/>
          <w:szCs w:val="32"/>
        </w:rPr>
        <w:t>；公务用车购置及运行维护费支出0.00万元，占0.00%，与上年相比无变化，主要原因是：</w:t>
      </w:r>
      <w:r>
        <w:rPr>
          <w:rFonts w:hint="eastAsia" w:ascii="仿宋_GB2312" w:eastAsia="仿宋_GB2312"/>
          <w:sz w:val="32"/>
          <w:szCs w:val="32"/>
        </w:rPr>
        <w:t>我单位上年度与本年度均无公务用车购置及运行维护费</w:t>
      </w:r>
      <w:r>
        <w:rPr>
          <w:rFonts w:ascii="仿宋_GB2312" w:eastAsia="仿宋_GB2312"/>
          <w:sz w:val="32"/>
          <w:szCs w:val="32"/>
        </w:rPr>
        <w:t>；公务接待费支出0.00万元，占0.00%，与上年相比无变化，主要原因是：</w:t>
      </w:r>
      <w:r>
        <w:rPr>
          <w:rFonts w:hint="eastAsia" w:ascii="仿宋_GB2312" w:eastAsia="仿宋_GB2312"/>
          <w:sz w:val="32"/>
          <w:szCs w:val="32"/>
        </w:rPr>
        <w:t>我单位上年度与本年度均无公务接待费</w:t>
      </w:r>
      <w:r>
        <w:rPr>
          <w:rFonts w:ascii="仿宋_GB2312" w:eastAsia="仿宋_GB2312"/>
          <w:sz w:val="32"/>
          <w:szCs w:val="32"/>
        </w:rPr>
        <w:t>。</w:t>
      </w:r>
    </w:p>
    <w:p w14:paraId="097125FB">
      <w:pPr>
        <w:widowControl/>
        <w:ind w:firstLine="640" w:firstLineChars="200"/>
        <w:jc w:val="left"/>
        <w:rPr>
          <w:rFonts w:ascii="仿宋_GB2312" w:eastAsia="仿宋_GB2312"/>
          <w:sz w:val="32"/>
          <w:szCs w:val="32"/>
        </w:rPr>
      </w:pPr>
      <w:r>
        <w:rPr>
          <w:rFonts w:ascii="仿宋_GB2312" w:eastAsia="仿宋_GB2312"/>
          <w:sz w:val="32"/>
          <w:szCs w:val="32"/>
        </w:rPr>
        <w:t>具体情况如下：</w:t>
      </w:r>
    </w:p>
    <w:p w14:paraId="69B0284C">
      <w:pPr>
        <w:widowControl/>
        <w:ind w:firstLine="640" w:firstLineChars="200"/>
        <w:rPr>
          <w:rFonts w:ascii="仿宋_GB2312" w:eastAsia="仿宋_GB2312"/>
          <w:sz w:val="32"/>
          <w:szCs w:val="32"/>
        </w:rPr>
      </w:pPr>
      <w:r>
        <w:rPr>
          <w:rFonts w:ascii="仿宋_GB2312" w:eastAsia="仿宋_GB2312"/>
          <w:sz w:val="32"/>
          <w:szCs w:val="32"/>
        </w:rPr>
        <w:t>因公出国（境）费支出0.00万元，开支内容包括单位本年无</w:t>
      </w:r>
      <w:r>
        <w:rPr>
          <w:rFonts w:hint="eastAsia" w:ascii="仿宋_GB2312" w:eastAsia="仿宋_GB2312"/>
          <w:sz w:val="32"/>
          <w:szCs w:val="32"/>
        </w:rPr>
        <w:t>因公出国（境）费</w:t>
      </w:r>
      <w:r>
        <w:rPr>
          <w:rFonts w:ascii="仿宋_GB2312" w:eastAsia="仿宋_GB2312"/>
          <w:sz w:val="32"/>
          <w:szCs w:val="32"/>
        </w:rPr>
        <w:t>。单位全年安排的因公出国（境）团组0个，因公出国（境）0人次。</w:t>
      </w:r>
    </w:p>
    <w:p w14:paraId="1E6F2395">
      <w:pPr>
        <w:widowControl/>
        <w:ind w:firstLine="640" w:firstLineChars="20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单位本年无公务用车运行维护费。公务用车购置数0辆，公务用车保有量0辆。国有资产占用情况中固定资产车辆2辆，与公务用车保有量差异原因是：</w:t>
      </w:r>
      <w:r>
        <w:rPr>
          <w:rFonts w:hint="eastAsia" w:ascii="仿宋_GB2312" w:eastAsia="仿宋_GB2312"/>
          <w:sz w:val="32"/>
          <w:szCs w:val="32"/>
        </w:rPr>
        <w:t>差异车辆为一般业务用车2辆，车辆费用未使用财政拨款公务用车运行维护费支付</w:t>
      </w:r>
      <w:r>
        <w:rPr>
          <w:rFonts w:ascii="仿宋_GB2312" w:eastAsia="仿宋_GB2312"/>
          <w:sz w:val="32"/>
          <w:szCs w:val="32"/>
        </w:rPr>
        <w:t>。</w:t>
      </w:r>
    </w:p>
    <w:p w14:paraId="386F0EC1">
      <w:pPr>
        <w:widowControl/>
        <w:ind w:firstLine="640" w:firstLineChars="200"/>
        <w:rPr>
          <w:rFonts w:ascii="仿宋_GB2312" w:eastAsia="仿宋_GB2312"/>
          <w:sz w:val="32"/>
          <w:szCs w:val="32"/>
        </w:rPr>
      </w:pPr>
      <w:r>
        <w:rPr>
          <w:rFonts w:ascii="仿宋_GB2312" w:eastAsia="仿宋_GB2312"/>
          <w:sz w:val="32"/>
          <w:szCs w:val="32"/>
        </w:rPr>
        <w:t>公务接待费0.00万元，开支内容包括单位本年无</w:t>
      </w:r>
      <w:r>
        <w:rPr>
          <w:rFonts w:hint="eastAsia" w:ascii="仿宋_GB2312" w:eastAsia="仿宋_GB2312"/>
          <w:sz w:val="32"/>
          <w:szCs w:val="32"/>
        </w:rPr>
        <w:t>公务接待费</w:t>
      </w:r>
      <w:r>
        <w:rPr>
          <w:rFonts w:ascii="仿宋_GB2312" w:eastAsia="仿宋_GB2312"/>
          <w:sz w:val="32"/>
          <w:szCs w:val="32"/>
        </w:rPr>
        <w:t>。单位全年安排的国内公务接待0批次，0人次。</w:t>
      </w:r>
    </w:p>
    <w:p w14:paraId="534239C6">
      <w:pPr>
        <w:widowControl/>
        <w:ind w:firstLine="640" w:firstLineChars="200"/>
        <w:rPr>
          <w:rFonts w:ascii="仿宋_GB2312" w:eastAsia="仿宋_GB2312"/>
          <w:sz w:val="32"/>
          <w:szCs w:val="32"/>
        </w:rPr>
      </w:pPr>
      <w:r>
        <w:rPr>
          <w:rFonts w:ascii="仿宋_GB2312" w:eastAsia="仿宋_GB2312"/>
          <w:sz w:val="32"/>
          <w:szCs w:val="32"/>
        </w:rPr>
        <w:t>与全年预算相比，财政拨款“三公”经费支出全年预算数0.00万元，决算数0.00万元，预决算差异率0.00%，主要原因是：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；公务用车运行维护费全年预算数0.00万元，决算数0.00万元，预决算差异率0.00%，主要原因是：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w:t>
      </w:r>
    </w:p>
    <w:p w14:paraId="50E5A190">
      <w:pPr>
        <w:widowControl/>
        <w:ind w:firstLine="640" w:firstLineChars="200"/>
        <w:jc w:val="left"/>
        <w:outlineLvl w:val="1"/>
        <w:rPr>
          <w:rFonts w:ascii="黑体" w:eastAsia="黑体"/>
          <w:sz w:val="32"/>
          <w:szCs w:val="32"/>
        </w:rPr>
      </w:pPr>
      <w:r>
        <w:rPr>
          <w:rFonts w:ascii="黑体" w:eastAsia="黑体"/>
          <w:sz w:val="32"/>
          <w:szCs w:val="32"/>
        </w:rPr>
        <w:t>十、其他重要事项的情况说明</w:t>
      </w:r>
    </w:p>
    <w:p w14:paraId="66F5A48F">
      <w:pPr>
        <w:widowControl/>
        <w:ind w:firstLine="640" w:firstLineChars="200"/>
        <w:jc w:val="left"/>
        <w:outlineLvl w:val="2"/>
        <w:rPr>
          <w:rFonts w:ascii="黑体" w:eastAsia="黑体"/>
          <w:sz w:val="32"/>
          <w:szCs w:val="32"/>
        </w:rPr>
      </w:pPr>
      <w:r>
        <w:rPr>
          <w:rFonts w:ascii="黑体" w:eastAsia="黑体"/>
          <w:sz w:val="32"/>
          <w:szCs w:val="32"/>
        </w:rPr>
        <w:t>（一）机关运行经费及公用经费支出情况</w:t>
      </w:r>
    </w:p>
    <w:p w14:paraId="2F7EE41C">
      <w:pPr>
        <w:widowControl/>
        <w:ind w:firstLine="640" w:firstLineChars="200"/>
        <w:rPr>
          <w:rFonts w:ascii="仿宋_GB2312" w:eastAsia="仿宋_GB2312"/>
          <w:sz w:val="32"/>
          <w:szCs w:val="32"/>
        </w:rPr>
      </w:pPr>
      <w:r>
        <w:rPr>
          <w:rFonts w:ascii="仿宋_GB2312" w:eastAsia="仿宋_GB2312"/>
          <w:sz w:val="32"/>
          <w:szCs w:val="32"/>
        </w:rPr>
        <w:t>2024年度乌鲁木齐市第七十九中学单位（事业单位）公用经费支出18.35万元，比上年减少14.73万元，下降44.53%，主要原因是：</w:t>
      </w:r>
      <w:r>
        <w:rPr>
          <w:rFonts w:hint="eastAsia" w:ascii="仿宋_GB2312" w:eastAsia="仿宋_GB2312"/>
          <w:sz w:val="32"/>
          <w:szCs w:val="32"/>
        </w:rPr>
        <w:t>单位本年</w:t>
      </w:r>
      <w:r>
        <w:rPr>
          <w:rFonts w:ascii="仿宋_GB2312" w:eastAsia="仿宋_GB2312"/>
          <w:sz w:val="32"/>
          <w:szCs w:val="32"/>
        </w:rPr>
        <w:t>劳务费</w:t>
      </w:r>
      <w:r>
        <w:rPr>
          <w:rFonts w:hint="eastAsia" w:ascii="仿宋_GB2312" w:eastAsia="仿宋_GB2312"/>
          <w:sz w:val="32"/>
          <w:szCs w:val="32"/>
        </w:rPr>
        <w:t>、工会经费、福利费等经费减少。</w:t>
      </w:r>
    </w:p>
    <w:p w14:paraId="4F48F497">
      <w:pPr>
        <w:widowControl/>
        <w:ind w:firstLine="640" w:firstLineChars="200"/>
        <w:jc w:val="left"/>
        <w:outlineLvl w:val="2"/>
        <w:rPr>
          <w:rFonts w:ascii="黑体" w:eastAsia="黑体"/>
          <w:sz w:val="32"/>
          <w:szCs w:val="32"/>
        </w:rPr>
      </w:pPr>
      <w:r>
        <w:rPr>
          <w:rFonts w:ascii="黑体" w:eastAsia="黑体"/>
          <w:sz w:val="32"/>
          <w:szCs w:val="32"/>
        </w:rPr>
        <w:t>（二）政府采购情况</w:t>
      </w:r>
    </w:p>
    <w:p w14:paraId="3582FBB9">
      <w:pPr>
        <w:widowControl/>
        <w:ind w:firstLine="640" w:firstLineChars="200"/>
        <w:rPr>
          <w:rFonts w:ascii="仿宋_GB2312" w:eastAsia="仿宋_GB2312"/>
          <w:sz w:val="32"/>
          <w:szCs w:val="32"/>
        </w:rPr>
      </w:pPr>
      <w:r>
        <w:rPr>
          <w:rFonts w:ascii="仿宋_GB2312" w:eastAsia="仿宋_GB2312"/>
          <w:sz w:val="32"/>
          <w:szCs w:val="32"/>
        </w:rPr>
        <w:t>2024年度政府采购支出总额0.00万元，其中：政府采购货物支出0.00万元、政府采购工程支出0.00万元、政府采购服务支出0.00万元。</w:t>
      </w:r>
    </w:p>
    <w:p w14:paraId="47733376">
      <w:pPr>
        <w:widowControl/>
        <w:ind w:firstLine="640" w:firstLineChars="200"/>
        <w:rPr>
          <w:rFonts w:ascii="仿宋_GB2312" w:eastAsia="仿宋_GB2312"/>
          <w:sz w:val="32"/>
          <w:szCs w:val="32"/>
        </w:rPr>
      </w:pPr>
      <w:r>
        <w:rPr>
          <w:rFonts w:ascii="仿宋_GB2312" w:eastAsia="仿宋_GB2312"/>
          <w:sz w:val="32"/>
          <w:szCs w:val="32"/>
        </w:rPr>
        <w:t>授予中小企业合同金额0.00万元，占政府采购支出总额的0.00%，其中：授予小微企业合同金额0.00万元，占政府采购支出总额的0.00%。</w:t>
      </w:r>
    </w:p>
    <w:p w14:paraId="52892DEB">
      <w:pPr>
        <w:widowControl/>
        <w:ind w:firstLine="640" w:firstLineChars="200"/>
        <w:jc w:val="left"/>
        <w:outlineLvl w:val="2"/>
        <w:rPr>
          <w:rFonts w:ascii="黑体" w:eastAsia="黑体"/>
          <w:sz w:val="32"/>
          <w:szCs w:val="32"/>
        </w:rPr>
      </w:pPr>
      <w:r>
        <w:rPr>
          <w:rFonts w:ascii="黑体" w:eastAsia="黑体"/>
          <w:sz w:val="32"/>
          <w:szCs w:val="32"/>
        </w:rPr>
        <w:t>（三）国有资产占用情况说明</w:t>
      </w:r>
    </w:p>
    <w:p w14:paraId="0166F560">
      <w:pPr>
        <w:widowControl/>
        <w:ind w:firstLine="640" w:firstLineChars="200"/>
        <w:rPr>
          <w:rFonts w:ascii="仿宋_GB2312" w:eastAsia="仿宋_GB2312"/>
          <w:sz w:val="32"/>
          <w:szCs w:val="32"/>
        </w:rPr>
      </w:pPr>
      <w:r>
        <w:rPr>
          <w:rFonts w:ascii="仿宋_GB2312" w:eastAsia="仿宋_GB2312"/>
          <w:sz w:val="32"/>
          <w:szCs w:val="32"/>
        </w:rPr>
        <w:t>截至2024年12月31日，房屋16,750.21平方米，价值3,053.77万元。车辆2辆，价值26.73万元，其中：副部（省）级及以上领导用车0辆、主要负责人用车0辆、机要通信用车0辆、应急保障用车0辆、执法执勤用车0辆、特种专业技术用车0辆、离退休干部服务用车0辆、其他用车2辆，其他用车主要是：</w:t>
      </w:r>
      <w:r>
        <w:rPr>
          <w:rFonts w:hint="eastAsia" w:ascii="仿宋_GB2312" w:eastAsia="仿宋_GB2312"/>
          <w:sz w:val="32"/>
          <w:szCs w:val="32"/>
        </w:rPr>
        <w:t>业务用车</w:t>
      </w:r>
      <w:r>
        <w:rPr>
          <w:rFonts w:ascii="仿宋_GB2312" w:eastAsia="仿宋_GB2312"/>
          <w:sz w:val="32"/>
          <w:szCs w:val="32"/>
        </w:rPr>
        <w:t>;单价100万元（含）以上设备（不含车辆）0台（套）。</w:t>
      </w:r>
    </w:p>
    <w:p w14:paraId="2FDD7418">
      <w:pPr>
        <w:widowControl/>
        <w:ind w:firstLine="640" w:firstLineChars="200"/>
        <w:jc w:val="left"/>
        <w:outlineLvl w:val="1"/>
        <w:rPr>
          <w:rFonts w:ascii="黑体" w:eastAsia="黑体"/>
          <w:sz w:val="32"/>
          <w:szCs w:val="32"/>
        </w:rPr>
      </w:pPr>
      <w:r>
        <w:rPr>
          <w:rFonts w:ascii="黑体" w:eastAsia="黑体"/>
          <w:sz w:val="32"/>
          <w:szCs w:val="32"/>
        </w:rPr>
        <w:t>十一、预算绩效的情况说明</w:t>
      </w:r>
    </w:p>
    <w:p w14:paraId="1D61B5CA">
      <w:pPr>
        <w:widowControl/>
        <w:ind w:firstLine="640" w:firstLineChars="20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w:t>
      </w:r>
      <w:r>
        <w:rPr>
          <w:rFonts w:hint="eastAsia" w:ascii="仿宋_GB2312" w:eastAsia="仿宋_GB2312"/>
          <w:sz w:val="32"/>
          <w:szCs w:val="32"/>
        </w:rPr>
        <w:t>2,392.71</w:t>
      </w:r>
      <w:r>
        <w:rPr>
          <w:rFonts w:ascii="仿宋_GB2312" w:eastAsia="仿宋_GB2312"/>
          <w:sz w:val="32"/>
          <w:szCs w:val="32"/>
        </w:rPr>
        <w:t>万元，实际执行总额</w:t>
      </w:r>
      <w:r>
        <w:rPr>
          <w:rFonts w:hint="eastAsia" w:ascii="仿宋_GB2312" w:eastAsia="仿宋_GB2312"/>
          <w:sz w:val="32"/>
          <w:szCs w:val="32"/>
        </w:rPr>
        <w:t>2,316.20</w:t>
      </w:r>
      <w:r>
        <w:rPr>
          <w:rFonts w:ascii="仿宋_GB2312" w:eastAsia="仿宋_GB2312"/>
          <w:sz w:val="32"/>
          <w:szCs w:val="32"/>
        </w:rPr>
        <w:t>万元；预算绩效评价项目5个，全年预算数369.11万元，全年执行数</w:t>
      </w:r>
      <w:r>
        <w:rPr>
          <w:rFonts w:hint="eastAsia" w:ascii="仿宋_GB2312" w:eastAsia="仿宋_GB2312"/>
          <w:sz w:val="32"/>
          <w:szCs w:val="32"/>
        </w:rPr>
        <w:t>300.41</w:t>
      </w:r>
      <w:r>
        <w:rPr>
          <w:rFonts w:ascii="仿宋_GB2312" w:eastAsia="仿宋_GB2312"/>
          <w:sz w:val="32"/>
          <w:szCs w:val="32"/>
        </w:rPr>
        <w:t>万元。</w:t>
      </w:r>
      <w:r>
        <w:rPr>
          <w:rFonts w:hint="eastAsia" w:ascii="仿宋_GB2312" w:eastAsia="仿宋_GB2312"/>
          <w:sz w:val="32"/>
          <w:szCs w:val="32"/>
        </w:rPr>
        <w:t>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sz w:val="32"/>
          <w:szCs w:val="32"/>
        </w:rPr>
        <w:t>具体附部门整体支出绩效自评表，项目支出绩效自评表和部门评价报告。</w:t>
      </w:r>
    </w:p>
    <w:p w14:paraId="0AAD1EAC">
      <w:pPr>
        <w:widowControl/>
        <w:ind w:firstLine="640" w:firstLineChars="200"/>
        <w:rPr>
          <w:rFonts w:ascii="仿宋_GB2312" w:eastAsia="仿宋_GB2312"/>
          <w:sz w:val="32"/>
          <w:szCs w:val="32"/>
        </w:rPr>
      </w:pPr>
      <w:r>
        <w:rPr>
          <w:rFonts w:ascii="仿宋_GB2312" w:eastAsia="仿宋_GB2312"/>
          <w:sz w:val="32"/>
          <w:szCs w:val="32"/>
        </w:rPr>
        <w:br w:type="page"/>
      </w:r>
    </w:p>
    <w:p w14:paraId="1800CADB">
      <w:pPr>
        <w:jc w:val="center"/>
        <w:rPr>
          <w:rFonts w:hint="eastAsia" w:ascii="宋体" w:hAnsi="宋体" w:eastAsia="宋体" w:cs="宋体"/>
          <w:b/>
          <w:bCs/>
          <w:sz w:val="28"/>
          <w:szCs w:val="28"/>
        </w:rPr>
      </w:pPr>
      <w:r>
        <w:rPr>
          <w:rFonts w:hint="eastAsia" w:ascii="宋体" w:hAnsi="宋体" w:eastAsia="宋体" w:cs="宋体"/>
          <w:b/>
          <w:bCs/>
          <w:sz w:val="28"/>
          <w:szCs w:val="28"/>
        </w:rPr>
        <w:t>部门（单位）整体支出绩效目标自评表</w:t>
      </w:r>
    </w:p>
    <w:p w14:paraId="180DB07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4"/>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5F1AF106">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315B3C09">
            <w:pPr>
              <w:widowControl/>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4FDF9562">
            <w:pPr>
              <w:widowControl/>
              <w:jc w:val="center"/>
              <w:rPr>
                <w:rFonts w:hint="eastAsia" w:ascii="宋体" w:hAnsi="宋体" w:eastAsia="宋体" w:cs="宋体"/>
                <w:b/>
                <w:bCs/>
                <w:sz w:val="18"/>
                <w:szCs w:val="18"/>
              </w:rPr>
            </w:pPr>
            <w:r>
              <w:rPr>
                <w:rFonts w:hint="eastAsia" w:ascii="宋体" w:hAnsi="宋体" w:eastAsia="宋体" w:cs="宋体"/>
                <w:b/>
                <w:bCs/>
                <w:sz w:val="18"/>
                <w:szCs w:val="18"/>
              </w:rPr>
              <w:t>乌鲁木齐市第七十九中学</w:t>
            </w:r>
          </w:p>
        </w:tc>
        <w:tc>
          <w:tcPr>
            <w:tcW w:w="284" w:type="dxa"/>
            <w:tcBorders>
              <w:top w:val="nil"/>
              <w:left w:val="nil"/>
              <w:bottom w:val="nil"/>
              <w:right w:val="nil"/>
            </w:tcBorders>
            <w:noWrap/>
            <w:vAlign w:val="center"/>
          </w:tcPr>
          <w:p w14:paraId="2C1D6364">
            <w:pPr>
              <w:widowControl/>
              <w:jc w:val="left"/>
              <w:rPr>
                <w:rFonts w:hint="eastAsia" w:ascii="宋体" w:hAnsi="宋体" w:eastAsia="宋体" w:cs="宋体"/>
                <w:b/>
                <w:bCs/>
                <w:sz w:val="18"/>
                <w:szCs w:val="18"/>
              </w:rPr>
            </w:pPr>
          </w:p>
        </w:tc>
      </w:tr>
      <w:tr w14:paraId="459CEF4F">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EE66F21">
            <w:pPr>
              <w:widowControl/>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36C241D2">
            <w:pPr>
              <w:widowControl/>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787E73FB">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3E9C5ADA">
            <w:pPr>
              <w:widowControl/>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2D129FC5">
            <w:pPr>
              <w:widowControl/>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436A12F0">
            <w:pPr>
              <w:widowControl/>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4D7B588F">
            <w:pPr>
              <w:widowControl/>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68E0A69E">
            <w:pPr>
              <w:widowControl/>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4BAA6A39">
            <w:pPr>
              <w:widowControl/>
              <w:jc w:val="center"/>
              <w:rPr>
                <w:rFonts w:hint="eastAsia" w:ascii="宋体" w:hAnsi="宋体" w:eastAsia="宋体" w:cs="宋体"/>
                <w:b/>
                <w:bCs/>
                <w:sz w:val="18"/>
                <w:szCs w:val="18"/>
              </w:rPr>
            </w:pPr>
          </w:p>
        </w:tc>
      </w:tr>
      <w:tr w14:paraId="776E500E">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B76BFD7">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6684D3D9">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555B205E">
            <w:pPr>
              <w:widowControl/>
              <w:jc w:val="center"/>
              <w:rPr>
                <w:rFonts w:hint="eastAsia" w:ascii="宋体" w:hAnsi="宋体" w:eastAsia="宋体" w:cs="宋体"/>
                <w:sz w:val="18"/>
                <w:szCs w:val="18"/>
              </w:rPr>
            </w:pPr>
            <w:r>
              <w:rPr>
                <w:rFonts w:hint="eastAsia" w:ascii="宋体" w:hAnsi="宋体" w:eastAsia="宋体" w:cs="宋体"/>
                <w:sz w:val="18"/>
                <w:szCs w:val="18"/>
              </w:rPr>
              <w:t>2,593.63</w:t>
            </w:r>
          </w:p>
        </w:tc>
        <w:tc>
          <w:tcPr>
            <w:tcW w:w="1276" w:type="dxa"/>
            <w:tcBorders>
              <w:top w:val="nil"/>
              <w:left w:val="nil"/>
              <w:bottom w:val="single" w:color="auto" w:sz="4" w:space="0"/>
              <w:right w:val="single" w:color="auto" w:sz="4" w:space="0"/>
            </w:tcBorders>
            <w:vAlign w:val="center"/>
          </w:tcPr>
          <w:p w14:paraId="345A3F8A">
            <w:pPr>
              <w:widowControl/>
              <w:jc w:val="center"/>
              <w:rPr>
                <w:rFonts w:hint="eastAsia" w:ascii="宋体" w:hAnsi="宋体" w:eastAsia="宋体" w:cs="宋体"/>
                <w:sz w:val="18"/>
                <w:szCs w:val="18"/>
              </w:rPr>
            </w:pPr>
            <w:r>
              <w:rPr>
                <w:rFonts w:hint="eastAsia" w:ascii="宋体" w:hAnsi="宋体" w:eastAsia="宋体" w:cs="宋体"/>
                <w:sz w:val="18"/>
                <w:szCs w:val="18"/>
              </w:rPr>
              <w:t>2,392.71</w:t>
            </w:r>
          </w:p>
        </w:tc>
        <w:tc>
          <w:tcPr>
            <w:tcW w:w="1701" w:type="dxa"/>
            <w:tcBorders>
              <w:top w:val="nil"/>
              <w:left w:val="nil"/>
              <w:bottom w:val="single" w:color="auto" w:sz="4" w:space="0"/>
              <w:right w:val="single" w:color="auto" w:sz="4" w:space="0"/>
            </w:tcBorders>
            <w:vAlign w:val="center"/>
          </w:tcPr>
          <w:p w14:paraId="732A3DB2">
            <w:pPr>
              <w:widowControl/>
              <w:jc w:val="center"/>
              <w:rPr>
                <w:rFonts w:hint="eastAsia" w:ascii="宋体" w:hAnsi="宋体" w:eastAsia="宋体" w:cs="宋体"/>
                <w:sz w:val="18"/>
                <w:szCs w:val="18"/>
              </w:rPr>
            </w:pPr>
            <w:r>
              <w:rPr>
                <w:rFonts w:hint="eastAsia" w:ascii="宋体" w:hAnsi="宋体" w:eastAsia="宋体" w:cs="宋体"/>
                <w:sz w:val="18"/>
                <w:szCs w:val="18"/>
              </w:rPr>
              <w:t>2,316.20</w:t>
            </w:r>
          </w:p>
        </w:tc>
        <w:tc>
          <w:tcPr>
            <w:tcW w:w="1134" w:type="dxa"/>
            <w:tcBorders>
              <w:top w:val="nil"/>
              <w:left w:val="nil"/>
              <w:bottom w:val="single" w:color="auto" w:sz="4" w:space="0"/>
              <w:right w:val="single" w:color="auto" w:sz="4" w:space="0"/>
            </w:tcBorders>
            <w:vAlign w:val="center"/>
          </w:tcPr>
          <w:p w14:paraId="2D5C3B8A">
            <w:pPr>
              <w:widowControl/>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5CE7E6B8">
            <w:pPr>
              <w:widowControl/>
              <w:jc w:val="center"/>
              <w:rPr>
                <w:rFonts w:hint="eastAsia" w:ascii="宋体" w:hAnsi="宋体" w:eastAsia="宋体" w:cs="宋体"/>
                <w:sz w:val="18"/>
                <w:szCs w:val="18"/>
              </w:rPr>
            </w:pPr>
            <w:r>
              <w:rPr>
                <w:rFonts w:hint="eastAsia" w:ascii="宋体" w:hAnsi="宋体" w:eastAsia="宋体" w:cs="宋体"/>
                <w:sz w:val="18"/>
                <w:szCs w:val="18"/>
              </w:rPr>
              <w:t>96.8%</w:t>
            </w:r>
          </w:p>
        </w:tc>
        <w:tc>
          <w:tcPr>
            <w:tcW w:w="720" w:type="dxa"/>
            <w:tcBorders>
              <w:top w:val="nil"/>
              <w:left w:val="nil"/>
              <w:bottom w:val="single" w:color="auto" w:sz="4" w:space="0"/>
              <w:right w:val="single" w:color="auto" w:sz="4" w:space="0"/>
            </w:tcBorders>
            <w:vAlign w:val="center"/>
          </w:tcPr>
          <w:p w14:paraId="0796F2A4">
            <w:pPr>
              <w:widowControl/>
              <w:jc w:val="center"/>
              <w:rPr>
                <w:rFonts w:hint="eastAsia" w:ascii="宋体" w:hAnsi="宋体" w:eastAsia="宋体" w:cs="宋体"/>
                <w:sz w:val="18"/>
                <w:szCs w:val="18"/>
              </w:rPr>
            </w:pPr>
            <w:r>
              <w:rPr>
                <w:rFonts w:hint="eastAsia" w:ascii="宋体" w:hAnsi="宋体" w:eastAsia="宋体" w:cs="宋体"/>
                <w:sz w:val="18"/>
                <w:szCs w:val="18"/>
              </w:rPr>
              <w:t>9.68</w:t>
            </w:r>
          </w:p>
        </w:tc>
        <w:tc>
          <w:tcPr>
            <w:tcW w:w="284" w:type="dxa"/>
            <w:tcBorders>
              <w:top w:val="nil"/>
              <w:left w:val="nil"/>
              <w:bottom w:val="nil"/>
              <w:right w:val="nil"/>
            </w:tcBorders>
            <w:noWrap/>
            <w:vAlign w:val="center"/>
          </w:tcPr>
          <w:p w14:paraId="437D5F1A">
            <w:pPr>
              <w:widowControl/>
              <w:jc w:val="center"/>
              <w:rPr>
                <w:rFonts w:hint="eastAsia" w:ascii="宋体" w:hAnsi="宋体" w:eastAsia="宋体" w:cs="宋体"/>
                <w:b/>
                <w:bCs/>
                <w:sz w:val="18"/>
                <w:szCs w:val="18"/>
              </w:rPr>
            </w:pPr>
          </w:p>
        </w:tc>
      </w:tr>
      <w:tr w14:paraId="30DF4639">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7692B6F">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A8EF1C1">
            <w:pPr>
              <w:widowControl/>
              <w:jc w:val="center"/>
              <w:rPr>
                <w:rFonts w:hint="eastAsia" w:ascii="宋体" w:hAnsi="宋体" w:eastAsia="宋体" w:cs="宋体"/>
                <w:b/>
                <w:bCs/>
                <w:sz w:val="18"/>
                <w:szCs w:val="18"/>
              </w:rPr>
            </w:pPr>
            <w:r>
              <w:rPr>
                <w:rFonts w:hint="eastAsia" w:ascii="宋体" w:hAnsi="宋体" w:eastAsia="宋体" w:cs="宋体"/>
                <w:b/>
                <w:bCs/>
                <w:sz w:val="18"/>
                <w:szCs w:val="18"/>
              </w:rPr>
              <w:t>其中:上级资金（万元）</w:t>
            </w:r>
          </w:p>
        </w:tc>
        <w:tc>
          <w:tcPr>
            <w:tcW w:w="1418" w:type="dxa"/>
            <w:tcBorders>
              <w:top w:val="nil"/>
              <w:left w:val="nil"/>
              <w:bottom w:val="single" w:color="auto" w:sz="4" w:space="0"/>
              <w:right w:val="single" w:color="auto" w:sz="4" w:space="0"/>
            </w:tcBorders>
            <w:vAlign w:val="center"/>
          </w:tcPr>
          <w:p w14:paraId="57013745">
            <w:pPr>
              <w:widowControl/>
              <w:jc w:val="center"/>
              <w:rPr>
                <w:rFonts w:hint="eastAsia" w:ascii="宋体" w:hAnsi="宋体" w:eastAsia="宋体" w:cs="宋体"/>
                <w:sz w:val="18"/>
                <w:szCs w:val="18"/>
              </w:rPr>
            </w:pPr>
            <w:r>
              <w:rPr>
                <w:rFonts w:hint="eastAsia" w:ascii="宋体" w:hAnsi="宋体" w:eastAsia="宋体" w:cs="宋体"/>
                <w:sz w:val="18"/>
                <w:szCs w:val="18"/>
              </w:rPr>
              <w:t>197.97</w:t>
            </w:r>
          </w:p>
        </w:tc>
        <w:tc>
          <w:tcPr>
            <w:tcW w:w="1276" w:type="dxa"/>
            <w:tcBorders>
              <w:top w:val="nil"/>
              <w:left w:val="nil"/>
              <w:bottom w:val="single" w:color="auto" w:sz="4" w:space="0"/>
              <w:right w:val="single" w:color="auto" w:sz="4" w:space="0"/>
            </w:tcBorders>
            <w:vAlign w:val="center"/>
          </w:tcPr>
          <w:p w14:paraId="03AD5FFD">
            <w:pPr>
              <w:widowControl/>
              <w:jc w:val="center"/>
              <w:rPr>
                <w:rFonts w:hint="eastAsia" w:ascii="宋体" w:hAnsi="宋体" w:eastAsia="宋体" w:cs="宋体"/>
                <w:sz w:val="18"/>
                <w:szCs w:val="18"/>
              </w:rPr>
            </w:pPr>
            <w:r>
              <w:rPr>
                <w:rFonts w:hint="eastAsia" w:ascii="宋体" w:hAnsi="宋体" w:eastAsia="宋体" w:cs="宋体"/>
                <w:sz w:val="18"/>
                <w:szCs w:val="18"/>
              </w:rPr>
              <w:t>276.94</w:t>
            </w:r>
          </w:p>
        </w:tc>
        <w:tc>
          <w:tcPr>
            <w:tcW w:w="1701" w:type="dxa"/>
            <w:tcBorders>
              <w:top w:val="nil"/>
              <w:left w:val="nil"/>
              <w:bottom w:val="single" w:color="auto" w:sz="4" w:space="0"/>
              <w:right w:val="single" w:color="auto" w:sz="4" w:space="0"/>
            </w:tcBorders>
            <w:vAlign w:val="center"/>
          </w:tcPr>
          <w:p w14:paraId="390F37C0">
            <w:pPr>
              <w:widowControl/>
              <w:jc w:val="center"/>
              <w:rPr>
                <w:rFonts w:hint="eastAsia" w:ascii="宋体" w:hAnsi="宋体" w:eastAsia="宋体" w:cs="宋体"/>
                <w:sz w:val="18"/>
                <w:szCs w:val="18"/>
              </w:rPr>
            </w:pPr>
            <w:r>
              <w:rPr>
                <w:rFonts w:hint="eastAsia" w:ascii="宋体" w:hAnsi="宋体" w:eastAsia="宋体" w:cs="宋体"/>
                <w:sz w:val="18"/>
                <w:szCs w:val="18"/>
              </w:rPr>
              <w:t>269.98</w:t>
            </w:r>
          </w:p>
        </w:tc>
        <w:tc>
          <w:tcPr>
            <w:tcW w:w="1134" w:type="dxa"/>
            <w:tcBorders>
              <w:top w:val="nil"/>
              <w:left w:val="nil"/>
              <w:bottom w:val="single" w:color="auto" w:sz="4" w:space="0"/>
              <w:right w:val="single" w:color="auto" w:sz="4" w:space="0"/>
            </w:tcBorders>
            <w:vAlign w:val="center"/>
          </w:tcPr>
          <w:p w14:paraId="2EE7751B">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992" w:type="dxa"/>
            <w:tcBorders>
              <w:top w:val="nil"/>
              <w:left w:val="nil"/>
              <w:bottom w:val="single" w:color="auto" w:sz="4" w:space="0"/>
              <w:right w:val="single" w:color="auto" w:sz="4" w:space="0"/>
            </w:tcBorders>
            <w:vAlign w:val="center"/>
          </w:tcPr>
          <w:p w14:paraId="3E3C7E1A">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720" w:type="dxa"/>
            <w:tcBorders>
              <w:top w:val="nil"/>
              <w:left w:val="nil"/>
              <w:bottom w:val="single" w:color="auto" w:sz="4" w:space="0"/>
              <w:right w:val="single" w:color="auto" w:sz="4" w:space="0"/>
            </w:tcBorders>
            <w:vAlign w:val="center"/>
          </w:tcPr>
          <w:p w14:paraId="7CB5DFF9">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284" w:type="dxa"/>
            <w:tcBorders>
              <w:top w:val="nil"/>
              <w:left w:val="nil"/>
              <w:bottom w:val="nil"/>
              <w:right w:val="nil"/>
            </w:tcBorders>
            <w:noWrap/>
            <w:vAlign w:val="center"/>
          </w:tcPr>
          <w:p w14:paraId="1FEDCA5E">
            <w:pPr>
              <w:widowControl/>
              <w:jc w:val="center"/>
              <w:rPr>
                <w:rFonts w:hint="eastAsia" w:ascii="宋体" w:hAnsi="宋体" w:eastAsia="宋体" w:cs="宋体"/>
                <w:sz w:val="18"/>
                <w:szCs w:val="18"/>
              </w:rPr>
            </w:pPr>
          </w:p>
        </w:tc>
      </w:tr>
      <w:tr w14:paraId="519EB971">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0D5CCFA">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15D69A2">
            <w:pPr>
              <w:widowControl/>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44E35C35">
            <w:pPr>
              <w:widowControl/>
              <w:jc w:val="center"/>
              <w:rPr>
                <w:rFonts w:hint="eastAsia" w:ascii="宋体" w:hAnsi="宋体" w:eastAsia="宋体" w:cs="宋体"/>
                <w:sz w:val="18"/>
                <w:szCs w:val="18"/>
              </w:rPr>
            </w:pPr>
            <w:r>
              <w:rPr>
                <w:rFonts w:hint="eastAsia" w:ascii="宋体" w:hAnsi="宋体" w:eastAsia="宋体" w:cs="宋体"/>
                <w:sz w:val="18"/>
                <w:szCs w:val="18"/>
              </w:rPr>
              <w:t>2,226.82</w:t>
            </w:r>
          </w:p>
        </w:tc>
        <w:tc>
          <w:tcPr>
            <w:tcW w:w="1276" w:type="dxa"/>
            <w:tcBorders>
              <w:top w:val="nil"/>
              <w:left w:val="nil"/>
              <w:bottom w:val="single" w:color="auto" w:sz="4" w:space="0"/>
              <w:right w:val="single" w:color="auto" w:sz="4" w:space="0"/>
            </w:tcBorders>
            <w:vAlign w:val="center"/>
          </w:tcPr>
          <w:p w14:paraId="4353CBB3">
            <w:pPr>
              <w:widowControl/>
              <w:jc w:val="center"/>
              <w:rPr>
                <w:rFonts w:hint="eastAsia" w:ascii="宋体" w:hAnsi="宋体" w:eastAsia="宋体" w:cs="宋体"/>
                <w:sz w:val="18"/>
                <w:szCs w:val="18"/>
              </w:rPr>
            </w:pPr>
            <w:r>
              <w:rPr>
                <w:rFonts w:hint="eastAsia" w:ascii="宋体" w:hAnsi="宋体" w:eastAsia="宋体" w:cs="宋体"/>
                <w:sz w:val="18"/>
                <w:szCs w:val="18"/>
              </w:rPr>
              <w:t>1,946.93</w:t>
            </w:r>
          </w:p>
        </w:tc>
        <w:tc>
          <w:tcPr>
            <w:tcW w:w="1701" w:type="dxa"/>
            <w:tcBorders>
              <w:top w:val="nil"/>
              <w:left w:val="nil"/>
              <w:bottom w:val="single" w:color="auto" w:sz="4" w:space="0"/>
              <w:right w:val="single" w:color="auto" w:sz="4" w:space="0"/>
            </w:tcBorders>
            <w:vAlign w:val="center"/>
          </w:tcPr>
          <w:p w14:paraId="63605297">
            <w:pPr>
              <w:widowControl/>
              <w:jc w:val="center"/>
              <w:rPr>
                <w:rFonts w:hint="eastAsia" w:ascii="宋体" w:hAnsi="宋体" w:eastAsia="宋体" w:cs="宋体"/>
                <w:sz w:val="18"/>
                <w:szCs w:val="18"/>
              </w:rPr>
            </w:pPr>
            <w:r>
              <w:rPr>
                <w:rFonts w:hint="eastAsia" w:ascii="宋体" w:hAnsi="宋体" w:eastAsia="宋体" w:cs="宋体"/>
                <w:sz w:val="18"/>
                <w:szCs w:val="18"/>
              </w:rPr>
              <w:t>1,877.38</w:t>
            </w:r>
          </w:p>
        </w:tc>
        <w:tc>
          <w:tcPr>
            <w:tcW w:w="1134" w:type="dxa"/>
            <w:tcBorders>
              <w:top w:val="nil"/>
              <w:left w:val="nil"/>
              <w:bottom w:val="single" w:color="auto" w:sz="4" w:space="0"/>
              <w:right w:val="single" w:color="auto" w:sz="4" w:space="0"/>
            </w:tcBorders>
            <w:vAlign w:val="center"/>
          </w:tcPr>
          <w:p w14:paraId="29C7CECC">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992" w:type="dxa"/>
            <w:tcBorders>
              <w:top w:val="nil"/>
              <w:left w:val="nil"/>
              <w:bottom w:val="single" w:color="auto" w:sz="4" w:space="0"/>
              <w:right w:val="single" w:color="auto" w:sz="4" w:space="0"/>
            </w:tcBorders>
            <w:vAlign w:val="center"/>
          </w:tcPr>
          <w:p w14:paraId="5EF88CFE">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720" w:type="dxa"/>
            <w:tcBorders>
              <w:top w:val="nil"/>
              <w:left w:val="nil"/>
              <w:bottom w:val="single" w:color="auto" w:sz="4" w:space="0"/>
              <w:right w:val="single" w:color="auto" w:sz="4" w:space="0"/>
            </w:tcBorders>
            <w:vAlign w:val="center"/>
          </w:tcPr>
          <w:p w14:paraId="37C34783">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284" w:type="dxa"/>
            <w:tcBorders>
              <w:top w:val="nil"/>
              <w:left w:val="nil"/>
              <w:bottom w:val="nil"/>
              <w:right w:val="nil"/>
            </w:tcBorders>
            <w:noWrap/>
            <w:vAlign w:val="center"/>
          </w:tcPr>
          <w:p w14:paraId="4249809D">
            <w:pPr>
              <w:widowControl/>
              <w:jc w:val="center"/>
              <w:rPr>
                <w:rFonts w:hint="eastAsia" w:ascii="宋体" w:hAnsi="宋体" w:eastAsia="宋体" w:cs="宋体"/>
                <w:sz w:val="18"/>
                <w:szCs w:val="18"/>
              </w:rPr>
            </w:pPr>
          </w:p>
        </w:tc>
      </w:tr>
      <w:tr w14:paraId="39028765">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3E86DB6">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8838674">
            <w:pPr>
              <w:widowControl/>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40FFFCE3">
            <w:pPr>
              <w:widowControl/>
              <w:jc w:val="center"/>
              <w:rPr>
                <w:rFonts w:hint="eastAsia" w:ascii="宋体" w:hAnsi="宋体" w:eastAsia="宋体" w:cs="宋体"/>
                <w:sz w:val="18"/>
                <w:szCs w:val="18"/>
              </w:rPr>
            </w:pPr>
            <w:r>
              <w:rPr>
                <w:rFonts w:hint="eastAsia" w:ascii="宋体" w:hAnsi="宋体" w:eastAsia="宋体" w:cs="宋体"/>
                <w:sz w:val="18"/>
                <w:szCs w:val="18"/>
              </w:rPr>
              <w:t>168.84</w:t>
            </w:r>
          </w:p>
        </w:tc>
        <w:tc>
          <w:tcPr>
            <w:tcW w:w="1276" w:type="dxa"/>
            <w:tcBorders>
              <w:top w:val="nil"/>
              <w:left w:val="nil"/>
              <w:bottom w:val="single" w:color="auto" w:sz="4" w:space="0"/>
              <w:right w:val="single" w:color="auto" w:sz="4" w:space="0"/>
            </w:tcBorders>
            <w:vAlign w:val="center"/>
          </w:tcPr>
          <w:p w14:paraId="0B3AAD36">
            <w:pPr>
              <w:widowControl/>
              <w:jc w:val="center"/>
              <w:rPr>
                <w:rFonts w:hint="eastAsia" w:ascii="宋体" w:hAnsi="宋体" w:eastAsia="宋体" w:cs="宋体"/>
                <w:sz w:val="18"/>
                <w:szCs w:val="18"/>
              </w:rPr>
            </w:pPr>
            <w:r>
              <w:rPr>
                <w:rFonts w:hint="eastAsia" w:ascii="宋体" w:hAnsi="宋体" w:eastAsia="宋体" w:cs="宋体"/>
                <w:sz w:val="18"/>
                <w:szCs w:val="18"/>
              </w:rPr>
              <w:t>168.84</w:t>
            </w:r>
          </w:p>
        </w:tc>
        <w:tc>
          <w:tcPr>
            <w:tcW w:w="1701" w:type="dxa"/>
            <w:tcBorders>
              <w:top w:val="nil"/>
              <w:left w:val="nil"/>
              <w:bottom w:val="single" w:color="auto" w:sz="4" w:space="0"/>
              <w:right w:val="single" w:color="auto" w:sz="4" w:space="0"/>
            </w:tcBorders>
            <w:vAlign w:val="center"/>
          </w:tcPr>
          <w:p w14:paraId="03955976">
            <w:pPr>
              <w:widowControl/>
              <w:jc w:val="center"/>
              <w:rPr>
                <w:rFonts w:hint="eastAsia" w:ascii="宋体" w:hAnsi="宋体" w:eastAsia="宋体" w:cs="宋体"/>
                <w:sz w:val="18"/>
                <w:szCs w:val="18"/>
              </w:rPr>
            </w:pPr>
            <w:r>
              <w:rPr>
                <w:rFonts w:hint="eastAsia" w:ascii="宋体" w:hAnsi="宋体" w:eastAsia="宋体" w:cs="宋体"/>
                <w:sz w:val="18"/>
                <w:szCs w:val="18"/>
              </w:rPr>
              <w:t>168.84</w:t>
            </w:r>
          </w:p>
        </w:tc>
        <w:tc>
          <w:tcPr>
            <w:tcW w:w="1134" w:type="dxa"/>
            <w:tcBorders>
              <w:top w:val="nil"/>
              <w:left w:val="nil"/>
              <w:bottom w:val="single" w:color="auto" w:sz="4" w:space="0"/>
              <w:right w:val="single" w:color="auto" w:sz="4" w:space="0"/>
            </w:tcBorders>
            <w:vAlign w:val="center"/>
          </w:tcPr>
          <w:p w14:paraId="7F2CEFE9">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4357DD7F">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42F36633">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70AC0F1F">
            <w:pPr>
              <w:widowControl/>
              <w:jc w:val="center"/>
              <w:rPr>
                <w:rFonts w:hint="eastAsia" w:ascii="宋体" w:hAnsi="宋体" w:eastAsia="宋体" w:cs="宋体"/>
                <w:sz w:val="18"/>
                <w:szCs w:val="18"/>
              </w:rPr>
            </w:pPr>
          </w:p>
        </w:tc>
      </w:tr>
      <w:tr w14:paraId="67221817">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C87B6D5">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5C334650">
            <w:pPr>
              <w:widowControl/>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293EA175">
            <w:pPr>
              <w:widowControl/>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4D3E043B">
            <w:pPr>
              <w:widowControl/>
              <w:jc w:val="left"/>
              <w:rPr>
                <w:rFonts w:hint="eastAsia" w:ascii="宋体" w:hAnsi="宋体" w:eastAsia="宋体" w:cs="宋体"/>
                <w:b/>
                <w:bCs/>
                <w:sz w:val="18"/>
                <w:szCs w:val="18"/>
              </w:rPr>
            </w:pPr>
          </w:p>
        </w:tc>
      </w:tr>
      <w:tr w14:paraId="16332456">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9D90D4D">
            <w:pPr>
              <w:widowControl/>
              <w:jc w:val="left"/>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5364C689">
            <w:pPr>
              <w:widowControl/>
              <w:jc w:val="left"/>
              <w:rPr>
                <w:rFonts w:hint="eastAsia" w:ascii="宋体" w:hAnsi="宋体" w:eastAsia="宋体" w:cs="宋体"/>
                <w:sz w:val="18"/>
                <w:szCs w:val="18"/>
              </w:rPr>
            </w:pPr>
            <w:r>
              <w:rPr>
                <w:rFonts w:hint="eastAsia" w:ascii="宋体" w:hAnsi="宋体" w:eastAsia="宋体" w:cs="宋体"/>
                <w:sz w:val="18"/>
                <w:szCs w:val="18"/>
              </w:rPr>
              <w:t>1、单位职责：抓基础教育，培养学生习惯，组织教育教学，科学研究活动，保证教育教学质量，维护教职工利益，保障教职工合法权益，以教职工和学生的人生幸福和生命质量作为重点。2、重点工作任务：保教职工正常的社保缴费，正常的工资及奖金的发放，教师教学等各项工作顺利开展，确保学校学生各项活动的开展，确保教师培训费活动顺利开展，确保学校日常业务及校园环境安全卫生。</w:t>
            </w:r>
          </w:p>
        </w:tc>
        <w:tc>
          <w:tcPr>
            <w:tcW w:w="4547" w:type="dxa"/>
            <w:gridSpan w:val="4"/>
            <w:tcBorders>
              <w:top w:val="single" w:color="auto" w:sz="4" w:space="0"/>
              <w:left w:val="nil"/>
              <w:bottom w:val="single" w:color="auto" w:sz="4" w:space="0"/>
              <w:right w:val="single" w:color="auto" w:sz="4" w:space="0"/>
            </w:tcBorders>
          </w:tcPr>
          <w:p w14:paraId="449EA781">
            <w:pPr>
              <w:widowControl/>
              <w:jc w:val="left"/>
              <w:rPr>
                <w:rFonts w:hint="eastAsia" w:ascii="宋体" w:hAnsi="宋体" w:eastAsia="宋体" w:cs="宋体"/>
                <w:sz w:val="18"/>
                <w:szCs w:val="18"/>
              </w:rPr>
            </w:pPr>
            <w:r>
              <w:rPr>
                <w:rFonts w:hint="eastAsia" w:ascii="宋体" w:hAnsi="宋体" w:eastAsia="宋体" w:cs="宋体"/>
                <w:sz w:val="18"/>
                <w:szCs w:val="18"/>
              </w:rPr>
              <w:t>2024年度我校在教育局的指引下顺利的完成了年初设定的目标任务：1、持续深入开展“党史”学习教育活动，通过开展思想政治教育活动使全体师生的思想政治素养有了明显的提高；2、围绕党建工作，积极开展党建活动，更好的服务于群众；3、2024年所有的工作都为教学工作提供有效保障，使我校保质保量的完成了教学工作，并有效的提高了学校的教育教学质量；4、通过课后服务项目正常开展了特色的课程，有效提高了学生的综合素质；5、在安全</w:t>
            </w:r>
            <w:r>
              <w:rPr>
                <w:rFonts w:hint="eastAsia" w:ascii="宋体" w:hAnsi="宋体" w:eastAsia="宋体" w:cs="宋体"/>
                <w:sz w:val="18"/>
                <w:szCs w:val="18"/>
                <w:lang w:eastAsia="zh-CN"/>
              </w:rPr>
              <w:t>维护稳定</w:t>
            </w:r>
            <w:r>
              <w:rPr>
                <w:rFonts w:hint="eastAsia" w:ascii="宋体" w:hAnsi="宋体" w:eastAsia="宋体" w:cs="宋体"/>
                <w:sz w:val="18"/>
                <w:szCs w:val="18"/>
              </w:rPr>
              <w:t>及综合治理工作方面，我校也顺利的完成了任务。</w:t>
            </w:r>
          </w:p>
        </w:tc>
        <w:tc>
          <w:tcPr>
            <w:tcW w:w="284" w:type="dxa"/>
            <w:tcBorders>
              <w:top w:val="nil"/>
              <w:left w:val="nil"/>
              <w:bottom w:val="nil"/>
              <w:right w:val="nil"/>
            </w:tcBorders>
            <w:noWrap/>
            <w:vAlign w:val="center"/>
          </w:tcPr>
          <w:p w14:paraId="61FF69F5">
            <w:pPr>
              <w:widowControl/>
              <w:jc w:val="left"/>
              <w:rPr>
                <w:rFonts w:hint="eastAsia" w:ascii="宋体" w:hAnsi="宋体" w:eastAsia="宋体" w:cs="宋体"/>
                <w:sz w:val="18"/>
                <w:szCs w:val="18"/>
              </w:rPr>
            </w:pPr>
          </w:p>
        </w:tc>
      </w:tr>
      <w:tr w14:paraId="27BF1B7A">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2D2F19D1">
            <w:pPr>
              <w:widowControl/>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FA731C1">
            <w:pPr>
              <w:widowControl/>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2F9BD974">
            <w:pPr>
              <w:widowControl/>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3F5369A3">
            <w:pPr>
              <w:widowControl/>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22C14EE8">
            <w:pPr>
              <w:widowControl/>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22AD9A33">
            <w:pPr>
              <w:widowControl/>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7583BE0A">
            <w:pPr>
              <w:widowControl/>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356BCD24">
            <w:pPr>
              <w:widowControl/>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7A2090C7">
            <w:pPr>
              <w:widowControl/>
              <w:jc w:val="left"/>
              <w:rPr>
                <w:rFonts w:hint="eastAsia" w:ascii="宋体" w:hAnsi="宋体" w:eastAsia="宋体" w:cs="宋体"/>
                <w:b/>
                <w:bCs/>
                <w:sz w:val="18"/>
                <w:szCs w:val="18"/>
              </w:rPr>
            </w:pPr>
          </w:p>
        </w:tc>
      </w:tr>
      <w:tr w14:paraId="3C99AF72">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5937D8CF">
            <w:pPr>
              <w:widowControl/>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5B484EFB">
            <w:pPr>
              <w:widowControl/>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3337E166">
            <w:pPr>
              <w:widowControl/>
              <w:jc w:val="center"/>
              <w:rPr>
                <w:rFonts w:hint="eastAsia" w:ascii="宋体" w:hAnsi="宋体" w:eastAsia="宋体" w:cs="宋体"/>
                <w:sz w:val="18"/>
                <w:szCs w:val="18"/>
              </w:rPr>
            </w:pPr>
            <w:r>
              <w:rPr>
                <w:rFonts w:hint="eastAsia" w:ascii="宋体" w:hAnsi="宋体" w:eastAsia="宋体" w:cs="宋体"/>
                <w:sz w:val="18"/>
                <w:szCs w:val="18"/>
              </w:rPr>
              <w:t>法治思想专题学习次数</w:t>
            </w:r>
          </w:p>
        </w:tc>
        <w:tc>
          <w:tcPr>
            <w:tcW w:w="1276" w:type="dxa"/>
            <w:tcBorders>
              <w:top w:val="nil"/>
              <w:left w:val="nil"/>
              <w:bottom w:val="single" w:color="auto" w:sz="4" w:space="0"/>
              <w:right w:val="single" w:color="auto" w:sz="4" w:space="0"/>
            </w:tcBorders>
            <w:noWrap/>
            <w:vAlign w:val="center"/>
          </w:tcPr>
          <w:p w14:paraId="7E92E77D">
            <w:pPr>
              <w:widowControl/>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7C3CAF6D">
            <w:pPr>
              <w:widowControl/>
              <w:jc w:val="left"/>
              <w:rPr>
                <w:rFonts w:hint="eastAsia" w:ascii="宋体" w:hAnsi="宋体" w:eastAsia="宋体" w:cs="宋体"/>
                <w:sz w:val="18"/>
                <w:szCs w:val="18"/>
              </w:rPr>
            </w:pPr>
            <w:r>
              <w:rPr>
                <w:rFonts w:hint="eastAsia" w:ascii="宋体" w:hAnsi="宋体" w:eastAsia="宋体" w:cs="宋体"/>
                <w:sz w:val="18"/>
                <w:szCs w:val="18"/>
              </w:rPr>
              <w:t>《乌鲁木齐市教育系统开展法制宣传教育的第八个五年计划》</w:t>
            </w:r>
          </w:p>
        </w:tc>
        <w:tc>
          <w:tcPr>
            <w:tcW w:w="1134" w:type="dxa"/>
            <w:tcBorders>
              <w:top w:val="nil"/>
              <w:left w:val="nil"/>
              <w:bottom w:val="single" w:color="auto" w:sz="4" w:space="0"/>
              <w:right w:val="single" w:color="auto" w:sz="4" w:space="0"/>
            </w:tcBorders>
            <w:noWrap/>
            <w:vAlign w:val="center"/>
          </w:tcPr>
          <w:p w14:paraId="59D6A1C7">
            <w:pPr>
              <w:widowControl/>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nil"/>
              <w:left w:val="nil"/>
              <w:bottom w:val="single" w:color="auto" w:sz="4" w:space="0"/>
              <w:right w:val="single" w:color="auto" w:sz="4" w:space="0"/>
            </w:tcBorders>
            <w:noWrap/>
            <w:vAlign w:val="center"/>
          </w:tcPr>
          <w:p w14:paraId="52A8261A">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1A14918C">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09C35B09">
            <w:pPr>
              <w:widowControl/>
              <w:jc w:val="center"/>
              <w:rPr>
                <w:rFonts w:hint="eastAsia" w:ascii="宋体" w:hAnsi="宋体" w:eastAsia="宋体" w:cs="宋体"/>
                <w:sz w:val="18"/>
                <w:szCs w:val="18"/>
              </w:rPr>
            </w:pPr>
          </w:p>
        </w:tc>
      </w:tr>
      <w:tr w14:paraId="408AF5F3">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DB5986F">
            <w:pPr>
              <w:widowControl/>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04B4D5A8">
            <w:pPr>
              <w:widowControl/>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CD8A1DF">
            <w:pPr>
              <w:widowControl/>
              <w:jc w:val="center"/>
              <w:rPr>
                <w:rFonts w:hint="eastAsia" w:ascii="宋体" w:hAnsi="宋体" w:eastAsia="宋体" w:cs="宋体"/>
                <w:sz w:val="18"/>
                <w:szCs w:val="18"/>
              </w:rPr>
            </w:pPr>
            <w:r>
              <w:rPr>
                <w:rFonts w:hint="eastAsia" w:ascii="宋体" w:hAnsi="宋体" w:eastAsia="宋体" w:cs="宋体"/>
                <w:sz w:val="18"/>
                <w:szCs w:val="18"/>
              </w:rPr>
              <w:t>备课组每周开展活动次数</w:t>
            </w:r>
          </w:p>
        </w:tc>
        <w:tc>
          <w:tcPr>
            <w:tcW w:w="1276" w:type="dxa"/>
            <w:tcBorders>
              <w:top w:val="nil"/>
              <w:left w:val="nil"/>
              <w:bottom w:val="single" w:color="auto" w:sz="4" w:space="0"/>
              <w:right w:val="single" w:color="auto" w:sz="4" w:space="0"/>
            </w:tcBorders>
            <w:noWrap/>
            <w:vAlign w:val="center"/>
          </w:tcPr>
          <w:p w14:paraId="01310F2C">
            <w:pPr>
              <w:widowControl/>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3F4FB975">
            <w:pPr>
              <w:widowControl/>
              <w:jc w:val="left"/>
              <w:rPr>
                <w:rFonts w:hint="eastAsia" w:ascii="宋体" w:hAnsi="宋体" w:eastAsia="宋体" w:cs="宋体"/>
                <w:sz w:val="18"/>
                <w:szCs w:val="18"/>
              </w:rPr>
            </w:pPr>
            <w:r>
              <w:rPr>
                <w:rFonts w:hint="eastAsia" w:ascii="宋体" w:hAnsi="宋体" w:eastAsia="宋体" w:cs="宋体"/>
                <w:sz w:val="18"/>
                <w:szCs w:val="18"/>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4D9A8BC8">
            <w:pPr>
              <w:widowControl/>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nil"/>
              <w:left w:val="nil"/>
              <w:bottom w:val="single" w:color="auto" w:sz="4" w:space="0"/>
              <w:right w:val="single" w:color="auto" w:sz="4" w:space="0"/>
            </w:tcBorders>
            <w:noWrap/>
            <w:vAlign w:val="center"/>
          </w:tcPr>
          <w:p w14:paraId="74FA4A8D">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06F5E379">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6BB592F3">
            <w:pPr>
              <w:widowControl/>
              <w:jc w:val="center"/>
              <w:rPr>
                <w:rFonts w:hint="eastAsia" w:ascii="宋体" w:hAnsi="宋体" w:eastAsia="宋体" w:cs="宋体"/>
                <w:sz w:val="18"/>
                <w:szCs w:val="18"/>
              </w:rPr>
            </w:pPr>
          </w:p>
        </w:tc>
      </w:tr>
      <w:tr w14:paraId="1BAE4641">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5CD2FF2">
            <w:pPr>
              <w:widowControl/>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69314C5A">
            <w:pPr>
              <w:widowControl/>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4814BF01">
            <w:pPr>
              <w:widowControl/>
              <w:jc w:val="center"/>
              <w:rPr>
                <w:rFonts w:hint="eastAsia" w:ascii="宋体" w:hAnsi="宋体" w:eastAsia="宋体" w:cs="宋体"/>
                <w:sz w:val="18"/>
                <w:szCs w:val="18"/>
              </w:rPr>
            </w:pPr>
            <w:r>
              <w:rPr>
                <w:rFonts w:hint="eastAsia" w:ascii="宋体" w:hAnsi="宋体" w:eastAsia="宋体" w:cs="宋体"/>
                <w:sz w:val="18"/>
                <w:szCs w:val="18"/>
              </w:rPr>
              <w:t>每位教师每学年开展活动次数</w:t>
            </w:r>
          </w:p>
        </w:tc>
        <w:tc>
          <w:tcPr>
            <w:tcW w:w="1276" w:type="dxa"/>
            <w:tcBorders>
              <w:top w:val="single" w:color="auto" w:sz="4" w:space="0"/>
              <w:left w:val="nil"/>
              <w:bottom w:val="single" w:color="auto" w:sz="4" w:space="0"/>
              <w:right w:val="single" w:color="auto" w:sz="4" w:space="0"/>
            </w:tcBorders>
            <w:noWrap/>
            <w:vAlign w:val="center"/>
          </w:tcPr>
          <w:p w14:paraId="0E9691F0">
            <w:pPr>
              <w:widowControl/>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4708CFFC">
            <w:pPr>
              <w:widowControl/>
              <w:jc w:val="left"/>
              <w:rPr>
                <w:rFonts w:hint="eastAsia" w:ascii="宋体" w:hAnsi="宋体" w:eastAsia="宋体" w:cs="宋体"/>
                <w:sz w:val="18"/>
                <w:szCs w:val="18"/>
              </w:rPr>
            </w:pPr>
            <w:r>
              <w:rPr>
                <w:rFonts w:hint="eastAsia" w:ascii="宋体" w:hAnsi="宋体" w:eastAsia="宋体" w:cs="宋体"/>
                <w:sz w:val="18"/>
                <w:szCs w:val="18"/>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51CD5608">
            <w:pPr>
              <w:widowControl/>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single" w:color="auto" w:sz="4" w:space="0"/>
              <w:left w:val="nil"/>
              <w:bottom w:val="single" w:color="auto" w:sz="4" w:space="0"/>
              <w:right w:val="single" w:color="auto" w:sz="4" w:space="0"/>
            </w:tcBorders>
            <w:noWrap/>
            <w:vAlign w:val="center"/>
          </w:tcPr>
          <w:p w14:paraId="06F4F384">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150A6DE3">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0372622F">
            <w:pPr>
              <w:widowControl/>
              <w:jc w:val="center"/>
              <w:rPr>
                <w:rFonts w:hint="eastAsia" w:ascii="宋体" w:hAnsi="宋体" w:eastAsia="宋体" w:cs="宋体"/>
                <w:sz w:val="18"/>
                <w:szCs w:val="18"/>
              </w:rPr>
            </w:pPr>
          </w:p>
        </w:tc>
      </w:tr>
      <w:tr w14:paraId="5CCBFB78">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55295561">
            <w:pPr>
              <w:widowControl/>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02E25FFC">
            <w:pPr>
              <w:widowControl/>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1D1F8F65">
            <w:pPr>
              <w:widowControl/>
              <w:jc w:val="center"/>
              <w:rPr>
                <w:rFonts w:hint="eastAsia" w:ascii="宋体" w:hAnsi="宋体" w:eastAsia="宋体" w:cs="宋体"/>
                <w:sz w:val="18"/>
                <w:szCs w:val="18"/>
              </w:rPr>
            </w:pPr>
            <w:r>
              <w:rPr>
                <w:rFonts w:hint="eastAsia" w:ascii="宋体" w:hAnsi="宋体" w:eastAsia="宋体" w:cs="宋体"/>
                <w:sz w:val="18"/>
                <w:szCs w:val="18"/>
              </w:rPr>
              <w:t>99.68</w:t>
            </w:r>
          </w:p>
        </w:tc>
        <w:tc>
          <w:tcPr>
            <w:tcW w:w="284" w:type="dxa"/>
            <w:tcBorders>
              <w:top w:val="nil"/>
              <w:left w:val="nil"/>
              <w:bottom w:val="nil"/>
              <w:right w:val="nil"/>
            </w:tcBorders>
            <w:noWrap/>
            <w:vAlign w:val="center"/>
          </w:tcPr>
          <w:p w14:paraId="1B53BDB0">
            <w:pPr>
              <w:widowControl/>
              <w:jc w:val="center"/>
              <w:rPr>
                <w:rFonts w:hint="eastAsia" w:ascii="宋体" w:hAnsi="宋体" w:eastAsia="宋体" w:cs="宋体"/>
                <w:sz w:val="18"/>
                <w:szCs w:val="18"/>
              </w:rPr>
            </w:pPr>
          </w:p>
        </w:tc>
      </w:tr>
    </w:tbl>
    <w:p w14:paraId="79008762">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A9B69B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4"/>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71BB36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95CC43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9605D3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乌财科教[2023]167-173号-关于提前下达2024年城乡义务教育补助经费预算公用经费（培训费）</w:t>
            </w:r>
          </w:p>
        </w:tc>
      </w:tr>
      <w:tr w14:paraId="1B522A3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C4163A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763E86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3BAD90A3">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3BAC53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乌鲁木齐市第七十九中学</w:t>
            </w:r>
          </w:p>
        </w:tc>
      </w:tr>
      <w:tr w14:paraId="19E3AAF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89A41D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8E6D072">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B42D07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4C9E85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F2C50A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74EF1B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A6A582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5F69B49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217614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E460D97">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B21147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C152FD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13.86</w:t>
            </w:r>
          </w:p>
        </w:tc>
        <w:tc>
          <w:tcPr>
            <w:tcW w:w="1125" w:type="dxa"/>
            <w:tcBorders>
              <w:top w:val="nil"/>
              <w:left w:val="nil"/>
              <w:bottom w:val="single" w:color="auto" w:sz="4" w:space="0"/>
              <w:right w:val="single" w:color="auto" w:sz="4" w:space="0"/>
            </w:tcBorders>
            <w:noWrap/>
            <w:vAlign w:val="center"/>
          </w:tcPr>
          <w:p w14:paraId="091C4D5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13.86</w:t>
            </w:r>
          </w:p>
        </w:tc>
        <w:tc>
          <w:tcPr>
            <w:tcW w:w="1275" w:type="dxa"/>
            <w:gridSpan w:val="2"/>
            <w:tcBorders>
              <w:top w:val="single" w:color="auto" w:sz="4" w:space="0"/>
              <w:left w:val="nil"/>
              <w:bottom w:val="single" w:color="auto" w:sz="4" w:space="0"/>
              <w:right w:val="single" w:color="000000" w:sz="4" w:space="0"/>
            </w:tcBorders>
            <w:noWrap/>
            <w:vAlign w:val="center"/>
          </w:tcPr>
          <w:p w14:paraId="37B1D98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13.86</w:t>
            </w:r>
          </w:p>
        </w:tc>
        <w:tc>
          <w:tcPr>
            <w:tcW w:w="1134" w:type="dxa"/>
            <w:gridSpan w:val="2"/>
            <w:tcBorders>
              <w:top w:val="single" w:color="auto" w:sz="4" w:space="0"/>
              <w:left w:val="nil"/>
              <w:bottom w:val="single" w:color="auto" w:sz="4" w:space="0"/>
              <w:right w:val="single" w:color="auto" w:sz="4" w:space="0"/>
            </w:tcBorders>
            <w:vAlign w:val="center"/>
          </w:tcPr>
          <w:p w14:paraId="50665C6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3A7251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548486B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19AFF95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F3030C0">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91F02A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383DE2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7.71</w:t>
            </w:r>
          </w:p>
        </w:tc>
        <w:tc>
          <w:tcPr>
            <w:tcW w:w="1125" w:type="dxa"/>
            <w:tcBorders>
              <w:top w:val="nil"/>
              <w:left w:val="nil"/>
              <w:bottom w:val="single" w:color="auto" w:sz="4" w:space="0"/>
              <w:right w:val="single" w:color="auto" w:sz="4" w:space="0"/>
            </w:tcBorders>
            <w:noWrap/>
            <w:vAlign w:val="center"/>
          </w:tcPr>
          <w:p w14:paraId="515A98D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7.71</w:t>
            </w:r>
          </w:p>
        </w:tc>
        <w:tc>
          <w:tcPr>
            <w:tcW w:w="1275" w:type="dxa"/>
            <w:gridSpan w:val="2"/>
            <w:tcBorders>
              <w:top w:val="single" w:color="auto" w:sz="4" w:space="0"/>
              <w:left w:val="nil"/>
              <w:bottom w:val="single" w:color="auto" w:sz="4" w:space="0"/>
              <w:right w:val="single" w:color="000000" w:sz="4" w:space="0"/>
            </w:tcBorders>
            <w:noWrap/>
            <w:vAlign w:val="center"/>
          </w:tcPr>
          <w:p w14:paraId="53C335B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7.71</w:t>
            </w:r>
          </w:p>
        </w:tc>
        <w:tc>
          <w:tcPr>
            <w:tcW w:w="1134" w:type="dxa"/>
            <w:gridSpan w:val="2"/>
            <w:tcBorders>
              <w:top w:val="single" w:color="auto" w:sz="4" w:space="0"/>
              <w:left w:val="nil"/>
              <w:bottom w:val="single" w:color="auto" w:sz="4" w:space="0"/>
              <w:right w:val="single" w:color="auto" w:sz="4" w:space="0"/>
            </w:tcBorders>
            <w:vAlign w:val="center"/>
          </w:tcPr>
          <w:p w14:paraId="3413C87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5D967C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67C9DB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A771C4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463E895">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5933AF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BBFA1D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6.15</w:t>
            </w:r>
          </w:p>
        </w:tc>
        <w:tc>
          <w:tcPr>
            <w:tcW w:w="1125" w:type="dxa"/>
            <w:tcBorders>
              <w:top w:val="nil"/>
              <w:left w:val="nil"/>
              <w:bottom w:val="single" w:color="auto" w:sz="4" w:space="0"/>
              <w:right w:val="single" w:color="auto" w:sz="4" w:space="0"/>
            </w:tcBorders>
            <w:noWrap/>
            <w:vAlign w:val="center"/>
          </w:tcPr>
          <w:p w14:paraId="684279D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6.15</w:t>
            </w:r>
          </w:p>
        </w:tc>
        <w:tc>
          <w:tcPr>
            <w:tcW w:w="1275" w:type="dxa"/>
            <w:gridSpan w:val="2"/>
            <w:tcBorders>
              <w:top w:val="single" w:color="auto" w:sz="4" w:space="0"/>
              <w:left w:val="nil"/>
              <w:bottom w:val="single" w:color="auto" w:sz="4" w:space="0"/>
              <w:right w:val="single" w:color="000000" w:sz="4" w:space="0"/>
            </w:tcBorders>
            <w:noWrap/>
            <w:vAlign w:val="center"/>
          </w:tcPr>
          <w:p w14:paraId="79448FB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6.15</w:t>
            </w:r>
          </w:p>
        </w:tc>
        <w:tc>
          <w:tcPr>
            <w:tcW w:w="1134" w:type="dxa"/>
            <w:gridSpan w:val="2"/>
            <w:tcBorders>
              <w:top w:val="single" w:color="auto" w:sz="4" w:space="0"/>
              <w:left w:val="nil"/>
              <w:bottom w:val="single" w:color="auto" w:sz="4" w:space="0"/>
              <w:right w:val="single" w:color="auto" w:sz="4" w:space="0"/>
            </w:tcBorders>
            <w:vAlign w:val="center"/>
          </w:tcPr>
          <w:p w14:paraId="333AF03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6915C2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428769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F232AF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3A64AF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F73271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C13F41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EC3D85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D850720">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555936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本项目资金主要用于支付我校部分教师继续教育培训费，预计2024年全年相关组织方开展2次继续教育培训，本项目可提高学校的教学质量,改善我校教师教师自身的教学水平和能力，充分调动教师学习的积极性，在教学改革中实现真正的成长。</w:t>
            </w:r>
          </w:p>
        </w:tc>
        <w:tc>
          <w:tcPr>
            <w:tcW w:w="4677" w:type="dxa"/>
            <w:gridSpan w:val="7"/>
            <w:tcBorders>
              <w:top w:val="single" w:color="auto" w:sz="4" w:space="0"/>
              <w:left w:val="nil"/>
              <w:bottom w:val="single" w:color="auto" w:sz="4" w:space="0"/>
              <w:right w:val="single" w:color="000000" w:sz="4" w:space="0"/>
            </w:tcBorders>
          </w:tcPr>
          <w:p w14:paraId="310C2F90">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2024年在城乡义务教育补助经费-培训费项目资金的保障下，我校积极开展教师培训工作，为广大教师提供更加广泛的培训学习机会，不断提升教师的教学业务能力和学校的整体教学水平。</w:t>
            </w:r>
          </w:p>
        </w:tc>
      </w:tr>
      <w:tr w14:paraId="3535418D">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0047A18B">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4AAC3D0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1FA8C0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5B6954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3B7936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82114B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F0DA2F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2B86BE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48F25A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7335F73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0A30F43">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4A813AA">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1B14281">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FAB91AF">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E2A1ACF">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56131257">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5912C6B">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650D413">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8BDD575">
            <w:pPr>
              <w:widowControl/>
              <w:jc w:val="left"/>
              <w:rPr>
                <w:rFonts w:hint="eastAsia" w:ascii="宋体" w:hAnsi="宋体" w:eastAsia="宋体" w:cs="宋体"/>
                <w:color w:val="000000"/>
                <w:sz w:val="18"/>
                <w:szCs w:val="18"/>
              </w:rPr>
            </w:pPr>
          </w:p>
        </w:tc>
      </w:tr>
      <w:tr w14:paraId="56C60A8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773B62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1077557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440F747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A85E6B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参加培训人数</w:t>
            </w:r>
          </w:p>
        </w:tc>
        <w:tc>
          <w:tcPr>
            <w:tcW w:w="1125" w:type="dxa"/>
            <w:tcBorders>
              <w:top w:val="nil"/>
              <w:left w:val="nil"/>
              <w:bottom w:val="single" w:color="auto" w:sz="4" w:space="0"/>
              <w:right w:val="single" w:color="auto" w:sz="4" w:space="0"/>
            </w:tcBorders>
            <w:vAlign w:val="center"/>
          </w:tcPr>
          <w:p w14:paraId="01BEFA8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&gt;=10人</w:t>
            </w:r>
          </w:p>
        </w:tc>
        <w:tc>
          <w:tcPr>
            <w:tcW w:w="1229" w:type="dxa"/>
            <w:tcBorders>
              <w:top w:val="nil"/>
              <w:left w:val="nil"/>
              <w:bottom w:val="single" w:color="auto" w:sz="4" w:space="0"/>
              <w:right w:val="single" w:color="auto" w:sz="4" w:space="0"/>
            </w:tcBorders>
            <w:vAlign w:val="center"/>
          </w:tcPr>
          <w:p w14:paraId="54A233B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21人</w:t>
            </w:r>
          </w:p>
        </w:tc>
        <w:tc>
          <w:tcPr>
            <w:tcW w:w="755" w:type="dxa"/>
            <w:gridSpan w:val="2"/>
            <w:tcBorders>
              <w:top w:val="single" w:color="auto" w:sz="4" w:space="0"/>
              <w:left w:val="nil"/>
              <w:bottom w:val="single" w:color="auto" w:sz="4" w:space="0"/>
              <w:right w:val="single" w:color="000000" w:sz="4" w:space="0"/>
            </w:tcBorders>
            <w:vAlign w:val="center"/>
          </w:tcPr>
          <w:p w14:paraId="583BC9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ABA16F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37154F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我校教师超额参加培训</w:t>
            </w:r>
          </w:p>
        </w:tc>
      </w:tr>
      <w:tr w14:paraId="4D2C90E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769F4A">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55A62C7">
            <w:pPr>
              <w:widowControl/>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7BD2AA16">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B99D09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完成培训的计划班次</w:t>
            </w:r>
          </w:p>
        </w:tc>
        <w:tc>
          <w:tcPr>
            <w:tcW w:w="1125" w:type="dxa"/>
            <w:tcBorders>
              <w:top w:val="nil"/>
              <w:left w:val="nil"/>
              <w:bottom w:val="single" w:color="auto" w:sz="4" w:space="0"/>
              <w:right w:val="single" w:color="auto" w:sz="4" w:space="0"/>
            </w:tcBorders>
            <w:vAlign w:val="center"/>
          </w:tcPr>
          <w:p w14:paraId="62E10F1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1229" w:type="dxa"/>
            <w:tcBorders>
              <w:top w:val="nil"/>
              <w:left w:val="nil"/>
              <w:bottom w:val="single" w:color="auto" w:sz="4" w:space="0"/>
              <w:right w:val="single" w:color="auto" w:sz="4" w:space="0"/>
            </w:tcBorders>
            <w:vAlign w:val="center"/>
          </w:tcPr>
          <w:p w14:paraId="76DC664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55" w:type="dxa"/>
            <w:gridSpan w:val="2"/>
            <w:tcBorders>
              <w:top w:val="single" w:color="auto" w:sz="4" w:space="0"/>
              <w:left w:val="nil"/>
              <w:bottom w:val="single" w:color="auto" w:sz="4" w:space="0"/>
              <w:right w:val="single" w:color="000000" w:sz="4" w:space="0"/>
            </w:tcBorders>
            <w:vAlign w:val="center"/>
          </w:tcPr>
          <w:p w14:paraId="69B2D71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F6040F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C4188C6">
            <w:pPr>
              <w:widowControl/>
              <w:jc w:val="center"/>
              <w:rPr>
                <w:rFonts w:hint="eastAsia" w:ascii="宋体" w:hAnsi="宋体" w:eastAsia="宋体" w:cs="宋体"/>
                <w:color w:val="000000"/>
                <w:sz w:val="18"/>
                <w:szCs w:val="18"/>
              </w:rPr>
            </w:pPr>
          </w:p>
        </w:tc>
      </w:tr>
      <w:tr w14:paraId="66EB8EF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25EDF6">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E0A50CA">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7C25AAE">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E43C827">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培训种类</w:t>
            </w:r>
          </w:p>
        </w:tc>
        <w:tc>
          <w:tcPr>
            <w:tcW w:w="1125" w:type="dxa"/>
            <w:tcBorders>
              <w:top w:val="nil"/>
              <w:left w:val="nil"/>
              <w:bottom w:val="single" w:color="auto" w:sz="4" w:space="0"/>
              <w:right w:val="single" w:color="auto" w:sz="4" w:space="0"/>
            </w:tcBorders>
            <w:vAlign w:val="center"/>
          </w:tcPr>
          <w:p w14:paraId="3BAD787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&gt;2种</w:t>
            </w:r>
          </w:p>
        </w:tc>
        <w:tc>
          <w:tcPr>
            <w:tcW w:w="1229" w:type="dxa"/>
            <w:tcBorders>
              <w:top w:val="nil"/>
              <w:left w:val="nil"/>
              <w:bottom w:val="single" w:color="auto" w:sz="4" w:space="0"/>
              <w:right w:val="single" w:color="auto" w:sz="4" w:space="0"/>
            </w:tcBorders>
            <w:vAlign w:val="center"/>
          </w:tcPr>
          <w:p w14:paraId="5080029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2种</w:t>
            </w:r>
          </w:p>
        </w:tc>
        <w:tc>
          <w:tcPr>
            <w:tcW w:w="755" w:type="dxa"/>
            <w:gridSpan w:val="2"/>
            <w:tcBorders>
              <w:top w:val="single" w:color="auto" w:sz="4" w:space="0"/>
              <w:left w:val="nil"/>
              <w:bottom w:val="single" w:color="auto" w:sz="4" w:space="0"/>
              <w:right w:val="single" w:color="000000" w:sz="4" w:space="0"/>
            </w:tcBorders>
            <w:vAlign w:val="center"/>
          </w:tcPr>
          <w:p w14:paraId="73A6A7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26DCCD0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43E842D4">
            <w:pPr>
              <w:widowControl/>
              <w:jc w:val="center"/>
              <w:rPr>
                <w:rFonts w:hint="eastAsia" w:ascii="宋体" w:hAnsi="宋体" w:eastAsia="宋体" w:cs="宋体"/>
                <w:color w:val="000000"/>
                <w:sz w:val="18"/>
                <w:szCs w:val="18"/>
              </w:rPr>
            </w:pPr>
          </w:p>
        </w:tc>
      </w:tr>
      <w:tr w14:paraId="32BBAAC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CE53A0">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9A1F750">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340499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FA262F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参加培训通过率</w:t>
            </w:r>
          </w:p>
        </w:tc>
        <w:tc>
          <w:tcPr>
            <w:tcW w:w="1125" w:type="dxa"/>
            <w:tcBorders>
              <w:top w:val="nil"/>
              <w:left w:val="nil"/>
              <w:bottom w:val="single" w:color="auto" w:sz="4" w:space="0"/>
              <w:right w:val="single" w:color="auto" w:sz="4" w:space="0"/>
            </w:tcBorders>
            <w:vAlign w:val="center"/>
          </w:tcPr>
          <w:p w14:paraId="2A64B35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74F770D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771489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2F41A46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323A56E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我校教师100%通过培训</w:t>
            </w:r>
          </w:p>
        </w:tc>
      </w:tr>
      <w:tr w14:paraId="71F5572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ECF4B3">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6164A9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2AC6B9C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5623BF7">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提高教师整理素质</w:t>
            </w:r>
          </w:p>
        </w:tc>
        <w:tc>
          <w:tcPr>
            <w:tcW w:w="1125" w:type="dxa"/>
            <w:tcBorders>
              <w:top w:val="nil"/>
              <w:left w:val="nil"/>
              <w:bottom w:val="single" w:color="auto" w:sz="4" w:space="0"/>
              <w:right w:val="single" w:color="auto" w:sz="4" w:space="0"/>
            </w:tcBorders>
            <w:vAlign w:val="center"/>
          </w:tcPr>
          <w:p w14:paraId="3B32BF2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5352F66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75308C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370FCD3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0E96AB16">
            <w:pPr>
              <w:widowControl/>
              <w:jc w:val="center"/>
              <w:rPr>
                <w:rFonts w:hint="eastAsia" w:ascii="宋体" w:hAnsi="宋体" w:eastAsia="宋体" w:cs="宋体"/>
                <w:color w:val="000000"/>
                <w:sz w:val="18"/>
                <w:szCs w:val="18"/>
              </w:rPr>
            </w:pPr>
          </w:p>
        </w:tc>
      </w:tr>
      <w:tr w14:paraId="668FA56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D765AA">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ACE748A">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D67C04A">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414E03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提升教学质量</w:t>
            </w:r>
          </w:p>
        </w:tc>
        <w:tc>
          <w:tcPr>
            <w:tcW w:w="1125" w:type="dxa"/>
            <w:tcBorders>
              <w:top w:val="nil"/>
              <w:left w:val="nil"/>
              <w:bottom w:val="single" w:color="auto" w:sz="4" w:space="0"/>
              <w:right w:val="single" w:color="auto" w:sz="4" w:space="0"/>
            </w:tcBorders>
            <w:vAlign w:val="center"/>
          </w:tcPr>
          <w:p w14:paraId="305387B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427D664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51E6B9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6D4612B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2B03D4F">
            <w:pPr>
              <w:widowControl/>
              <w:jc w:val="center"/>
              <w:rPr>
                <w:rFonts w:hint="eastAsia" w:ascii="宋体" w:hAnsi="宋体" w:eastAsia="宋体" w:cs="宋体"/>
                <w:color w:val="000000"/>
                <w:sz w:val="18"/>
                <w:szCs w:val="18"/>
              </w:rPr>
            </w:pPr>
          </w:p>
        </w:tc>
      </w:tr>
      <w:tr w14:paraId="42D2572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06D5F4">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67EF1D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FA6414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610C79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培训对象满意度</w:t>
            </w:r>
          </w:p>
        </w:tc>
        <w:tc>
          <w:tcPr>
            <w:tcW w:w="1125" w:type="dxa"/>
            <w:tcBorders>
              <w:top w:val="nil"/>
              <w:left w:val="nil"/>
              <w:bottom w:val="single" w:color="auto" w:sz="4" w:space="0"/>
              <w:right w:val="single" w:color="auto" w:sz="4" w:space="0"/>
            </w:tcBorders>
            <w:vAlign w:val="center"/>
          </w:tcPr>
          <w:p w14:paraId="1DCA734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186D561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14:paraId="214DCB8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692D55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2376DBB">
            <w:pPr>
              <w:widowControl/>
              <w:jc w:val="center"/>
              <w:rPr>
                <w:rFonts w:hint="eastAsia" w:ascii="宋体" w:hAnsi="宋体" w:eastAsia="宋体" w:cs="宋体"/>
                <w:color w:val="000000"/>
                <w:sz w:val="18"/>
                <w:szCs w:val="18"/>
              </w:rPr>
            </w:pPr>
          </w:p>
        </w:tc>
      </w:tr>
      <w:tr w14:paraId="082852C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956FE0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57872A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13817B8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78349164">
            <w:pPr>
              <w:widowControl/>
              <w:jc w:val="center"/>
              <w:rPr>
                <w:rFonts w:hint="eastAsia" w:ascii="宋体" w:hAnsi="宋体" w:eastAsia="宋体" w:cs="宋体"/>
                <w:b/>
                <w:bCs/>
                <w:color w:val="000000"/>
                <w:sz w:val="18"/>
                <w:szCs w:val="18"/>
              </w:rPr>
            </w:pPr>
          </w:p>
        </w:tc>
      </w:tr>
    </w:tbl>
    <w:p w14:paraId="0BC54E4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0B646C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4"/>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0C62DC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F6CB86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E68804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乌财科教【2023】167-173号-关于提前下达2024年 中央城乡义务教育补助经费</w:t>
            </w:r>
          </w:p>
        </w:tc>
      </w:tr>
      <w:tr w14:paraId="26717A8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DA8898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B8E428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0A02D7E2">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591959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乌鲁木齐市第七十九中学</w:t>
            </w:r>
          </w:p>
        </w:tc>
      </w:tr>
      <w:tr w14:paraId="3CF8C78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ABBB28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C62439D">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6BD385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009473C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EF9601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853F07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738462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4CC0D0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53B6DC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FC85CC3">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0321FD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A2F47B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260.23</w:t>
            </w:r>
          </w:p>
        </w:tc>
        <w:tc>
          <w:tcPr>
            <w:tcW w:w="1125" w:type="dxa"/>
            <w:tcBorders>
              <w:top w:val="nil"/>
              <w:left w:val="nil"/>
              <w:bottom w:val="single" w:color="auto" w:sz="4" w:space="0"/>
              <w:right w:val="single" w:color="auto" w:sz="4" w:space="0"/>
            </w:tcBorders>
            <w:noWrap/>
            <w:vAlign w:val="center"/>
          </w:tcPr>
          <w:p w14:paraId="08E4177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265.11</w:t>
            </w:r>
          </w:p>
        </w:tc>
        <w:tc>
          <w:tcPr>
            <w:tcW w:w="1275" w:type="dxa"/>
            <w:gridSpan w:val="2"/>
            <w:tcBorders>
              <w:top w:val="single" w:color="auto" w:sz="4" w:space="0"/>
              <w:left w:val="nil"/>
              <w:bottom w:val="single" w:color="auto" w:sz="4" w:space="0"/>
              <w:right w:val="single" w:color="000000" w:sz="4" w:space="0"/>
            </w:tcBorders>
            <w:noWrap/>
            <w:vAlign w:val="center"/>
          </w:tcPr>
          <w:p w14:paraId="4F21E3C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215.25</w:t>
            </w:r>
          </w:p>
        </w:tc>
        <w:tc>
          <w:tcPr>
            <w:tcW w:w="1134" w:type="dxa"/>
            <w:gridSpan w:val="2"/>
            <w:tcBorders>
              <w:top w:val="single" w:color="auto" w:sz="4" w:space="0"/>
              <w:left w:val="nil"/>
              <w:bottom w:val="single" w:color="auto" w:sz="4" w:space="0"/>
              <w:right w:val="single" w:color="auto" w:sz="4" w:space="0"/>
            </w:tcBorders>
            <w:vAlign w:val="center"/>
          </w:tcPr>
          <w:p w14:paraId="6FBE124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69C521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81.19%</w:t>
            </w:r>
          </w:p>
        </w:tc>
        <w:tc>
          <w:tcPr>
            <w:tcW w:w="1275" w:type="dxa"/>
            <w:tcBorders>
              <w:top w:val="nil"/>
              <w:left w:val="nil"/>
              <w:bottom w:val="single" w:color="auto" w:sz="4" w:space="0"/>
              <w:right w:val="single" w:color="auto" w:sz="4" w:space="0"/>
            </w:tcBorders>
            <w:vAlign w:val="center"/>
          </w:tcPr>
          <w:p w14:paraId="7757F5A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8.12分</w:t>
            </w:r>
          </w:p>
        </w:tc>
      </w:tr>
      <w:tr w14:paraId="54B848D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325D43A">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DA4C89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058E1B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157.25</w:t>
            </w:r>
          </w:p>
        </w:tc>
        <w:tc>
          <w:tcPr>
            <w:tcW w:w="1125" w:type="dxa"/>
            <w:tcBorders>
              <w:top w:val="nil"/>
              <w:left w:val="nil"/>
              <w:bottom w:val="single" w:color="auto" w:sz="4" w:space="0"/>
              <w:right w:val="single" w:color="auto" w:sz="4" w:space="0"/>
            </w:tcBorders>
            <w:noWrap/>
            <w:vAlign w:val="center"/>
          </w:tcPr>
          <w:p w14:paraId="6BC2A38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163.49</w:t>
            </w:r>
          </w:p>
        </w:tc>
        <w:tc>
          <w:tcPr>
            <w:tcW w:w="1275" w:type="dxa"/>
            <w:gridSpan w:val="2"/>
            <w:tcBorders>
              <w:top w:val="single" w:color="auto" w:sz="4" w:space="0"/>
              <w:left w:val="nil"/>
              <w:bottom w:val="single" w:color="auto" w:sz="4" w:space="0"/>
              <w:right w:val="single" w:color="000000" w:sz="4" w:space="0"/>
            </w:tcBorders>
            <w:noWrap/>
            <w:vAlign w:val="center"/>
          </w:tcPr>
          <w:p w14:paraId="1E2A5EE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113.63</w:t>
            </w:r>
          </w:p>
        </w:tc>
        <w:tc>
          <w:tcPr>
            <w:tcW w:w="1134" w:type="dxa"/>
            <w:gridSpan w:val="2"/>
            <w:tcBorders>
              <w:top w:val="single" w:color="auto" w:sz="4" w:space="0"/>
              <w:left w:val="nil"/>
              <w:bottom w:val="single" w:color="auto" w:sz="4" w:space="0"/>
              <w:right w:val="single" w:color="auto" w:sz="4" w:space="0"/>
            </w:tcBorders>
            <w:vAlign w:val="center"/>
          </w:tcPr>
          <w:p w14:paraId="6EE6E16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95D11F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B161A4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5EAA73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A4471D9">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4F8774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2CE36A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102.98</w:t>
            </w:r>
          </w:p>
        </w:tc>
        <w:tc>
          <w:tcPr>
            <w:tcW w:w="1125" w:type="dxa"/>
            <w:tcBorders>
              <w:top w:val="nil"/>
              <w:left w:val="nil"/>
              <w:bottom w:val="single" w:color="auto" w:sz="4" w:space="0"/>
              <w:right w:val="single" w:color="auto" w:sz="4" w:space="0"/>
            </w:tcBorders>
            <w:noWrap/>
            <w:vAlign w:val="center"/>
          </w:tcPr>
          <w:p w14:paraId="532EDFF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101.62</w:t>
            </w:r>
          </w:p>
        </w:tc>
        <w:tc>
          <w:tcPr>
            <w:tcW w:w="1275" w:type="dxa"/>
            <w:gridSpan w:val="2"/>
            <w:tcBorders>
              <w:top w:val="single" w:color="auto" w:sz="4" w:space="0"/>
              <w:left w:val="nil"/>
              <w:bottom w:val="single" w:color="auto" w:sz="4" w:space="0"/>
              <w:right w:val="single" w:color="000000" w:sz="4" w:space="0"/>
            </w:tcBorders>
            <w:noWrap/>
            <w:vAlign w:val="center"/>
          </w:tcPr>
          <w:p w14:paraId="6C52D34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101.62</w:t>
            </w:r>
          </w:p>
        </w:tc>
        <w:tc>
          <w:tcPr>
            <w:tcW w:w="1134" w:type="dxa"/>
            <w:gridSpan w:val="2"/>
            <w:tcBorders>
              <w:top w:val="single" w:color="auto" w:sz="4" w:space="0"/>
              <w:left w:val="nil"/>
              <w:bottom w:val="single" w:color="auto" w:sz="4" w:space="0"/>
              <w:right w:val="single" w:color="auto" w:sz="4" w:space="0"/>
            </w:tcBorders>
            <w:vAlign w:val="center"/>
          </w:tcPr>
          <w:p w14:paraId="2D82F96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4B55CC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0729ED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1B66CC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CA2883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C48E42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936828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91C93F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49D627D">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5BCAA98D">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本项目资金支付全年学校6名保安的安保服务费，按时缴纳全年水费电费，缴纳全年公用暖气费，本项目的实施可改善我校办学条件硬件设施，有效改善校园环境，提高办学条件，推动义务教育均衡化发展。</w:t>
            </w:r>
          </w:p>
        </w:tc>
        <w:tc>
          <w:tcPr>
            <w:tcW w:w="4677" w:type="dxa"/>
            <w:gridSpan w:val="7"/>
            <w:tcBorders>
              <w:top w:val="single" w:color="auto" w:sz="4" w:space="0"/>
              <w:left w:val="nil"/>
              <w:bottom w:val="single" w:color="auto" w:sz="4" w:space="0"/>
              <w:right w:val="single" w:color="000000" w:sz="4" w:space="0"/>
            </w:tcBorders>
          </w:tcPr>
          <w:p w14:paraId="5B0CB78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2024年在城乡义务教育补助经费的保障下，我校有序开展各项教学业务，保质保量的完成了当年的教学任务，教学水平和办学条件有所提高。保障教师各项教学业务培训有序开展，有效提高教师的个人教学能力和学校的整体教学质量。</w:t>
            </w:r>
          </w:p>
        </w:tc>
      </w:tr>
      <w:tr w14:paraId="2669F850">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5F0B5A6E">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55BD612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3A25D5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392375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055273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ACBF2C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3FEC69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FA56DA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27D5CD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08E434A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813257B">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6F60764">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2885EBB">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C01C99F">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5E4BE95">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126CBE3">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D0415CF">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8339CCE">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9FEFCB7">
            <w:pPr>
              <w:widowControl/>
              <w:jc w:val="left"/>
              <w:rPr>
                <w:rFonts w:hint="eastAsia" w:ascii="宋体" w:hAnsi="宋体" w:eastAsia="宋体" w:cs="宋体"/>
                <w:color w:val="000000"/>
                <w:sz w:val="18"/>
                <w:szCs w:val="18"/>
              </w:rPr>
            </w:pPr>
          </w:p>
        </w:tc>
      </w:tr>
      <w:tr w14:paraId="143F524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881E0A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7D87A94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E3FD86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BDE751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5127616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=16099.57平方米</w:t>
            </w:r>
          </w:p>
        </w:tc>
        <w:tc>
          <w:tcPr>
            <w:tcW w:w="1229" w:type="dxa"/>
            <w:tcBorders>
              <w:top w:val="nil"/>
              <w:left w:val="nil"/>
              <w:bottom w:val="single" w:color="auto" w:sz="4" w:space="0"/>
              <w:right w:val="single" w:color="auto" w:sz="4" w:space="0"/>
            </w:tcBorders>
            <w:vAlign w:val="center"/>
          </w:tcPr>
          <w:p w14:paraId="25F4713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16099.57平方米</w:t>
            </w:r>
          </w:p>
        </w:tc>
        <w:tc>
          <w:tcPr>
            <w:tcW w:w="755" w:type="dxa"/>
            <w:gridSpan w:val="2"/>
            <w:tcBorders>
              <w:top w:val="single" w:color="auto" w:sz="4" w:space="0"/>
              <w:left w:val="nil"/>
              <w:bottom w:val="single" w:color="auto" w:sz="4" w:space="0"/>
              <w:right w:val="single" w:color="000000" w:sz="4" w:space="0"/>
            </w:tcBorders>
            <w:vAlign w:val="center"/>
          </w:tcPr>
          <w:p w14:paraId="3FEBBA4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1EB849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03832FA">
            <w:pPr>
              <w:widowControl/>
              <w:jc w:val="center"/>
              <w:rPr>
                <w:rFonts w:hint="eastAsia" w:ascii="宋体" w:hAnsi="宋体" w:eastAsia="宋体" w:cs="宋体"/>
                <w:color w:val="000000"/>
                <w:sz w:val="18"/>
                <w:szCs w:val="18"/>
              </w:rPr>
            </w:pPr>
          </w:p>
        </w:tc>
      </w:tr>
      <w:tr w14:paraId="32DA2AB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1AC06A">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9450221">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82863BA">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C1A70B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聘用保安人数</w:t>
            </w:r>
          </w:p>
        </w:tc>
        <w:tc>
          <w:tcPr>
            <w:tcW w:w="1125" w:type="dxa"/>
            <w:tcBorders>
              <w:top w:val="nil"/>
              <w:left w:val="nil"/>
              <w:bottom w:val="single" w:color="auto" w:sz="4" w:space="0"/>
              <w:right w:val="single" w:color="auto" w:sz="4" w:space="0"/>
            </w:tcBorders>
            <w:vAlign w:val="center"/>
          </w:tcPr>
          <w:p w14:paraId="089709D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&gt;=6人</w:t>
            </w:r>
          </w:p>
        </w:tc>
        <w:tc>
          <w:tcPr>
            <w:tcW w:w="1229" w:type="dxa"/>
            <w:tcBorders>
              <w:top w:val="nil"/>
              <w:left w:val="nil"/>
              <w:bottom w:val="single" w:color="auto" w:sz="4" w:space="0"/>
              <w:right w:val="single" w:color="auto" w:sz="4" w:space="0"/>
            </w:tcBorders>
            <w:vAlign w:val="center"/>
          </w:tcPr>
          <w:p w14:paraId="436268B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w:t>
            </w:r>
          </w:p>
        </w:tc>
        <w:tc>
          <w:tcPr>
            <w:tcW w:w="755" w:type="dxa"/>
            <w:gridSpan w:val="2"/>
            <w:tcBorders>
              <w:top w:val="single" w:color="auto" w:sz="4" w:space="0"/>
              <w:left w:val="nil"/>
              <w:bottom w:val="single" w:color="auto" w:sz="4" w:space="0"/>
              <w:right w:val="single" w:color="000000" w:sz="4" w:space="0"/>
            </w:tcBorders>
            <w:vAlign w:val="center"/>
          </w:tcPr>
          <w:p w14:paraId="1CB51FD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628270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9D8BF21">
            <w:pPr>
              <w:widowControl/>
              <w:jc w:val="center"/>
              <w:rPr>
                <w:rFonts w:hint="eastAsia" w:ascii="宋体" w:hAnsi="宋体" w:eastAsia="宋体" w:cs="宋体"/>
                <w:color w:val="000000"/>
                <w:sz w:val="18"/>
                <w:szCs w:val="18"/>
              </w:rPr>
            </w:pPr>
          </w:p>
        </w:tc>
      </w:tr>
      <w:tr w14:paraId="6FEF801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F19CAF">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25CEC0F">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4ADCAAE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7484F1B">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学校供暖覆盖率</w:t>
            </w:r>
          </w:p>
        </w:tc>
        <w:tc>
          <w:tcPr>
            <w:tcW w:w="1125" w:type="dxa"/>
            <w:tcBorders>
              <w:top w:val="nil"/>
              <w:left w:val="nil"/>
              <w:bottom w:val="single" w:color="auto" w:sz="4" w:space="0"/>
              <w:right w:val="single" w:color="auto" w:sz="4" w:space="0"/>
            </w:tcBorders>
            <w:vAlign w:val="center"/>
          </w:tcPr>
          <w:p w14:paraId="7D78728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065BA1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BE53D5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58F4672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53B2FD1">
            <w:pPr>
              <w:widowControl/>
              <w:jc w:val="center"/>
              <w:rPr>
                <w:rFonts w:hint="eastAsia" w:ascii="宋体" w:hAnsi="宋体" w:eastAsia="宋体" w:cs="宋体"/>
                <w:color w:val="000000"/>
                <w:sz w:val="18"/>
                <w:szCs w:val="18"/>
              </w:rPr>
            </w:pPr>
          </w:p>
        </w:tc>
      </w:tr>
      <w:tr w14:paraId="211ED76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D597B9">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889535A">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843B846">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9F47B4D">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聘用保安上岗率</w:t>
            </w:r>
          </w:p>
        </w:tc>
        <w:tc>
          <w:tcPr>
            <w:tcW w:w="1125" w:type="dxa"/>
            <w:tcBorders>
              <w:top w:val="nil"/>
              <w:left w:val="nil"/>
              <w:bottom w:val="single" w:color="auto" w:sz="4" w:space="0"/>
              <w:right w:val="single" w:color="auto" w:sz="4" w:space="0"/>
            </w:tcBorders>
            <w:vAlign w:val="center"/>
          </w:tcPr>
          <w:p w14:paraId="30B1E5E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5638203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1F6AC6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5393BAE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468B0AB">
            <w:pPr>
              <w:widowControl/>
              <w:jc w:val="center"/>
              <w:rPr>
                <w:rFonts w:hint="eastAsia" w:ascii="宋体" w:hAnsi="宋体" w:eastAsia="宋体" w:cs="宋体"/>
                <w:color w:val="000000"/>
                <w:sz w:val="18"/>
                <w:szCs w:val="18"/>
              </w:rPr>
            </w:pPr>
          </w:p>
        </w:tc>
      </w:tr>
      <w:tr w14:paraId="17BE368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DCAFFB">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048C361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2587BB9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79DE2F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改善学生学习环境</w:t>
            </w:r>
          </w:p>
        </w:tc>
        <w:tc>
          <w:tcPr>
            <w:tcW w:w="1125" w:type="dxa"/>
            <w:tcBorders>
              <w:top w:val="nil"/>
              <w:left w:val="nil"/>
              <w:bottom w:val="single" w:color="auto" w:sz="4" w:space="0"/>
              <w:right w:val="single" w:color="auto" w:sz="4" w:space="0"/>
            </w:tcBorders>
            <w:vAlign w:val="center"/>
          </w:tcPr>
          <w:p w14:paraId="5570FC5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26F495E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55" w:type="dxa"/>
            <w:gridSpan w:val="2"/>
            <w:tcBorders>
              <w:top w:val="single" w:color="auto" w:sz="4" w:space="0"/>
              <w:left w:val="nil"/>
              <w:bottom w:val="single" w:color="auto" w:sz="4" w:space="0"/>
              <w:right w:val="single" w:color="000000" w:sz="4" w:space="0"/>
            </w:tcBorders>
            <w:vAlign w:val="center"/>
          </w:tcPr>
          <w:p w14:paraId="1D2BC16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0B7A409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479FC37A">
            <w:pPr>
              <w:widowControl/>
              <w:jc w:val="center"/>
              <w:rPr>
                <w:rFonts w:hint="eastAsia" w:ascii="宋体" w:hAnsi="宋体" w:eastAsia="宋体" w:cs="宋体"/>
                <w:color w:val="000000"/>
                <w:sz w:val="18"/>
                <w:szCs w:val="18"/>
              </w:rPr>
            </w:pPr>
          </w:p>
        </w:tc>
      </w:tr>
      <w:tr w14:paraId="4912102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9B8E5A">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99EBABC">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945F877">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B7BD51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提高我校办学条件</w:t>
            </w:r>
          </w:p>
        </w:tc>
        <w:tc>
          <w:tcPr>
            <w:tcW w:w="1125" w:type="dxa"/>
            <w:tcBorders>
              <w:top w:val="nil"/>
              <w:left w:val="nil"/>
              <w:bottom w:val="single" w:color="auto" w:sz="4" w:space="0"/>
              <w:right w:val="single" w:color="auto" w:sz="4" w:space="0"/>
            </w:tcBorders>
            <w:vAlign w:val="center"/>
          </w:tcPr>
          <w:p w14:paraId="266A225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7C0DB19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55" w:type="dxa"/>
            <w:gridSpan w:val="2"/>
            <w:tcBorders>
              <w:top w:val="single" w:color="auto" w:sz="4" w:space="0"/>
              <w:left w:val="nil"/>
              <w:bottom w:val="single" w:color="auto" w:sz="4" w:space="0"/>
              <w:right w:val="single" w:color="000000" w:sz="4" w:space="0"/>
            </w:tcBorders>
            <w:vAlign w:val="center"/>
          </w:tcPr>
          <w:p w14:paraId="6F4019C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2D9307B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6849BC2E">
            <w:pPr>
              <w:widowControl/>
              <w:jc w:val="center"/>
              <w:rPr>
                <w:rFonts w:hint="eastAsia" w:ascii="宋体" w:hAnsi="宋体" w:eastAsia="宋体" w:cs="宋体"/>
                <w:color w:val="000000"/>
                <w:sz w:val="18"/>
                <w:szCs w:val="18"/>
              </w:rPr>
            </w:pPr>
          </w:p>
        </w:tc>
      </w:tr>
      <w:tr w14:paraId="07FF007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D2D701">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04D711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4B87B7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E3A6F3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2FD19B5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63BC129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1511343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CEB367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9355F64">
            <w:pPr>
              <w:widowControl/>
              <w:jc w:val="center"/>
              <w:rPr>
                <w:rFonts w:hint="eastAsia" w:ascii="宋体" w:hAnsi="宋体" w:eastAsia="宋体" w:cs="宋体"/>
                <w:color w:val="000000"/>
                <w:sz w:val="18"/>
                <w:szCs w:val="18"/>
              </w:rPr>
            </w:pPr>
          </w:p>
        </w:tc>
      </w:tr>
      <w:tr w14:paraId="4AB7E9C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4AEE03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542D24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B678B0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98.12分</w:t>
            </w:r>
          </w:p>
        </w:tc>
        <w:tc>
          <w:tcPr>
            <w:tcW w:w="1984" w:type="dxa"/>
            <w:gridSpan w:val="2"/>
            <w:tcBorders>
              <w:top w:val="single" w:color="auto" w:sz="4" w:space="0"/>
              <w:left w:val="nil"/>
              <w:bottom w:val="single" w:color="auto" w:sz="4" w:space="0"/>
              <w:right w:val="single" w:color="auto" w:sz="4" w:space="0"/>
            </w:tcBorders>
            <w:vAlign w:val="center"/>
          </w:tcPr>
          <w:p w14:paraId="7EDBEF57">
            <w:pPr>
              <w:widowControl/>
              <w:jc w:val="center"/>
              <w:rPr>
                <w:rFonts w:hint="eastAsia" w:ascii="宋体" w:hAnsi="宋体" w:eastAsia="宋体" w:cs="宋体"/>
                <w:b/>
                <w:bCs/>
                <w:color w:val="000000"/>
                <w:sz w:val="18"/>
                <w:szCs w:val="18"/>
              </w:rPr>
            </w:pPr>
          </w:p>
        </w:tc>
      </w:tr>
    </w:tbl>
    <w:p w14:paraId="3120C7F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C731E3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4"/>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7D194D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307A63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134884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乌财科教【2023】167-173号-关于提前下达2024年中央城乡义务教育补助经费（家庭经济困难学生生活补助）</w:t>
            </w:r>
          </w:p>
        </w:tc>
      </w:tr>
      <w:tr w14:paraId="24CD84C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57AC10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867FE5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33222DCA">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3049F8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乌鲁木齐市第七十九中学</w:t>
            </w:r>
          </w:p>
        </w:tc>
      </w:tr>
      <w:tr w14:paraId="22F2FC3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A40541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3B68AA8F">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08B4D1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CAC888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FE5899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ED3022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264A86F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B83A3C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63583B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991C9ED">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6F69F3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28D64B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40.74</w:t>
            </w:r>
          </w:p>
        </w:tc>
        <w:tc>
          <w:tcPr>
            <w:tcW w:w="1125" w:type="dxa"/>
            <w:tcBorders>
              <w:top w:val="nil"/>
              <w:left w:val="nil"/>
              <w:bottom w:val="single" w:color="auto" w:sz="4" w:space="0"/>
              <w:right w:val="single" w:color="auto" w:sz="4" w:space="0"/>
            </w:tcBorders>
            <w:noWrap/>
            <w:vAlign w:val="center"/>
          </w:tcPr>
          <w:p w14:paraId="4B90A16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33.38</w:t>
            </w:r>
          </w:p>
        </w:tc>
        <w:tc>
          <w:tcPr>
            <w:tcW w:w="1275" w:type="dxa"/>
            <w:gridSpan w:val="2"/>
            <w:tcBorders>
              <w:top w:val="single" w:color="auto" w:sz="4" w:space="0"/>
              <w:left w:val="nil"/>
              <w:bottom w:val="single" w:color="auto" w:sz="4" w:space="0"/>
              <w:right w:val="single" w:color="000000" w:sz="4" w:space="0"/>
            </w:tcBorders>
            <w:noWrap/>
            <w:vAlign w:val="center"/>
          </w:tcPr>
          <w:p w14:paraId="3905A1E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14.81</w:t>
            </w:r>
          </w:p>
        </w:tc>
        <w:tc>
          <w:tcPr>
            <w:tcW w:w="1134" w:type="dxa"/>
            <w:gridSpan w:val="2"/>
            <w:tcBorders>
              <w:top w:val="single" w:color="auto" w:sz="4" w:space="0"/>
              <w:left w:val="nil"/>
              <w:bottom w:val="single" w:color="auto" w:sz="4" w:space="0"/>
              <w:right w:val="single" w:color="auto" w:sz="4" w:space="0"/>
            </w:tcBorders>
            <w:vAlign w:val="center"/>
          </w:tcPr>
          <w:p w14:paraId="6D83213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274557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44.37%</w:t>
            </w:r>
          </w:p>
        </w:tc>
        <w:tc>
          <w:tcPr>
            <w:tcW w:w="1275" w:type="dxa"/>
            <w:tcBorders>
              <w:top w:val="nil"/>
              <w:left w:val="nil"/>
              <w:bottom w:val="single" w:color="auto" w:sz="4" w:space="0"/>
              <w:right w:val="single" w:color="auto" w:sz="4" w:space="0"/>
            </w:tcBorders>
            <w:vAlign w:val="center"/>
          </w:tcPr>
          <w:p w14:paraId="70870BC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4.44分</w:t>
            </w:r>
          </w:p>
        </w:tc>
      </w:tr>
      <w:tr w14:paraId="694D0A7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C541C9E">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EBD208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CBED2B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20.62</w:t>
            </w:r>
          </w:p>
        </w:tc>
        <w:tc>
          <w:tcPr>
            <w:tcW w:w="1125" w:type="dxa"/>
            <w:tcBorders>
              <w:top w:val="nil"/>
              <w:left w:val="nil"/>
              <w:bottom w:val="single" w:color="auto" w:sz="4" w:space="0"/>
              <w:right w:val="single" w:color="auto" w:sz="4" w:space="0"/>
            </w:tcBorders>
            <w:noWrap/>
            <w:vAlign w:val="center"/>
          </w:tcPr>
          <w:p w14:paraId="6BF857D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18.57</w:t>
            </w:r>
          </w:p>
        </w:tc>
        <w:tc>
          <w:tcPr>
            <w:tcW w:w="1275" w:type="dxa"/>
            <w:gridSpan w:val="2"/>
            <w:tcBorders>
              <w:top w:val="single" w:color="auto" w:sz="4" w:space="0"/>
              <w:left w:val="nil"/>
              <w:bottom w:val="single" w:color="auto" w:sz="4" w:space="0"/>
              <w:right w:val="single" w:color="000000" w:sz="4" w:space="0"/>
            </w:tcBorders>
            <w:noWrap/>
            <w:vAlign w:val="center"/>
          </w:tcPr>
          <w:p w14:paraId="10CF76C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3ED52B9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96936F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D667B6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7B4308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1D2408F">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26C140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0AD286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20.12</w:t>
            </w:r>
          </w:p>
        </w:tc>
        <w:tc>
          <w:tcPr>
            <w:tcW w:w="1125" w:type="dxa"/>
            <w:tcBorders>
              <w:top w:val="nil"/>
              <w:left w:val="nil"/>
              <w:bottom w:val="single" w:color="auto" w:sz="4" w:space="0"/>
              <w:right w:val="single" w:color="auto" w:sz="4" w:space="0"/>
            </w:tcBorders>
            <w:noWrap/>
            <w:vAlign w:val="center"/>
          </w:tcPr>
          <w:p w14:paraId="24D71CA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14.81</w:t>
            </w:r>
          </w:p>
        </w:tc>
        <w:tc>
          <w:tcPr>
            <w:tcW w:w="1275" w:type="dxa"/>
            <w:gridSpan w:val="2"/>
            <w:tcBorders>
              <w:top w:val="single" w:color="auto" w:sz="4" w:space="0"/>
              <w:left w:val="nil"/>
              <w:bottom w:val="single" w:color="auto" w:sz="4" w:space="0"/>
              <w:right w:val="single" w:color="000000" w:sz="4" w:space="0"/>
            </w:tcBorders>
            <w:noWrap/>
            <w:vAlign w:val="center"/>
          </w:tcPr>
          <w:p w14:paraId="01F07CD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14.81</w:t>
            </w:r>
          </w:p>
        </w:tc>
        <w:tc>
          <w:tcPr>
            <w:tcW w:w="1134" w:type="dxa"/>
            <w:gridSpan w:val="2"/>
            <w:tcBorders>
              <w:top w:val="single" w:color="auto" w:sz="4" w:space="0"/>
              <w:left w:val="nil"/>
              <w:bottom w:val="single" w:color="auto" w:sz="4" w:space="0"/>
              <w:right w:val="single" w:color="auto" w:sz="4" w:space="0"/>
            </w:tcBorders>
            <w:vAlign w:val="center"/>
          </w:tcPr>
          <w:p w14:paraId="3B3B4D3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F8EDA9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851C81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5C3959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E06095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4D2A18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7B3D9C7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AEA653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AEAF38F">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13A7F05">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本项目由我校贫困生资助管理专干根据贫困生资助管理平台，提供生活补助发放人数测算，2023年秋季共发放小学165人，初中99人，合计264人。2024年实际发放人数视具体情况而定。本项目通过支付全年贫困生生活补助，可改善贫困生家庭经济条件，帮助贫困生顺利完成学业。</w:t>
            </w:r>
          </w:p>
        </w:tc>
        <w:tc>
          <w:tcPr>
            <w:tcW w:w="4677" w:type="dxa"/>
            <w:gridSpan w:val="7"/>
            <w:tcBorders>
              <w:top w:val="single" w:color="auto" w:sz="4" w:space="0"/>
              <w:left w:val="nil"/>
              <w:bottom w:val="single" w:color="auto" w:sz="4" w:space="0"/>
              <w:right w:val="single" w:color="000000" w:sz="4" w:space="0"/>
            </w:tcBorders>
          </w:tcPr>
          <w:p w14:paraId="107BB33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在家庭经济困难学生生活补助项目保障的前提下，2024年为我校57名家庭经济困难生，按时发放了生活补助，为他们解决了生活经济上的困难，同时也为他们家庭缓解了经济压力。保障这些家庭经济困难生平等享受教育资源。</w:t>
            </w:r>
          </w:p>
        </w:tc>
      </w:tr>
      <w:tr w14:paraId="32FC7763">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5207D04E">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33D9233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2054D2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F09A8F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C40F33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773F98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E81D0F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834154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5FB527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14FB255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CA6E0E5">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6B60A5E">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0544FDC">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4C7ADF3">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22EBE87">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0BF052E0">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53664DE">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30A474E">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9176E2F">
            <w:pPr>
              <w:widowControl/>
              <w:jc w:val="left"/>
              <w:rPr>
                <w:rFonts w:hint="eastAsia" w:ascii="宋体" w:hAnsi="宋体" w:eastAsia="宋体" w:cs="宋体"/>
                <w:color w:val="000000"/>
                <w:sz w:val="18"/>
                <w:szCs w:val="18"/>
              </w:rPr>
            </w:pPr>
          </w:p>
        </w:tc>
      </w:tr>
      <w:tr w14:paraId="100E34A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AEA050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116D68B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0288400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5D58B6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发放贫困补助总人数</w:t>
            </w:r>
          </w:p>
        </w:tc>
        <w:tc>
          <w:tcPr>
            <w:tcW w:w="1125" w:type="dxa"/>
            <w:tcBorders>
              <w:top w:val="nil"/>
              <w:left w:val="nil"/>
              <w:bottom w:val="single" w:color="auto" w:sz="4" w:space="0"/>
              <w:right w:val="single" w:color="auto" w:sz="4" w:space="0"/>
            </w:tcBorders>
            <w:vAlign w:val="center"/>
          </w:tcPr>
          <w:p w14:paraId="6F61D3E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&gt;=240人</w:t>
            </w:r>
          </w:p>
        </w:tc>
        <w:tc>
          <w:tcPr>
            <w:tcW w:w="1229" w:type="dxa"/>
            <w:tcBorders>
              <w:top w:val="nil"/>
              <w:left w:val="nil"/>
              <w:bottom w:val="single" w:color="auto" w:sz="4" w:space="0"/>
              <w:right w:val="single" w:color="auto" w:sz="4" w:space="0"/>
            </w:tcBorders>
            <w:vAlign w:val="center"/>
          </w:tcPr>
          <w:p w14:paraId="18E745E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247人</w:t>
            </w:r>
          </w:p>
        </w:tc>
        <w:tc>
          <w:tcPr>
            <w:tcW w:w="755" w:type="dxa"/>
            <w:gridSpan w:val="2"/>
            <w:tcBorders>
              <w:top w:val="single" w:color="auto" w:sz="4" w:space="0"/>
              <w:left w:val="nil"/>
              <w:bottom w:val="single" w:color="auto" w:sz="4" w:space="0"/>
              <w:right w:val="single" w:color="000000" w:sz="4" w:space="0"/>
            </w:tcBorders>
            <w:vAlign w:val="center"/>
          </w:tcPr>
          <w:p w14:paraId="5245E32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50D163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60DD2A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我校新增7名建档立卡贫困学生</w:t>
            </w:r>
          </w:p>
        </w:tc>
      </w:tr>
      <w:tr w14:paraId="4C3A1DB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6AD5DF">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FB99517">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142255C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AA33CF5">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贫困补助发放率</w:t>
            </w:r>
          </w:p>
        </w:tc>
        <w:tc>
          <w:tcPr>
            <w:tcW w:w="1125" w:type="dxa"/>
            <w:tcBorders>
              <w:top w:val="nil"/>
              <w:left w:val="nil"/>
              <w:bottom w:val="single" w:color="auto" w:sz="4" w:space="0"/>
              <w:right w:val="single" w:color="auto" w:sz="4" w:space="0"/>
            </w:tcBorders>
            <w:vAlign w:val="center"/>
          </w:tcPr>
          <w:p w14:paraId="0698829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F6D43C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05C05E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29C6C9D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16CB9429">
            <w:pPr>
              <w:widowControl/>
              <w:jc w:val="center"/>
              <w:rPr>
                <w:rFonts w:hint="eastAsia" w:ascii="宋体" w:hAnsi="宋体" w:eastAsia="宋体" w:cs="宋体"/>
                <w:color w:val="000000"/>
                <w:sz w:val="18"/>
                <w:szCs w:val="18"/>
              </w:rPr>
            </w:pPr>
          </w:p>
        </w:tc>
      </w:tr>
      <w:tr w14:paraId="479B269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F17F1B">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A4DC115">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4ECCBD0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7C24FB2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享受补助时长</w:t>
            </w:r>
          </w:p>
        </w:tc>
        <w:tc>
          <w:tcPr>
            <w:tcW w:w="1125" w:type="dxa"/>
            <w:tcBorders>
              <w:top w:val="nil"/>
              <w:left w:val="nil"/>
              <w:bottom w:val="single" w:color="auto" w:sz="4" w:space="0"/>
              <w:right w:val="single" w:color="auto" w:sz="4" w:space="0"/>
            </w:tcBorders>
            <w:vAlign w:val="center"/>
          </w:tcPr>
          <w:p w14:paraId="2CC9204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1229" w:type="dxa"/>
            <w:tcBorders>
              <w:top w:val="nil"/>
              <w:left w:val="nil"/>
              <w:bottom w:val="single" w:color="auto" w:sz="4" w:space="0"/>
              <w:right w:val="single" w:color="auto" w:sz="4" w:space="0"/>
            </w:tcBorders>
            <w:vAlign w:val="center"/>
          </w:tcPr>
          <w:p w14:paraId="2A22556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755" w:type="dxa"/>
            <w:gridSpan w:val="2"/>
            <w:tcBorders>
              <w:top w:val="single" w:color="auto" w:sz="4" w:space="0"/>
              <w:left w:val="nil"/>
              <w:bottom w:val="single" w:color="auto" w:sz="4" w:space="0"/>
              <w:right w:val="single" w:color="000000" w:sz="4" w:space="0"/>
            </w:tcBorders>
            <w:vAlign w:val="center"/>
          </w:tcPr>
          <w:p w14:paraId="3532E4F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4536F23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01A9E2FD">
            <w:pPr>
              <w:widowControl/>
              <w:jc w:val="center"/>
              <w:rPr>
                <w:rFonts w:hint="eastAsia" w:ascii="宋体" w:hAnsi="宋体" w:eastAsia="宋体" w:cs="宋体"/>
                <w:color w:val="000000"/>
                <w:sz w:val="18"/>
                <w:szCs w:val="18"/>
              </w:rPr>
            </w:pPr>
          </w:p>
        </w:tc>
      </w:tr>
      <w:tr w14:paraId="1B421B5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156BB7">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1C3567C">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E297013">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2FFBB00">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补助发放及时率</w:t>
            </w:r>
          </w:p>
        </w:tc>
        <w:tc>
          <w:tcPr>
            <w:tcW w:w="1125" w:type="dxa"/>
            <w:tcBorders>
              <w:top w:val="nil"/>
              <w:left w:val="nil"/>
              <w:bottom w:val="single" w:color="auto" w:sz="4" w:space="0"/>
              <w:right w:val="single" w:color="auto" w:sz="4" w:space="0"/>
            </w:tcBorders>
            <w:vAlign w:val="center"/>
          </w:tcPr>
          <w:p w14:paraId="29CE740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C3B1D3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2B01AD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E83FEA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50E528E">
            <w:pPr>
              <w:widowControl/>
              <w:jc w:val="center"/>
              <w:rPr>
                <w:rFonts w:hint="eastAsia" w:ascii="宋体" w:hAnsi="宋体" w:eastAsia="宋体" w:cs="宋体"/>
                <w:color w:val="000000"/>
                <w:sz w:val="18"/>
                <w:szCs w:val="18"/>
              </w:rPr>
            </w:pPr>
          </w:p>
        </w:tc>
      </w:tr>
      <w:tr w14:paraId="3CA1CA6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1BBD69">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7C7CA5D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409AE72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539F5D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解决贫困生困难</w:t>
            </w:r>
          </w:p>
        </w:tc>
        <w:tc>
          <w:tcPr>
            <w:tcW w:w="1125" w:type="dxa"/>
            <w:tcBorders>
              <w:top w:val="nil"/>
              <w:left w:val="nil"/>
              <w:bottom w:val="single" w:color="auto" w:sz="4" w:space="0"/>
              <w:right w:val="single" w:color="auto" w:sz="4" w:space="0"/>
            </w:tcBorders>
            <w:vAlign w:val="center"/>
          </w:tcPr>
          <w:p w14:paraId="08ABA58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1229" w:type="dxa"/>
            <w:tcBorders>
              <w:top w:val="nil"/>
              <w:left w:val="nil"/>
              <w:bottom w:val="single" w:color="auto" w:sz="4" w:space="0"/>
              <w:right w:val="single" w:color="auto" w:sz="4" w:space="0"/>
            </w:tcBorders>
            <w:vAlign w:val="center"/>
          </w:tcPr>
          <w:p w14:paraId="775A82F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5D28DA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1D0FDDA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1343754D">
            <w:pPr>
              <w:widowControl/>
              <w:jc w:val="center"/>
              <w:rPr>
                <w:rFonts w:hint="eastAsia" w:ascii="宋体" w:hAnsi="宋体" w:eastAsia="宋体" w:cs="宋体"/>
                <w:color w:val="000000"/>
                <w:sz w:val="18"/>
                <w:szCs w:val="18"/>
              </w:rPr>
            </w:pPr>
          </w:p>
        </w:tc>
      </w:tr>
      <w:tr w14:paraId="6BC74F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D26D18">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9CE213A">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7AC2CEA">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15F4030">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提高贫困生生活水平</w:t>
            </w:r>
          </w:p>
        </w:tc>
        <w:tc>
          <w:tcPr>
            <w:tcW w:w="1125" w:type="dxa"/>
            <w:tcBorders>
              <w:top w:val="nil"/>
              <w:left w:val="nil"/>
              <w:bottom w:val="single" w:color="auto" w:sz="4" w:space="0"/>
              <w:right w:val="single" w:color="auto" w:sz="4" w:space="0"/>
            </w:tcBorders>
            <w:vAlign w:val="center"/>
          </w:tcPr>
          <w:p w14:paraId="6C9AAB1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73CF4DE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CF0D6F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45C56C0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47A3DF3D">
            <w:pPr>
              <w:widowControl/>
              <w:jc w:val="center"/>
              <w:rPr>
                <w:rFonts w:hint="eastAsia" w:ascii="宋体" w:hAnsi="宋体" w:eastAsia="宋体" w:cs="宋体"/>
                <w:color w:val="000000"/>
                <w:sz w:val="18"/>
                <w:szCs w:val="18"/>
              </w:rPr>
            </w:pPr>
          </w:p>
        </w:tc>
      </w:tr>
      <w:tr w14:paraId="36EC2E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B3AE0A">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D25B45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52BFE83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1AD371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0D0D441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0D29308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4BD60A1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641929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76BEA80">
            <w:pPr>
              <w:widowControl/>
              <w:jc w:val="center"/>
              <w:rPr>
                <w:rFonts w:hint="eastAsia" w:ascii="宋体" w:hAnsi="宋体" w:eastAsia="宋体" w:cs="宋体"/>
                <w:color w:val="000000"/>
                <w:sz w:val="18"/>
                <w:szCs w:val="18"/>
              </w:rPr>
            </w:pPr>
          </w:p>
        </w:tc>
      </w:tr>
      <w:tr w14:paraId="5AC1343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D843D7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4F7CDA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3016BA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94.44分</w:t>
            </w:r>
          </w:p>
        </w:tc>
        <w:tc>
          <w:tcPr>
            <w:tcW w:w="1984" w:type="dxa"/>
            <w:gridSpan w:val="2"/>
            <w:tcBorders>
              <w:top w:val="single" w:color="auto" w:sz="4" w:space="0"/>
              <w:left w:val="nil"/>
              <w:bottom w:val="single" w:color="auto" w:sz="4" w:space="0"/>
              <w:right w:val="single" w:color="auto" w:sz="4" w:space="0"/>
            </w:tcBorders>
            <w:vAlign w:val="center"/>
          </w:tcPr>
          <w:p w14:paraId="77FE4BBC">
            <w:pPr>
              <w:widowControl/>
              <w:jc w:val="center"/>
              <w:rPr>
                <w:rFonts w:hint="eastAsia" w:ascii="宋体" w:hAnsi="宋体" w:eastAsia="宋体" w:cs="宋体"/>
                <w:b/>
                <w:bCs/>
                <w:color w:val="000000"/>
                <w:sz w:val="18"/>
                <w:szCs w:val="18"/>
              </w:rPr>
            </w:pPr>
          </w:p>
        </w:tc>
      </w:tr>
    </w:tbl>
    <w:p w14:paraId="51906C5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DD7A39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4"/>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A3050C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94A535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B084F0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乌财科教【2023】170号-关于提前下达2024年自治区教育项目经费（自聘教师工资补助）</w:t>
            </w:r>
          </w:p>
        </w:tc>
      </w:tr>
      <w:tr w14:paraId="669FB29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63237C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E31250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385C6DCF">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3F68F5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乌鲁木齐市第七十九中学</w:t>
            </w:r>
          </w:p>
        </w:tc>
      </w:tr>
      <w:tr w14:paraId="2A32175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BC2FEB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B08EDEA">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54F8274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2D27DE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F0CE15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7610D6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65120DF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5CEABC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F09745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FE54CE7">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529C92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3830DA4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24.96</w:t>
            </w:r>
          </w:p>
        </w:tc>
        <w:tc>
          <w:tcPr>
            <w:tcW w:w="1125" w:type="dxa"/>
            <w:tcBorders>
              <w:top w:val="nil"/>
              <w:left w:val="nil"/>
              <w:bottom w:val="single" w:color="auto" w:sz="4" w:space="0"/>
              <w:right w:val="single" w:color="auto" w:sz="4" w:space="0"/>
            </w:tcBorders>
            <w:noWrap/>
            <w:vAlign w:val="center"/>
          </w:tcPr>
          <w:p w14:paraId="338C949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36.76</w:t>
            </w:r>
          </w:p>
        </w:tc>
        <w:tc>
          <w:tcPr>
            <w:tcW w:w="1275" w:type="dxa"/>
            <w:gridSpan w:val="2"/>
            <w:tcBorders>
              <w:top w:val="single" w:color="auto" w:sz="4" w:space="0"/>
              <w:left w:val="nil"/>
              <w:bottom w:val="single" w:color="auto" w:sz="4" w:space="0"/>
              <w:right w:val="single" w:color="000000" w:sz="4" w:space="0"/>
            </w:tcBorders>
            <w:noWrap/>
            <w:vAlign w:val="center"/>
          </w:tcPr>
          <w:p w14:paraId="1DA5200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36.76</w:t>
            </w:r>
          </w:p>
        </w:tc>
        <w:tc>
          <w:tcPr>
            <w:tcW w:w="1134" w:type="dxa"/>
            <w:gridSpan w:val="2"/>
            <w:tcBorders>
              <w:top w:val="single" w:color="auto" w:sz="4" w:space="0"/>
              <w:left w:val="nil"/>
              <w:bottom w:val="single" w:color="auto" w:sz="4" w:space="0"/>
              <w:right w:val="single" w:color="auto" w:sz="4" w:space="0"/>
            </w:tcBorders>
            <w:vAlign w:val="center"/>
          </w:tcPr>
          <w:p w14:paraId="61130F6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4944E6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2506618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0C0D60B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2DF38DD">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09CA8E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E68F28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15.02</w:t>
            </w:r>
          </w:p>
        </w:tc>
        <w:tc>
          <w:tcPr>
            <w:tcW w:w="1125" w:type="dxa"/>
            <w:tcBorders>
              <w:top w:val="nil"/>
              <w:left w:val="nil"/>
              <w:bottom w:val="single" w:color="auto" w:sz="4" w:space="0"/>
              <w:right w:val="single" w:color="auto" w:sz="4" w:space="0"/>
            </w:tcBorders>
            <w:noWrap/>
            <w:vAlign w:val="center"/>
          </w:tcPr>
          <w:p w14:paraId="1478A81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26.82</w:t>
            </w:r>
          </w:p>
        </w:tc>
        <w:tc>
          <w:tcPr>
            <w:tcW w:w="1275" w:type="dxa"/>
            <w:gridSpan w:val="2"/>
            <w:tcBorders>
              <w:top w:val="single" w:color="auto" w:sz="4" w:space="0"/>
              <w:left w:val="nil"/>
              <w:bottom w:val="single" w:color="auto" w:sz="4" w:space="0"/>
              <w:right w:val="single" w:color="000000" w:sz="4" w:space="0"/>
            </w:tcBorders>
            <w:noWrap/>
            <w:vAlign w:val="center"/>
          </w:tcPr>
          <w:p w14:paraId="2F2F5E9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26.82</w:t>
            </w:r>
          </w:p>
        </w:tc>
        <w:tc>
          <w:tcPr>
            <w:tcW w:w="1134" w:type="dxa"/>
            <w:gridSpan w:val="2"/>
            <w:tcBorders>
              <w:top w:val="single" w:color="auto" w:sz="4" w:space="0"/>
              <w:left w:val="nil"/>
              <w:bottom w:val="single" w:color="auto" w:sz="4" w:space="0"/>
              <w:right w:val="single" w:color="auto" w:sz="4" w:space="0"/>
            </w:tcBorders>
            <w:vAlign w:val="center"/>
          </w:tcPr>
          <w:p w14:paraId="7A33C47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B1E75D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E67184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D95A4B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838F17C">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50C7EE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9A702B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9.94</w:t>
            </w:r>
          </w:p>
        </w:tc>
        <w:tc>
          <w:tcPr>
            <w:tcW w:w="1125" w:type="dxa"/>
            <w:tcBorders>
              <w:top w:val="nil"/>
              <w:left w:val="nil"/>
              <w:bottom w:val="single" w:color="auto" w:sz="4" w:space="0"/>
              <w:right w:val="single" w:color="auto" w:sz="4" w:space="0"/>
            </w:tcBorders>
            <w:noWrap/>
            <w:vAlign w:val="center"/>
          </w:tcPr>
          <w:p w14:paraId="574F25B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9.94</w:t>
            </w:r>
          </w:p>
        </w:tc>
        <w:tc>
          <w:tcPr>
            <w:tcW w:w="1275" w:type="dxa"/>
            <w:gridSpan w:val="2"/>
            <w:tcBorders>
              <w:top w:val="single" w:color="auto" w:sz="4" w:space="0"/>
              <w:left w:val="nil"/>
              <w:bottom w:val="single" w:color="auto" w:sz="4" w:space="0"/>
              <w:right w:val="single" w:color="000000" w:sz="4" w:space="0"/>
            </w:tcBorders>
            <w:noWrap/>
            <w:vAlign w:val="center"/>
          </w:tcPr>
          <w:p w14:paraId="497AC8A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9.94</w:t>
            </w:r>
          </w:p>
        </w:tc>
        <w:tc>
          <w:tcPr>
            <w:tcW w:w="1134" w:type="dxa"/>
            <w:gridSpan w:val="2"/>
            <w:tcBorders>
              <w:top w:val="single" w:color="auto" w:sz="4" w:space="0"/>
              <w:left w:val="nil"/>
              <w:bottom w:val="single" w:color="auto" w:sz="4" w:space="0"/>
              <w:right w:val="single" w:color="auto" w:sz="4" w:space="0"/>
            </w:tcBorders>
            <w:vAlign w:val="center"/>
          </w:tcPr>
          <w:p w14:paraId="3812744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7DB7C6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61DDD0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8AF23B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155CB1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5AF35E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BFCCA6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30B708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55C2CDB">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593E76D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此项目通过聘请代课教师20人并依据工资标准按时发放工资，提高代课教师的薪资待遇，保持教师队伍的稳定，提高代课教师工作的积极性，保证教育教学工作的正常开展，同时提高教学质量。</w:t>
            </w:r>
          </w:p>
        </w:tc>
        <w:tc>
          <w:tcPr>
            <w:tcW w:w="4677" w:type="dxa"/>
            <w:gridSpan w:val="7"/>
            <w:tcBorders>
              <w:top w:val="single" w:color="auto" w:sz="4" w:space="0"/>
              <w:left w:val="nil"/>
              <w:bottom w:val="single" w:color="auto" w:sz="4" w:space="0"/>
              <w:right w:val="single" w:color="000000" w:sz="4" w:space="0"/>
            </w:tcBorders>
          </w:tcPr>
          <w:p w14:paraId="592802F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2024年在自聘教师经费的保障下，我校能按时发放代课教师工资，资金发放能做到及时准确。调动代课教师的工作热情和积极性，提高教学质量提高教师的工作效率。</w:t>
            </w:r>
          </w:p>
        </w:tc>
      </w:tr>
      <w:tr w14:paraId="2C643786">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5410F14E">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6E23578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DCA1E5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CE2683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6E6E9E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759439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663B15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A4D4E8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CE3979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1E8BE5F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7F82422">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424893B">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0BFAF56">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7A1743F">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86C1FA1">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AB3D9EB">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C8F531D">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F076021">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484CC73">
            <w:pPr>
              <w:widowControl/>
              <w:jc w:val="left"/>
              <w:rPr>
                <w:rFonts w:hint="eastAsia" w:ascii="宋体" w:hAnsi="宋体" w:eastAsia="宋体" w:cs="宋体"/>
                <w:color w:val="000000"/>
                <w:sz w:val="18"/>
                <w:szCs w:val="18"/>
              </w:rPr>
            </w:pPr>
          </w:p>
        </w:tc>
      </w:tr>
      <w:tr w14:paraId="552CC5F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F02761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651B975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4809419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763898B">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代课教师人数</w:t>
            </w:r>
          </w:p>
        </w:tc>
        <w:tc>
          <w:tcPr>
            <w:tcW w:w="1125" w:type="dxa"/>
            <w:tcBorders>
              <w:top w:val="nil"/>
              <w:left w:val="nil"/>
              <w:bottom w:val="single" w:color="auto" w:sz="4" w:space="0"/>
              <w:right w:val="single" w:color="auto" w:sz="4" w:space="0"/>
            </w:tcBorders>
            <w:vAlign w:val="center"/>
          </w:tcPr>
          <w:p w14:paraId="23F9A60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&gt;=20人</w:t>
            </w:r>
          </w:p>
        </w:tc>
        <w:tc>
          <w:tcPr>
            <w:tcW w:w="1229" w:type="dxa"/>
            <w:tcBorders>
              <w:top w:val="nil"/>
              <w:left w:val="nil"/>
              <w:bottom w:val="single" w:color="auto" w:sz="4" w:space="0"/>
              <w:right w:val="single" w:color="auto" w:sz="4" w:space="0"/>
            </w:tcBorders>
            <w:vAlign w:val="center"/>
          </w:tcPr>
          <w:p w14:paraId="2D83FBD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20人</w:t>
            </w:r>
          </w:p>
        </w:tc>
        <w:tc>
          <w:tcPr>
            <w:tcW w:w="755" w:type="dxa"/>
            <w:gridSpan w:val="2"/>
            <w:tcBorders>
              <w:top w:val="single" w:color="auto" w:sz="4" w:space="0"/>
              <w:left w:val="nil"/>
              <w:bottom w:val="single" w:color="auto" w:sz="4" w:space="0"/>
              <w:right w:val="single" w:color="000000" w:sz="4" w:space="0"/>
            </w:tcBorders>
            <w:vAlign w:val="center"/>
          </w:tcPr>
          <w:p w14:paraId="68DDEDD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2B1CFA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791D9C2">
            <w:pPr>
              <w:widowControl/>
              <w:jc w:val="center"/>
              <w:rPr>
                <w:rFonts w:hint="eastAsia" w:ascii="宋体" w:hAnsi="宋体" w:eastAsia="宋体" w:cs="宋体"/>
                <w:color w:val="000000"/>
                <w:sz w:val="18"/>
                <w:szCs w:val="18"/>
              </w:rPr>
            </w:pPr>
          </w:p>
        </w:tc>
      </w:tr>
      <w:tr w14:paraId="38AADE6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E38BAD">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F031C7C">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49E497A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C1C0047">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代课教师上岗率</w:t>
            </w:r>
          </w:p>
        </w:tc>
        <w:tc>
          <w:tcPr>
            <w:tcW w:w="1125" w:type="dxa"/>
            <w:tcBorders>
              <w:top w:val="nil"/>
              <w:left w:val="nil"/>
              <w:bottom w:val="single" w:color="auto" w:sz="4" w:space="0"/>
              <w:right w:val="single" w:color="auto" w:sz="4" w:space="0"/>
            </w:tcBorders>
            <w:vAlign w:val="center"/>
          </w:tcPr>
          <w:p w14:paraId="5BA77C4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4F7E40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BE01E1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C7F9ED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EA428DA">
            <w:pPr>
              <w:widowControl/>
              <w:jc w:val="center"/>
              <w:rPr>
                <w:rFonts w:hint="eastAsia" w:ascii="宋体" w:hAnsi="宋体" w:eastAsia="宋体" w:cs="宋体"/>
                <w:color w:val="000000"/>
                <w:sz w:val="18"/>
                <w:szCs w:val="18"/>
              </w:rPr>
            </w:pPr>
          </w:p>
        </w:tc>
      </w:tr>
      <w:tr w14:paraId="175150A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0763E5">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D829800">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C76913C">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6ED575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学校正常运转率</w:t>
            </w:r>
          </w:p>
        </w:tc>
        <w:tc>
          <w:tcPr>
            <w:tcW w:w="1125" w:type="dxa"/>
            <w:tcBorders>
              <w:top w:val="nil"/>
              <w:left w:val="nil"/>
              <w:bottom w:val="single" w:color="auto" w:sz="4" w:space="0"/>
              <w:right w:val="single" w:color="auto" w:sz="4" w:space="0"/>
            </w:tcBorders>
            <w:vAlign w:val="center"/>
          </w:tcPr>
          <w:p w14:paraId="6E83142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7382C5E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BD23E8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865D52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D390D3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100%保障了学校正常运转</w:t>
            </w:r>
          </w:p>
        </w:tc>
      </w:tr>
      <w:tr w14:paraId="631498C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50FF1E">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87212F8">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00592A9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1D56E1D">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代课教师工资发放及时率</w:t>
            </w:r>
          </w:p>
        </w:tc>
        <w:tc>
          <w:tcPr>
            <w:tcW w:w="1125" w:type="dxa"/>
            <w:tcBorders>
              <w:top w:val="nil"/>
              <w:left w:val="nil"/>
              <w:bottom w:val="single" w:color="auto" w:sz="4" w:space="0"/>
              <w:right w:val="single" w:color="auto" w:sz="4" w:space="0"/>
            </w:tcBorders>
            <w:vAlign w:val="center"/>
          </w:tcPr>
          <w:p w14:paraId="124529E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&gt;=85%</w:t>
            </w:r>
          </w:p>
        </w:tc>
        <w:tc>
          <w:tcPr>
            <w:tcW w:w="1229" w:type="dxa"/>
            <w:tcBorders>
              <w:top w:val="nil"/>
              <w:left w:val="nil"/>
              <w:bottom w:val="single" w:color="auto" w:sz="4" w:space="0"/>
              <w:right w:val="single" w:color="auto" w:sz="4" w:space="0"/>
            </w:tcBorders>
            <w:vAlign w:val="center"/>
          </w:tcPr>
          <w:p w14:paraId="303ADD2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9A68AB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84E069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2FC3E5B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目标设置时对于资金发放及时率设置过于保守，实际上发放很及时</w:t>
            </w:r>
          </w:p>
        </w:tc>
      </w:tr>
      <w:tr w14:paraId="5E3DDC0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94E837">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79A8724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6D2FEA1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D53F55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提高社会服务发展能力</w:t>
            </w:r>
          </w:p>
        </w:tc>
        <w:tc>
          <w:tcPr>
            <w:tcW w:w="1125" w:type="dxa"/>
            <w:tcBorders>
              <w:top w:val="nil"/>
              <w:left w:val="nil"/>
              <w:bottom w:val="single" w:color="auto" w:sz="4" w:space="0"/>
              <w:right w:val="single" w:color="auto" w:sz="4" w:space="0"/>
            </w:tcBorders>
            <w:vAlign w:val="center"/>
          </w:tcPr>
          <w:p w14:paraId="6F72414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有所提高</w:t>
            </w:r>
          </w:p>
        </w:tc>
        <w:tc>
          <w:tcPr>
            <w:tcW w:w="1229" w:type="dxa"/>
            <w:tcBorders>
              <w:top w:val="nil"/>
              <w:left w:val="nil"/>
              <w:bottom w:val="single" w:color="auto" w:sz="4" w:space="0"/>
              <w:right w:val="single" w:color="auto" w:sz="4" w:space="0"/>
            </w:tcBorders>
            <w:vAlign w:val="center"/>
          </w:tcPr>
          <w:p w14:paraId="197A627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4A81E9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4F449B0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28CD0E2E">
            <w:pPr>
              <w:widowControl/>
              <w:jc w:val="center"/>
              <w:rPr>
                <w:rFonts w:hint="eastAsia" w:ascii="宋体" w:hAnsi="宋体" w:eastAsia="宋体" w:cs="宋体"/>
                <w:color w:val="000000"/>
                <w:sz w:val="18"/>
                <w:szCs w:val="18"/>
              </w:rPr>
            </w:pPr>
          </w:p>
        </w:tc>
      </w:tr>
      <w:tr w14:paraId="1F8D851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66B03A">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40ACADA">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42C0769">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928AA6B">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提高教师教学积极性</w:t>
            </w:r>
          </w:p>
        </w:tc>
        <w:tc>
          <w:tcPr>
            <w:tcW w:w="1125" w:type="dxa"/>
            <w:tcBorders>
              <w:top w:val="nil"/>
              <w:left w:val="nil"/>
              <w:bottom w:val="single" w:color="auto" w:sz="4" w:space="0"/>
              <w:right w:val="single" w:color="auto" w:sz="4" w:space="0"/>
            </w:tcBorders>
            <w:vAlign w:val="center"/>
          </w:tcPr>
          <w:p w14:paraId="633534D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52DB84A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C68863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6A46533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63E561E">
            <w:pPr>
              <w:widowControl/>
              <w:jc w:val="center"/>
              <w:rPr>
                <w:rFonts w:hint="eastAsia" w:ascii="宋体" w:hAnsi="宋体" w:eastAsia="宋体" w:cs="宋体"/>
                <w:color w:val="000000"/>
                <w:sz w:val="18"/>
                <w:szCs w:val="18"/>
              </w:rPr>
            </w:pPr>
          </w:p>
        </w:tc>
      </w:tr>
      <w:tr w14:paraId="2D3CF6A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C8645F">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55C8A3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2FA446A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4658B43">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455C92B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1D14505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14:paraId="67B5EDF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9EA5BF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110E17B">
            <w:pPr>
              <w:widowControl/>
              <w:jc w:val="center"/>
              <w:rPr>
                <w:rFonts w:hint="eastAsia" w:ascii="宋体" w:hAnsi="宋体" w:eastAsia="宋体" w:cs="宋体"/>
                <w:color w:val="000000"/>
                <w:sz w:val="18"/>
                <w:szCs w:val="18"/>
              </w:rPr>
            </w:pPr>
          </w:p>
        </w:tc>
      </w:tr>
      <w:tr w14:paraId="2A5CE57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E2F6A2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ECD097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220088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535968C6">
            <w:pPr>
              <w:widowControl/>
              <w:jc w:val="center"/>
              <w:rPr>
                <w:rFonts w:hint="eastAsia" w:ascii="宋体" w:hAnsi="宋体" w:eastAsia="宋体" w:cs="宋体"/>
                <w:b/>
                <w:bCs/>
                <w:color w:val="000000"/>
                <w:sz w:val="18"/>
                <w:szCs w:val="18"/>
              </w:rPr>
            </w:pPr>
          </w:p>
        </w:tc>
      </w:tr>
    </w:tbl>
    <w:p w14:paraId="2CD39A4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7B1F82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4"/>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1D8996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C20977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2440E5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乌财科教（2024）51号义务教育农村（校舍安全）保障项目</w:t>
            </w:r>
          </w:p>
        </w:tc>
      </w:tr>
      <w:tr w14:paraId="5BFD2EB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75F3A9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A1C0DE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46E7732C">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CC4E04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乌鲁木齐市第七十九中学</w:t>
            </w:r>
          </w:p>
        </w:tc>
      </w:tr>
      <w:tr w14:paraId="3D06F03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D1B07F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5471A1A">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5B68BF9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EFFC69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6875C9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7737AA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FD1266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58419CA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5EC1B5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1009871">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574D8B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C345A1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125" w:type="dxa"/>
            <w:tcBorders>
              <w:top w:val="nil"/>
              <w:left w:val="nil"/>
              <w:bottom w:val="single" w:color="auto" w:sz="4" w:space="0"/>
              <w:right w:val="single" w:color="auto" w:sz="4" w:space="0"/>
            </w:tcBorders>
            <w:noWrap/>
            <w:vAlign w:val="center"/>
          </w:tcPr>
          <w:p w14:paraId="20C3328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275" w:type="dxa"/>
            <w:gridSpan w:val="2"/>
            <w:tcBorders>
              <w:top w:val="single" w:color="auto" w:sz="4" w:space="0"/>
              <w:left w:val="nil"/>
              <w:bottom w:val="single" w:color="auto" w:sz="4" w:space="0"/>
              <w:right w:val="single" w:color="000000" w:sz="4" w:space="0"/>
            </w:tcBorders>
            <w:noWrap/>
            <w:vAlign w:val="center"/>
          </w:tcPr>
          <w:p w14:paraId="78CAF2E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19.73</w:t>
            </w:r>
          </w:p>
        </w:tc>
        <w:tc>
          <w:tcPr>
            <w:tcW w:w="1134" w:type="dxa"/>
            <w:gridSpan w:val="2"/>
            <w:tcBorders>
              <w:top w:val="single" w:color="auto" w:sz="4" w:space="0"/>
              <w:left w:val="nil"/>
              <w:bottom w:val="single" w:color="auto" w:sz="4" w:space="0"/>
              <w:right w:val="single" w:color="auto" w:sz="4" w:space="0"/>
            </w:tcBorders>
            <w:vAlign w:val="center"/>
          </w:tcPr>
          <w:p w14:paraId="4645C2A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B9947F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98.65%</w:t>
            </w:r>
          </w:p>
        </w:tc>
        <w:tc>
          <w:tcPr>
            <w:tcW w:w="1275" w:type="dxa"/>
            <w:tcBorders>
              <w:top w:val="nil"/>
              <w:left w:val="nil"/>
              <w:bottom w:val="single" w:color="auto" w:sz="4" w:space="0"/>
              <w:right w:val="single" w:color="auto" w:sz="4" w:space="0"/>
            </w:tcBorders>
            <w:vAlign w:val="center"/>
          </w:tcPr>
          <w:p w14:paraId="4C0F895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9.87分</w:t>
            </w:r>
          </w:p>
        </w:tc>
      </w:tr>
      <w:tr w14:paraId="178914B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9768BE6">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643DB8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A78623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125" w:type="dxa"/>
            <w:tcBorders>
              <w:top w:val="nil"/>
              <w:left w:val="nil"/>
              <w:bottom w:val="single" w:color="auto" w:sz="4" w:space="0"/>
              <w:right w:val="single" w:color="auto" w:sz="4" w:space="0"/>
            </w:tcBorders>
            <w:noWrap/>
            <w:vAlign w:val="center"/>
          </w:tcPr>
          <w:p w14:paraId="161806E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275" w:type="dxa"/>
            <w:gridSpan w:val="2"/>
            <w:tcBorders>
              <w:top w:val="single" w:color="auto" w:sz="4" w:space="0"/>
              <w:left w:val="nil"/>
              <w:bottom w:val="single" w:color="auto" w:sz="4" w:space="0"/>
              <w:right w:val="single" w:color="000000" w:sz="4" w:space="0"/>
            </w:tcBorders>
            <w:noWrap/>
            <w:vAlign w:val="center"/>
          </w:tcPr>
          <w:p w14:paraId="6D0D049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19.73</w:t>
            </w:r>
          </w:p>
        </w:tc>
        <w:tc>
          <w:tcPr>
            <w:tcW w:w="1134" w:type="dxa"/>
            <w:gridSpan w:val="2"/>
            <w:tcBorders>
              <w:top w:val="single" w:color="auto" w:sz="4" w:space="0"/>
              <w:left w:val="nil"/>
              <w:bottom w:val="single" w:color="auto" w:sz="4" w:space="0"/>
              <w:right w:val="single" w:color="auto" w:sz="4" w:space="0"/>
            </w:tcBorders>
            <w:vAlign w:val="center"/>
          </w:tcPr>
          <w:p w14:paraId="65CD461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EC590D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50321C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F142EB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9A89989">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96C0F9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EE46E0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30406DB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4CB230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242935A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C8CB17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6C2560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5BD366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101402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3BC10E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9F4523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03B571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64A4002">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046BB2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以正常开展各项日常教育教学活动为重点，为学校日常运转提供有力保障，改善教学环境，为师生创造更加优质的教学环境，不断提升办学水平。</w:t>
            </w:r>
          </w:p>
        </w:tc>
        <w:tc>
          <w:tcPr>
            <w:tcW w:w="4677" w:type="dxa"/>
            <w:gridSpan w:val="7"/>
            <w:tcBorders>
              <w:top w:val="single" w:color="auto" w:sz="4" w:space="0"/>
              <w:left w:val="nil"/>
              <w:bottom w:val="single" w:color="auto" w:sz="4" w:space="0"/>
              <w:right w:val="single" w:color="000000" w:sz="4" w:space="0"/>
            </w:tcBorders>
          </w:tcPr>
          <w:p w14:paraId="14F2617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本年度对40间教室进行了护眼灯设备安装，达到保护学生视力健康的目标。</w:t>
            </w:r>
          </w:p>
        </w:tc>
      </w:tr>
      <w:tr w14:paraId="668D4DD0">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7C365EE9">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25B1133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42BB6D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292C15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52709A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135E0B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132E54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649C93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324895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684AD33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9829019">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E16ACEF">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789B767">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B8A7FEE">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106A7B29">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541AEF13">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98480F7">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552DD24">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1EA1A87">
            <w:pPr>
              <w:widowControl/>
              <w:jc w:val="left"/>
              <w:rPr>
                <w:rFonts w:hint="eastAsia" w:ascii="宋体" w:hAnsi="宋体" w:eastAsia="宋体" w:cs="宋体"/>
                <w:color w:val="000000"/>
                <w:sz w:val="18"/>
                <w:szCs w:val="18"/>
              </w:rPr>
            </w:pPr>
          </w:p>
        </w:tc>
      </w:tr>
      <w:tr w14:paraId="429BA70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2B5D55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4B688F3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11A8741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E821CD0">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享受教学条件改善学生数</w:t>
            </w:r>
          </w:p>
        </w:tc>
        <w:tc>
          <w:tcPr>
            <w:tcW w:w="1125" w:type="dxa"/>
            <w:tcBorders>
              <w:top w:val="nil"/>
              <w:left w:val="nil"/>
              <w:bottom w:val="single" w:color="auto" w:sz="4" w:space="0"/>
              <w:right w:val="single" w:color="auto" w:sz="4" w:space="0"/>
            </w:tcBorders>
            <w:vAlign w:val="center"/>
          </w:tcPr>
          <w:p w14:paraId="0EEFFDE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&gt;=1400人</w:t>
            </w:r>
          </w:p>
        </w:tc>
        <w:tc>
          <w:tcPr>
            <w:tcW w:w="1229" w:type="dxa"/>
            <w:tcBorders>
              <w:top w:val="nil"/>
              <w:left w:val="nil"/>
              <w:bottom w:val="single" w:color="auto" w:sz="4" w:space="0"/>
              <w:right w:val="single" w:color="auto" w:sz="4" w:space="0"/>
            </w:tcBorders>
            <w:vAlign w:val="center"/>
          </w:tcPr>
          <w:p w14:paraId="689626A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1519人</w:t>
            </w:r>
          </w:p>
        </w:tc>
        <w:tc>
          <w:tcPr>
            <w:tcW w:w="755" w:type="dxa"/>
            <w:gridSpan w:val="2"/>
            <w:tcBorders>
              <w:top w:val="single" w:color="auto" w:sz="4" w:space="0"/>
              <w:left w:val="nil"/>
              <w:bottom w:val="single" w:color="auto" w:sz="4" w:space="0"/>
              <w:right w:val="single" w:color="000000" w:sz="4" w:space="0"/>
            </w:tcBorders>
            <w:vAlign w:val="center"/>
          </w:tcPr>
          <w:p w14:paraId="5561069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721ACB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BC49C8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本学期扩招学生，导致指标超额完成</w:t>
            </w:r>
          </w:p>
        </w:tc>
      </w:tr>
      <w:tr w14:paraId="75B11FE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2A2DB0">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5F64AD9">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A6A5A50">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377DEE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教学班级采光照明改造间数</w:t>
            </w:r>
          </w:p>
        </w:tc>
        <w:tc>
          <w:tcPr>
            <w:tcW w:w="1125" w:type="dxa"/>
            <w:tcBorders>
              <w:top w:val="nil"/>
              <w:left w:val="nil"/>
              <w:bottom w:val="single" w:color="auto" w:sz="4" w:space="0"/>
              <w:right w:val="single" w:color="auto" w:sz="4" w:space="0"/>
            </w:tcBorders>
            <w:vAlign w:val="center"/>
          </w:tcPr>
          <w:p w14:paraId="69E659C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=40间</w:t>
            </w:r>
          </w:p>
        </w:tc>
        <w:tc>
          <w:tcPr>
            <w:tcW w:w="1229" w:type="dxa"/>
            <w:tcBorders>
              <w:top w:val="nil"/>
              <w:left w:val="nil"/>
              <w:bottom w:val="single" w:color="auto" w:sz="4" w:space="0"/>
              <w:right w:val="single" w:color="auto" w:sz="4" w:space="0"/>
            </w:tcBorders>
            <w:vAlign w:val="center"/>
          </w:tcPr>
          <w:p w14:paraId="353B4EF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40间</w:t>
            </w:r>
          </w:p>
        </w:tc>
        <w:tc>
          <w:tcPr>
            <w:tcW w:w="755" w:type="dxa"/>
            <w:gridSpan w:val="2"/>
            <w:tcBorders>
              <w:top w:val="single" w:color="auto" w:sz="4" w:space="0"/>
              <w:left w:val="nil"/>
              <w:bottom w:val="single" w:color="auto" w:sz="4" w:space="0"/>
              <w:right w:val="single" w:color="000000" w:sz="4" w:space="0"/>
            </w:tcBorders>
            <w:vAlign w:val="center"/>
          </w:tcPr>
          <w:p w14:paraId="25BD8A9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49FA7B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76630C2">
            <w:pPr>
              <w:widowControl/>
              <w:jc w:val="center"/>
              <w:rPr>
                <w:rFonts w:hint="eastAsia" w:ascii="宋体" w:hAnsi="宋体" w:eastAsia="宋体" w:cs="宋体"/>
                <w:color w:val="000000"/>
                <w:sz w:val="18"/>
                <w:szCs w:val="18"/>
              </w:rPr>
            </w:pPr>
          </w:p>
        </w:tc>
      </w:tr>
      <w:tr w14:paraId="3BEDAE1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C92E48">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D696064">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59F5629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4A6F6A3">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教学班级采光照明改造验收合格率</w:t>
            </w:r>
          </w:p>
        </w:tc>
        <w:tc>
          <w:tcPr>
            <w:tcW w:w="1125" w:type="dxa"/>
            <w:tcBorders>
              <w:top w:val="nil"/>
              <w:left w:val="nil"/>
              <w:bottom w:val="single" w:color="auto" w:sz="4" w:space="0"/>
              <w:right w:val="single" w:color="auto" w:sz="4" w:space="0"/>
            </w:tcBorders>
            <w:vAlign w:val="center"/>
          </w:tcPr>
          <w:p w14:paraId="1FDBC22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34D22B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42FCEF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32AE02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A5AE785">
            <w:pPr>
              <w:widowControl/>
              <w:jc w:val="center"/>
              <w:rPr>
                <w:rFonts w:hint="eastAsia" w:ascii="宋体" w:hAnsi="宋体" w:eastAsia="宋体" w:cs="宋体"/>
                <w:color w:val="000000"/>
                <w:sz w:val="18"/>
                <w:szCs w:val="18"/>
              </w:rPr>
            </w:pPr>
          </w:p>
        </w:tc>
      </w:tr>
      <w:tr w14:paraId="539BBB6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B02FE7">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0E6570A">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177A59B">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082B8F7">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购置设备质量合格率</w:t>
            </w:r>
          </w:p>
        </w:tc>
        <w:tc>
          <w:tcPr>
            <w:tcW w:w="1125" w:type="dxa"/>
            <w:tcBorders>
              <w:top w:val="nil"/>
              <w:left w:val="nil"/>
              <w:bottom w:val="single" w:color="auto" w:sz="4" w:space="0"/>
              <w:right w:val="single" w:color="auto" w:sz="4" w:space="0"/>
            </w:tcBorders>
            <w:vAlign w:val="center"/>
          </w:tcPr>
          <w:p w14:paraId="4506A51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BA9899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A9DA7B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5CF848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F7582BD">
            <w:pPr>
              <w:widowControl/>
              <w:jc w:val="center"/>
              <w:rPr>
                <w:rFonts w:hint="eastAsia" w:ascii="宋体" w:hAnsi="宋体" w:eastAsia="宋体" w:cs="宋体"/>
                <w:color w:val="000000"/>
                <w:sz w:val="18"/>
                <w:szCs w:val="18"/>
              </w:rPr>
            </w:pPr>
          </w:p>
        </w:tc>
      </w:tr>
      <w:tr w14:paraId="774D216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0AE705">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B7DB21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28B9319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181019B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设备预算采购成本</w:t>
            </w:r>
          </w:p>
        </w:tc>
        <w:tc>
          <w:tcPr>
            <w:tcW w:w="1125" w:type="dxa"/>
            <w:tcBorders>
              <w:top w:val="nil"/>
              <w:left w:val="nil"/>
              <w:bottom w:val="single" w:color="auto" w:sz="4" w:space="0"/>
              <w:right w:val="single" w:color="auto" w:sz="4" w:space="0"/>
            </w:tcBorders>
            <w:vAlign w:val="center"/>
          </w:tcPr>
          <w:p w14:paraId="56AB5FC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&lt;=5000元</w:t>
            </w:r>
          </w:p>
        </w:tc>
        <w:tc>
          <w:tcPr>
            <w:tcW w:w="1229" w:type="dxa"/>
            <w:tcBorders>
              <w:top w:val="nil"/>
              <w:left w:val="nil"/>
              <w:bottom w:val="single" w:color="auto" w:sz="4" w:space="0"/>
              <w:right w:val="single" w:color="auto" w:sz="4" w:space="0"/>
            </w:tcBorders>
            <w:vAlign w:val="center"/>
          </w:tcPr>
          <w:p w14:paraId="781E146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4932元</w:t>
            </w:r>
          </w:p>
        </w:tc>
        <w:tc>
          <w:tcPr>
            <w:tcW w:w="755" w:type="dxa"/>
            <w:gridSpan w:val="2"/>
            <w:tcBorders>
              <w:top w:val="single" w:color="auto" w:sz="4" w:space="0"/>
              <w:left w:val="nil"/>
              <w:bottom w:val="single" w:color="auto" w:sz="4" w:space="0"/>
              <w:right w:val="single" w:color="000000" w:sz="4" w:space="0"/>
            </w:tcBorders>
            <w:vAlign w:val="center"/>
          </w:tcPr>
          <w:p w14:paraId="3B4DC49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D2147B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19.73</w:t>
            </w:r>
          </w:p>
        </w:tc>
        <w:tc>
          <w:tcPr>
            <w:tcW w:w="1984" w:type="dxa"/>
            <w:gridSpan w:val="2"/>
            <w:tcBorders>
              <w:top w:val="single" w:color="auto" w:sz="4" w:space="0"/>
              <w:left w:val="nil"/>
              <w:bottom w:val="single" w:color="auto" w:sz="4" w:space="0"/>
              <w:right w:val="single" w:color="auto" w:sz="4" w:space="0"/>
            </w:tcBorders>
            <w:vAlign w:val="center"/>
          </w:tcPr>
          <w:p w14:paraId="3EA68DE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实际支付金额为19.73万元，小于预计标准，所以存在偏差</w:t>
            </w:r>
          </w:p>
        </w:tc>
      </w:tr>
      <w:tr w14:paraId="18967D1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F56BB7">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811A8C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43A7AFD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5F30B5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改善广大师生员工的生活设施教学环境</w:t>
            </w:r>
          </w:p>
        </w:tc>
        <w:tc>
          <w:tcPr>
            <w:tcW w:w="1125" w:type="dxa"/>
            <w:tcBorders>
              <w:top w:val="nil"/>
              <w:left w:val="nil"/>
              <w:bottom w:val="single" w:color="auto" w:sz="4" w:space="0"/>
              <w:right w:val="single" w:color="auto" w:sz="4" w:space="0"/>
            </w:tcBorders>
            <w:vAlign w:val="center"/>
          </w:tcPr>
          <w:p w14:paraId="05DD3F5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1E78B99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64856C1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770613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04A3FC1">
            <w:pPr>
              <w:widowControl/>
              <w:jc w:val="center"/>
              <w:rPr>
                <w:rFonts w:hint="eastAsia" w:ascii="宋体" w:hAnsi="宋体" w:eastAsia="宋体" w:cs="宋体"/>
                <w:color w:val="000000"/>
                <w:sz w:val="18"/>
                <w:szCs w:val="18"/>
              </w:rPr>
            </w:pPr>
          </w:p>
        </w:tc>
      </w:tr>
      <w:tr w14:paraId="140B4A6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C5704C">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A5C32F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6E29B78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0B18CF3">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5862330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FBDFDB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14:paraId="732F0E9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13881A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1C5A72B">
            <w:pPr>
              <w:widowControl/>
              <w:jc w:val="center"/>
              <w:rPr>
                <w:rFonts w:hint="eastAsia" w:ascii="宋体" w:hAnsi="宋体" w:eastAsia="宋体" w:cs="宋体"/>
                <w:color w:val="000000"/>
                <w:sz w:val="18"/>
                <w:szCs w:val="18"/>
              </w:rPr>
            </w:pPr>
          </w:p>
        </w:tc>
      </w:tr>
      <w:tr w14:paraId="7934963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BE74BC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C0BFF1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D4021D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99.60分</w:t>
            </w:r>
          </w:p>
        </w:tc>
        <w:tc>
          <w:tcPr>
            <w:tcW w:w="1984" w:type="dxa"/>
            <w:gridSpan w:val="2"/>
            <w:tcBorders>
              <w:top w:val="single" w:color="auto" w:sz="4" w:space="0"/>
              <w:left w:val="nil"/>
              <w:bottom w:val="single" w:color="auto" w:sz="4" w:space="0"/>
              <w:right w:val="single" w:color="auto" w:sz="4" w:space="0"/>
            </w:tcBorders>
            <w:vAlign w:val="center"/>
          </w:tcPr>
          <w:p w14:paraId="1B1C59F9">
            <w:pPr>
              <w:widowControl/>
              <w:jc w:val="center"/>
              <w:rPr>
                <w:rFonts w:hint="eastAsia" w:ascii="宋体" w:hAnsi="宋体" w:eastAsia="宋体" w:cs="宋体"/>
                <w:b/>
                <w:bCs/>
                <w:color w:val="000000"/>
                <w:sz w:val="18"/>
                <w:szCs w:val="18"/>
              </w:rPr>
            </w:pPr>
          </w:p>
        </w:tc>
      </w:tr>
    </w:tbl>
    <w:p w14:paraId="792E025D">
      <w:pPr>
        <w:widowControl/>
        <w:ind w:firstLine="640" w:firstLineChars="200"/>
        <w:rPr>
          <w:rFonts w:ascii="仿宋_GB2312" w:eastAsia="仿宋_GB2312"/>
          <w:sz w:val="32"/>
          <w:szCs w:val="32"/>
        </w:rPr>
      </w:pPr>
    </w:p>
    <w:p w14:paraId="1EC4CE6C">
      <w:pPr>
        <w:widowControl/>
        <w:ind w:firstLine="640" w:firstLineChars="200"/>
        <w:jc w:val="left"/>
        <w:outlineLvl w:val="1"/>
        <w:rPr>
          <w:rFonts w:ascii="黑体" w:eastAsia="黑体"/>
          <w:sz w:val="32"/>
          <w:szCs w:val="32"/>
        </w:rPr>
      </w:pPr>
      <w:r>
        <w:rPr>
          <w:rFonts w:ascii="黑体" w:eastAsia="黑体"/>
          <w:sz w:val="32"/>
          <w:szCs w:val="32"/>
        </w:rPr>
        <w:t>十二、其他需说明的事项</w:t>
      </w:r>
    </w:p>
    <w:p w14:paraId="6BDC0C81">
      <w:pPr>
        <w:widowControl/>
        <w:ind w:firstLine="640" w:firstLineChars="200"/>
        <w:rPr>
          <w:rFonts w:ascii="仿宋_GB2312" w:eastAsia="仿宋_GB2312"/>
          <w:sz w:val="32"/>
          <w:szCs w:val="32"/>
        </w:rPr>
      </w:pPr>
      <w:r>
        <w:rPr>
          <w:rFonts w:hint="eastAsia" w:ascii="仿宋_GB2312" w:eastAsia="仿宋_GB2312"/>
          <w:sz w:val="32"/>
          <w:szCs w:val="32"/>
        </w:rPr>
        <w:t>我单位2024年度无政府采购支出，授予中小企业合同金额0.00万元。</w:t>
      </w:r>
    </w:p>
    <w:p w14:paraId="73A1FA0F">
      <w:pPr>
        <w:widowControl/>
        <w:ind w:firstLine="640" w:firstLineChars="200"/>
        <w:jc w:val="left"/>
        <w:rPr>
          <w:rFonts w:ascii="仿宋_GB2312" w:eastAsia="仿宋_GB2312"/>
          <w:sz w:val="32"/>
          <w:szCs w:val="32"/>
        </w:rPr>
      </w:pPr>
    </w:p>
    <w:p w14:paraId="413BF500">
      <w:pPr>
        <w:widowControl/>
      </w:pPr>
      <w:r>
        <w:rPr>
          <w:sz w:val="0"/>
          <w:szCs w:val="0"/>
        </w:rPr>
        <w:br w:type="page"/>
      </w:r>
    </w:p>
    <w:p w14:paraId="581B7601">
      <w:pPr>
        <w:widowControl/>
        <w:jc w:val="center"/>
        <w:outlineLvl w:val="0"/>
        <w:rPr>
          <w:rFonts w:ascii="黑体" w:eastAsia="黑体"/>
          <w:sz w:val="32"/>
          <w:szCs w:val="32"/>
        </w:rPr>
      </w:pPr>
      <w:r>
        <w:rPr>
          <w:rFonts w:ascii="黑体" w:eastAsia="黑体"/>
          <w:sz w:val="32"/>
          <w:szCs w:val="32"/>
        </w:rPr>
        <w:t>第三部分 专业名词解释</w:t>
      </w:r>
    </w:p>
    <w:p w14:paraId="7EC13789">
      <w:pPr>
        <w:widowControl/>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0230319B">
      <w:pPr>
        <w:widowControl/>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0C8DBD4F">
      <w:pPr>
        <w:widowControl/>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16E31BF7">
      <w:pPr>
        <w:widowControl/>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52BC9BDB">
      <w:pPr>
        <w:widowControl/>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05A5EBC6">
      <w:pPr>
        <w:widowControl/>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指除上述“财政拨款收入”、“事业收入”、“经营收入”、“附属单位上缴收入”等之外取得的收入。</w:t>
      </w:r>
    </w:p>
    <w:p w14:paraId="792407B3">
      <w:pPr>
        <w:widowControl/>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2BDCF934">
      <w:pPr>
        <w:widowControl/>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CDC9CD6">
      <w:pPr>
        <w:widowControl/>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225C2414">
      <w:pPr>
        <w:widowControl/>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2F6D04CA">
      <w:pPr>
        <w:widowControl/>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1DD5A8BA">
      <w:pPr>
        <w:widowControl/>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7092BC8F">
      <w:pPr>
        <w:widowControl/>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35188A9">
      <w:pPr>
        <w:widowControl/>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654E5F93">
      <w:pPr>
        <w:widowControl/>
      </w:pPr>
      <w:r>
        <w:rPr>
          <w:sz w:val="0"/>
          <w:szCs w:val="0"/>
        </w:rPr>
        <w:br w:type="page"/>
      </w:r>
    </w:p>
    <w:p w14:paraId="41D141A1">
      <w:pPr>
        <w:widowControl/>
        <w:jc w:val="center"/>
        <w:outlineLvl w:val="0"/>
        <w:rPr>
          <w:rFonts w:ascii="黑体" w:eastAsia="黑体"/>
          <w:sz w:val="32"/>
          <w:szCs w:val="32"/>
        </w:rPr>
      </w:pPr>
      <w:r>
        <w:rPr>
          <w:rFonts w:ascii="黑体" w:eastAsia="黑体"/>
          <w:sz w:val="32"/>
          <w:szCs w:val="32"/>
        </w:rPr>
        <w:t>第四部分 部门决算报表（见附表）</w:t>
      </w:r>
    </w:p>
    <w:p w14:paraId="03742099">
      <w:pPr>
        <w:widowControl/>
        <w:ind w:firstLine="640" w:firstLineChars="200"/>
        <w:jc w:val="left"/>
        <w:outlineLvl w:val="1"/>
        <w:rPr>
          <w:rFonts w:ascii="仿宋_GB2312" w:eastAsia="仿宋_GB2312"/>
          <w:sz w:val="32"/>
          <w:szCs w:val="32"/>
        </w:rPr>
      </w:pPr>
      <w:r>
        <w:rPr>
          <w:rFonts w:ascii="仿宋_GB2312" w:eastAsia="仿宋_GB2312"/>
          <w:sz w:val="32"/>
          <w:szCs w:val="32"/>
        </w:rPr>
        <w:t>一、《收入支出决算总表》</w:t>
      </w:r>
    </w:p>
    <w:p w14:paraId="5A770511">
      <w:pPr>
        <w:widowControl/>
        <w:ind w:firstLine="640" w:firstLineChars="200"/>
        <w:jc w:val="left"/>
        <w:outlineLvl w:val="1"/>
        <w:rPr>
          <w:rFonts w:ascii="仿宋_GB2312" w:eastAsia="仿宋_GB2312"/>
          <w:sz w:val="32"/>
          <w:szCs w:val="32"/>
        </w:rPr>
      </w:pPr>
      <w:r>
        <w:rPr>
          <w:rFonts w:ascii="仿宋_GB2312" w:eastAsia="仿宋_GB2312"/>
          <w:sz w:val="32"/>
          <w:szCs w:val="32"/>
        </w:rPr>
        <w:t>二、《收入决算表》</w:t>
      </w:r>
    </w:p>
    <w:p w14:paraId="063B75BD">
      <w:pPr>
        <w:widowControl/>
        <w:ind w:firstLine="640" w:firstLineChars="200"/>
        <w:jc w:val="left"/>
        <w:outlineLvl w:val="1"/>
        <w:rPr>
          <w:rFonts w:ascii="仿宋_GB2312" w:eastAsia="仿宋_GB2312"/>
          <w:sz w:val="32"/>
          <w:szCs w:val="32"/>
        </w:rPr>
      </w:pPr>
      <w:r>
        <w:rPr>
          <w:rFonts w:ascii="仿宋_GB2312" w:eastAsia="仿宋_GB2312"/>
          <w:sz w:val="32"/>
          <w:szCs w:val="32"/>
        </w:rPr>
        <w:t>三、《支出决算表》</w:t>
      </w:r>
    </w:p>
    <w:p w14:paraId="4968780B">
      <w:pPr>
        <w:widowControl/>
        <w:ind w:firstLine="640" w:firstLineChars="200"/>
        <w:jc w:val="left"/>
        <w:outlineLvl w:val="1"/>
        <w:rPr>
          <w:rFonts w:ascii="仿宋_GB2312" w:eastAsia="仿宋_GB2312"/>
          <w:sz w:val="32"/>
          <w:szCs w:val="32"/>
        </w:rPr>
      </w:pPr>
      <w:r>
        <w:rPr>
          <w:rFonts w:ascii="仿宋_GB2312" w:eastAsia="仿宋_GB2312"/>
          <w:sz w:val="32"/>
          <w:szCs w:val="32"/>
        </w:rPr>
        <w:t>四、《财政拨款收入支出决算总表》</w:t>
      </w:r>
    </w:p>
    <w:p w14:paraId="325FD57A">
      <w:pPr>
        <w:widowControl/>
        <w:ind w:firstLine="640" w:firstLineChars="20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6960973C">
      <w:pPr>
        <w:widowControl/>
        <w:ind w:firstLine="640" w:firstLineChars="20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48684D7B">
      <w:pPr>
        <w:widowControl/>
        <w:ind w:firstLine="640" w:firstLineChars="20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6F09E232">
      <w:pPr>
        <w:widowControl/>
        <w:ind w:firstLine="640" w:firstLineChars="20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5C662D39">
      <w:pPr>
        <w:widowControl/>
        <w:ind w:firstLine="640" w:firstLineChars="200"/>
        <w:jc w:val="left"/>
        <w:outlineLvl w:val="1"/>
        <w:rPr>
          <w:rFonts w:ascii="仿宋_GB2312" w:eastAsia="仿宋_GB2312"/>
          <w:sz w:val="32"/>
          <w:szCs w:val="32"/>
        </w:rPr>
      </w:pPr>
      <w:r>
        <w:rPr>
          <w:rFonts w:ascii="仿宋_GB2312" w:eastAsia="仿宋_GB2312"/>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splitPgBreakAndParaMark/>
    <w:compatSetting w:name="compatibilityMode" w:uri="http://schemas.microsoft.com/office/word" w:val="12"/>
  </w:compat>
  <w:rsids>
    <w:rsidRoot w:val="00942651"/>
    <w:rsid w:val="00321DCE"/>
    <w:rsid w:val="0042572B"/>
    <w:rsid w:val="00942651"/>
    <w:rsid w:val="009E600C"/>
    <w:rsid w:val="09F541A7"/>
    <w:rsid w:val="2C4D5075"/>
    <w:rsid w:val="335022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tabs>
        <w:tab w:val="center" w:pos="4153"/>
        <w:tab w:val="right" w:pos="8306"/>
      </w:tabs>
      <w:snapToGrid w:val="0"/>
      <w:jc w:val="center"/>
    </w:pPr>
    <w:rPr>
      <w:sz w:val="18"/>
      <w:szCs w:val="18"/>
    </w:rPr>
  </w:style>
  <w:style w:type="character" w:customStyle="1" w:styleId="6">
    <w:name w:val="页眉 字符"/>
    <w:basedOn w:val="5"/>
    <w:link w:val="3"/>
    <w:qFormat/>
    <w:uiPriority w:val="0"/>
    <w:rPr>
      <w:sz w:val="18"/>
      <w:szCs w:val="18"/>
    </w:rPr>
  </w:style>
  <w:style w:type="character" w:customStyle="1" w:styleId="7">
    <w:name w:val="页脚 字符"/>
    <w:basedOn w:val="5"/>
    <w:link w:val="2"/>
    <w:qFormat/>
    <w:uiPriority w:val="0"/>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8518</Words>
  <Characters>9767</Characters>
  <Lines>823</Lines>
  <Paragraphs>718</Paragraphs>
  <TotalTime>8</TotalTime>
  <ScaleCrop>false</ScaleCrop>
  <LinksUpToDate>false</LinksUpToDate>
  <CharactersWithSpaces>9778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2025-09-29T09:02:00Z</dcterms:created>
  <dc:creator>回上.LAPTOP-7R4U860U</dc:creator>
  <cp:lastModifiedBy>辣庅小</cp:lastModifiedBy>
  <dcterms:modified xsi:type="dcterms:W3CDTF">2025-10-15T04:56:35Z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eyJoZGlkIjoiYWZhNmNkZGMwMmRmY2FjMGFhZmQ4ZTZmODZiNzQyZDciLCJ1c2VySWQiOiI0NzAwMzQxNzAifQ==</vt:lpwstr>
  </property>
  <property fmtid="{D5CDD505-2E9C-101B-9397-08002B2CF9AE}" pid="4" name="ICV">
    <vt:lpwstr>02F8A47EC6AA420CB987DC585113C68A_12</vt:lpwstr>
  </property>
</Properties>
</file>