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1434EB" w14:textId="77777777" w:rsidR="00D5466B" w:rsidRDefault="00D5466B">
      <w:pPr>
        <w:widowControl/>
        <w:jc w:val="left"/>
        <w:rPr>
          <w:rFonts w:ascii="宋体" w:eastAsia="宋体"/>
          <w:sz w:val="32"/>
          <w:szCs w:val="32"/>
        </w:rPr>
      </w:pPr>
    </w:p>
    <w:p w14:paraId="143776A5" w14:textId="77777777" w:rsidR="00D5466B" w:rsidRDefault="00D5466B">
      <w:pPr>
        <w:widowControl/>
        <w:jc w:val="left"/>
        <w:rPr>
          <w:rFonts w:ascii="宋体" w:eastAsia="宋体"/>
          <w:sz w:val="44"/>
          <w:szCs w:val="44"/>
        </w:rPr>
      </w:pPr>
    </w:p>
    <w:p w14:paraId="13FBA948" w14:textId="77777777" w:rsidR="00D5466B" w:rsidRDefault="00D5466B">
      <w:pPr>
        <w:widowControl/>
        <w:jc w:val="left"/>
        <w:rPr>
          <w:rFonts w:ascii="宋体" w:eastAsia="宋体"/>
          <w:sz w:val="44"/>
          <w:szCs w:val="44"/>
        </w:rPr>
      </w:pPr>
    </w:p>
    <w:p w14:paraId="14820F32" w14:textId="77777777" w:rsidR="00D5466B" w:rsidRDefault="00D5466B">
      <w:pPr>
        <w:widowControl/>
        <w:jc w:val="left"/>
        <w:rPr>
          <w:rFonts w:ascii="宋体" w:eastAsia="宋体"/>
          <w:sz w:val="44"/>
          <w:szCs w:val="44"/>
        </w:rPr>
      </w:pPr>
    </w:p>
    <w:p w14:paraId="6DB6E6A3" w14:textId="77777777" w:rsidR="00D5466B" w:rsidRDefault="00000000">
      <w:pPr>
        <w:widowControl/>
        <w:jc w:val="center"/>
        <w:outlineLvl w:val="0"/>
        <w:rPr>
          <w:rFonts w:ascii="宋体" w:eastAsia="黑体"/>
          <w:sz w:val="44"/>
          <w:szCs w:val="44"/>
        </w:rPr>
      </w:pPr>
      <w:r>
        <w:rPr>
          <w:rFonts w:ascii="宋体" w:eastAsia="黑体"/>
          <w:sz w:val="44"/>
          <w:szCs w:val="44"/>
        </w:rPr>
        <w:t>乌鲁木齐市米东区卡子湾片区管理委员会</w:t>
      </w:r>
    </w:p>
    <w:p w14:paraId="4E654130" w14:textId="77777777" w:rsidR="00D5466B" w:rsidRDefault="00000000">
      <w:pPr>
        <w:widowControl/>
        <w:jc w:val="center"/>
        <w:outlineLvl w:val="0"/>
        <w:rPr>
          <w:rFonts w:ascii="黑体" w:eastAsia="黑体"/>
          <w:sz w:val="44"/>
          <w:szCs w:val="44"/>
        </w:rPr>
      </w:pPr>
      <w:r>
        <w:rPr>
          <w:rFonts w:ascii="黑体" w:eastAsia="黑体"/>
          <w:sz w:val="44"/>
          <w:szCs w:val="44"/>
        </w:rPr>
        <w:t>2024年度部门决算公开说明</w:t>
      </w:r>
    </w:p>
    <w:p w14:paraId="723B6CD3" w14:textId="77777777" w:rsidR="00D5466B" w:rsidRDefault="00000000">
      <w:pPr>
        <w:widowControl/>
      </w:pPr>
      <w:r>
        <w:rPr>
          <w:sz w:val="0"/>
          <w:szCs w:val="0"/>
        </w:rPr>
        <w:br w:type="page"/>
      </w:r>
    </w:p>
    <w:p w14:paraId="2B374102" w14:textId="77777777" w:rsidR="00D5466B" w:rsidRDefault="00000000">
      <w:pPr>
        <w:widowControl/>
        <w:jc w:val="center"/>
        <w:rPr>
          <w:rFonts w:ascii="黑体" w:eastAsia="黑体"/>
          <w:sz w:val="32"/>
          <w:szCs w:val="32"/>
        </w:rPr>
      </w:pPr>
      <w:r>
        <w:rPr>
          <w:rFonts w:ascii="黑体" w:eastAsia="黑体"/>
          <w:b/>
          <w:sz w:val="32"/>
          <w:szCs w:val="32"/>
        </w:rPr>
        <w:t>目</w:t>
      </w:r>
      <w:r>
        <w:rPr>
          <w:rFonts w:ascii="黑体" w:eastAsia="黑体"/>
          <w:b/>
          <w:sz w:val="32"/>
          <w:szCs w:val="32"/>
        </w:rPr>
        <w:t> </w:t>
      </w:r>
      <w:r>
        <w:rPr>
          <w:rFonts w:ascii="黑体" w:eastAsia="黑体"/>
          <w:b/>
          <w:sz w:val="32"/>
          <w:szCs w:val="32"/>
        </w:rPr>
        <w:t xml:space="preserve"> 录</w:t>
      </w:r>
    </w:p>
    <w:p w14:paraId="329EC735" w14:textId="77777777" w:rsidR="00D5466B" w:rsidRDefault="00000000">
      <w:pPr>
        <w:widowControl/>
        <w:jc w:val="left"/>
        <w:rPr>
          <w:rFonts w:ascii="仿宋_GB2312" w:eastAsia="仿宋_GB2312"/>
          <w:sz w:val="32"/>
          <w:szCs w:val="32"/>
        </w:rPr>
      </w:pPr>
      <w:r>
        <w:rPr>
          <w:rFonts w:ascii="仿宋_GB2312" w:eastAsia="仿宋_GB2312"/>
          <w:b/>
          <w:sz w:val="32"/>
          <w:szCs w:val="32"/>
        </w:rPr>
        <w:t>第一部分单位概况</w:t>
      </w:r>
    </w:p>
    <w:p w14:paraId="4B67D38D" w14:textId="77777777" w:rsidR="00D5466B" w:rsidRDefault="00000000">
      <w:pPr>
        <w:widowControl/>
        <w:jc w:val="left"/>
        <w:rPr>
          <w:rFonts w:ascii="仿宋_GB2312" w:eastAsia="仿宋_GB2312"/>
          <w:sz w:val="32"/>
          <w:szCs w:val="32"/>
        </w:rPr>
      </w:pPr>
      <w:r>
        <w:rPr>
          <w:rFonts w:ascii="仿宋_GB2312" w:eastAsia="仿宋_GB2312"/>
          <w:sz w:val="32"/>
          <w:szCs w:val="32"/>
        </w:rPr>
        <w:t>一、主要职能</w:t>
      </w:r>
    </w:p>
    <w:p w14:paraId="7F4CF0FC" w14:textId="77777777" w:rsidR="00D5466B" w:rsidRDefault="00000000">
      <w:pPr>
        <w:widowControl/>
        <w:jc w:val="left"/>
        <w:rPr>
          <w:rFonts w:ascii="仿宋_GB2312" w:eastAsia="仿宋_GB2312"/>
          <w:sz w:val="32"/>
          <w:szCs w:val="32"/>
        </w:rPr>
      </w:pPr>
      <w:r>
        <w:rPr>
          <w:rFonts w:ascii="仿宋_GB2312" w:eastAsia="仿宋_GB2312"/>
          <w:sz w:val="32"/>
          <w:szCs w:val="32"/>
        </w:rPr>
        <w:t>二、机构设置及人员情况</w:t>
      </w:r>
    </w:p>
    <w:p w14:paraId="79D3DC3E" w14:textId="77777777" w:rsidR="00D5466B" w:rsidRDefault="00000000">
      <w:pPr>
        <w:widowControl/>
        <w:jc w:val="left"/>
        <w:rPr>
          <w:rFonts w:ascii="仿宋_GB2312" w:eastAsia="仿宋_GB2312"/>
          <w:sz w:val="32"/>
          <w:szCs w:val="32"/>
        </w:rPr>
      </w:pPr>
      <w:r>
        <w:rPr>
          <w:rFonts w:ascii="仿宋_GB2312" w:eastAsia="仿宋_GB2312"/>
          <w:b/>
          <w:sz w:val="32"/>
          <w:szCs w:val="32"/>
        </w:rPr>
        <w:t>第二部分 部门决算情况说明</w:t>
      </w:r>
    </w:p>
    <w:p w14:paraId="0F91D0B8" w14:textId="77777777" w:rsidR="00D5466B" w:rsidRDefault="00000000">
      <w:pPr>
        <w:widowControl/>
        <w:jc w:val="left"/>
        <w:rPr>
          <w:rFonts w:ascii="仿宋_GB2312" w:eastAsia="仿宋_GB2312"/>
          <w:sz w:val="32"/>
          <w:szCs w:val="32"/>
        </w:rPr>
      </w:pPr>
      <w:r>
        <w:rPr>
          <w:rFonts w:ascii="仿宋_GB2312" w:eastAsia="仿宋_GB2312"/>
          <w:sz w:val="32"/>
          <w:szCs w:val="32"/>
        </w:rPr>
        <w:t>一、收入支出决算总体情况说明</w:t>
      </w:r>
    </w:p>
    <w:p w14:paraId="25129920" w14:textId="77777777" w:rsidR="00D5466B" w:rsidRDefault="00000000">
      <w:pPr>
        <w:widowControl/>
        <w:jc w:val="left"/>
        <w:rPr>
          <w:rFonts w:ascii="仿宋_GB2312" w:eastAsia="仿宋_GB2312"/>
          <w:sz w:val="32"/>
          <w:szCs w:val="32"/>
        </w:rPr>
      </w:pPr>
      <w:r>
        <w:rPr>
          <w:rFonts w:ascii="仿宋_GB2312" w:eastAsia="仿宋_GB2312"/>
          <w:sz w:val="32"/>
          <w:szCs w:val="32"/>
        </w:rPr>
        <w:t>二、收入决算情况说明</w:t>
      </w:r>
    </w:p>
    <w:p w14:paraId="15F4A239" w14:textId="77777777" w:rsidR="00D5466B" w:rsidRDefault="00000000">
      <w:pPr>
        <w:widowControl/>
        <w:jc w:val="left"/>
        <w:rPr>
          <w:rFonts w:ascii="仿宋_GB2312" w:eastAsia="仿宋_GB2312"/>
          <w:sz w:val="32"/>
          <w:szCs w:val="32"/>
        </w:rPr>
      </w:pPr>
      <w:r>
        <w:rPr>
          <w:rFonts w:ascii="仿宋_GB2312" w:eastAsia="仿宋_GB2312"/>
          <w:sz w:val="32"/>
          <w:szCs w:val="32"/>
        </w:rPr>
        <w:t>三、支出决算情况说明</w:t>
      </w:r>
    </w:p>
    <w:p w14:paraId="6995F4A9" w14:textId="77777777" w:rsidR="00D5466B" w:rsidRDefault="00000000">
      <w:pPr>
        <w:widowControl/>
        <w:jc w:val="left"/>
        <w:rPr>
          <w:rFonts w:ascii="仿宋_GB2312" w:eastAsia="仿宋_GB2312"/>
          <w:sz w:val="32"/>
          <w:szCs w:val="32"/>
        </w:rPr>
      </w:pPr>
      <w:r>
        <w:rPr>
          <w:rFonts w:ascii="仿宋_GB2312" w:eastAsia="仿宋_GB2312"/>
          <w:sz w:val="32"/>
          <w:szCs w:val="32"/>
        </w:rPr>
        <w:t>四、财政拨款收入支出决算总体情况说明</w:t>
      </w:r>
    </w:p>
    <w:p w14:paraId="4C7767E7" w14:textId="77777777" w:rsidR="00D5466B" w:rsidRDefault="00000000">
      <w:pPr>
        <w:widowControl/>
        <w:jc w:val="left"/>
        <w:rPr>
          <w:rFonts w:ascii="仿宋_GB2312" w:eastAsia="仿宋_GB2312"/>
          <w:sz w:val="32"/>
          <w:szCs w:val="32"/>
        </w:rPr>
      </w:pPr>
      <w:r>
        <w:rPr>
          <w:rFonts w:ascii="仿宋_GB2312" w:eastAsia="仿宋_GB2312"/>
          <w:sz w:val="32"/>
          <w:szCs w:val="32"/>
        </w:rPr>
        <w:t>五、一般公共预算财政拨款支出决算情况说明</w:t>
      </w:r>
    </w:p>
    <w:p w14:paraId="3A58E420" w14:textId="77777777" w:rsidR="00D5466B" w:rsidRDefault="00000000">
      <w:pPr>
        <w:widowControl/>
        <w:jc w:val="left"/>
        <w:rPr>
          <w:rFonts w:ascii="仿宋_GB2312" w:eastAsia="仿宋_GB2312"/>
          <w:sz w:val="32"/>
          <w:szCs w:val="32"/>
        </w:rPr>
      </w:pPr>
      <w:r>
        <w:rPr>
          <w:rFonts w:ascii="仿宋_GB2312" w:eastAsia="仿宋_GB2312"/>
          <w:sz w:val="32"/>
          <w:szCs w:val="32"/>
        </w:rPr>
        <w:t>（一）一般公共预算财政拨款支出决算总体情况</w:t>
      </w:r>
    </w:p>
    <w:p w14:paraId="0D40D717" w14:textId="77777777" w:rsidR="00D5466B" w:rsidRDefault="00000000">
      <w:pPr>
        <w:widowControl/>
        <w:jc w:val="left"/>
        <w:rPr>
          <w:rFonts w:ascii="仿宋_GB2312" w:eastAsia="仿宋_GB2312"/>
          <w:sz w:val="32"/>
          <w:szCs w:val="32"/>
        </w:rPr>
      </w:pPr>
      <w:r>
        <w:rPr>
          <w:rFonts w:ascii="仿宋_GB2312" w:eastAsia="仿宋_GB2312"/>
          <w:sz w:val="32"/>
          <w:szCs w:val="32"/>
        </w:rPr>
        <w:t>（二）一般公共预算财政拨款支出决算结构情况</w:t>
      </w:r>
    </w:p>
    <w:p w14:paraId="04B94504" w14:textId="77777777" w:rsidR="00D5466B" w:rsidRDefault="00000000">
      <w:pPr>
        <w:widowControl/>
        <w:jc w:val="left"/>
        <w:rPr>
          <w:rFonts w:ascii="仿宋_GB2312" w:eastAsia="仿宋_GB2312"/>
          <w:sz w:val="32"/>
          <w:szCs w:val="32"/>
        </w:rPr>
      </w:pPr>
      <w:r>
        <w:rPr>
          <w:rFonts w:ascii="仿宋_GB2312" w:eastAsia="仿宋_GB2312"/>
          <w:sz w:val="32"/>
          <w:szCs w:val="32"/>
        </w:rPr>
        <w:t>（三）一般公共预算财政拨款支出决算具体情况</w:t>
      </w:r>
    </w:p>
    <w:p w14:paraId="3F16153E" w14:textId="77777777" w:rsidR="00D5466B" w:rsidRDefault="00000000">
      <w:pPr>
        <w:widowControl/>
        <w:jc w:val="left"/>
        <w:rPr>
          <w:rFonts w:ascii="仿宋_GB2312" w:eastAsia="仿宋_GB2312"/>
          <w:sz w:val="32"/>
          <w:szCs w:val="32"/>
        </w:rPr>
      </w:pPr>
      <w:r>
        <w:rPr>
          <w:rFonts w:ascii="仿宋_GB2312" w:eastAsia="仿宋_GB2312"/>
          <w:sz w:val="32"/>
          <w:szCs w:val="32"/>
        </w:rPr>
        <w:t>​</w:t>
      </w:r>
      <w:r>
        <w:rPr>
          <w:rFonts w:ascii="仿宋_GB2312" w:eastAsia="仿宋_GB2312"/>
          <w:sz w:val="32"/>
          <w:szCs w:val="32"/>
        </w:rPr>
        <w:t>六、一般公共预算财政拨款基本支出决算情况说明</w:t>
      </w:r>
    </w:p>
    <w:p w14:paraId="7EA2C1AD" w14:textId="77777777" w:rsidR="00D5466B" w:rsidRDefault="00000000">
      <w:pPr>
        <w:widowControl/>
        <w:jc w:val="left"/>
        <w:rPr>
          <w:rFonts w:ascii="仿宋_GB2312" w:eastAsia="仿宋_GB2312"/>
          <w:sz w:val="32"/>
          <w:szCs w:val="32"/>
        </w:rPr>
      </w:pPr>
      <w:r>
        <w:rPr>
          <w:rFonts w:ascii="仿宋_GB2312" w:eastAsia="仿宋_GB2312"/>
          <w:sz w:val="32"/>
          <w:szCs w:val="32"/>
        </w:rPr>
        <w:t>七、政府性基金预算财政拨款收入支出决算情况说明</w:t>
      </w:r>
    </w:p>
    <w:p w14:paraId="7E39DAFA" w14:textId="77777777" w:rsidR="00D5466B" w:rsidRDefault="00000000">
      <w:pPr>
        <w:widowControl/>
        <w:jc w:val="left"/>
        <w:rPr>
          <w:rFonts w:ascii="仿宋_GB2312" w:eastAsia="仿宋_GB2312"/>
          <w:sz w:val="32"/>
          <w:szCs w:val="32"/>
        </w:rPr>
      </w:pPr>
      <w:r>
        <w:rPr>
          <w:rFonts w:ascii="仿宋_GB2312" w:eastAsia="仿宋_GB2312"/>
          <w:sz w:val="32"/>
          <w:szCs w:val="32"/>
        </w:rPr>
        <w:t>八、国有资本经营预算财政拨款收入支出决算情况说明</w:t>
      </w:r>
    </w:p>
    <w:p w14:paraId="6923F1AF" w14:textId="77777777" w:rsidR="00D5466B" w:rsidRDefault="00000000">
      <w:pPr>
        <w:widowControl/>
        <w:jc w:val="left"/>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经费支出决算情况说明</w:t>
      </w:r>
    </w:p>
    <w:p w14:paraId="7075C742" w14:textId="77777777" w:rsidR="00D5466B" w:rsidRDefault="00000000">
      <w:pPr>
        <w:widowControl/>
        <w:jc w:val="left"/>
        <w:rPr>
          <w:rFonts w:ascii="仿宋_GB2312" w:eastAsia="仿宋_GB2312"/>
          <w:sz w:val="32"/>
          <w:szCs w:val="32"/>
        </w:rPr>
      </w:pPr>
      <w:r>
        <w:rPr>
          <w:rFonts w:ascii="仿宋_GB2312" w:eastAsia="仿宋_GB2312"/>
          <w:sz w:val="32"/>
          <w:szCs w:val="32"/>
        </w:rPr>
        <w:t>​</w:t>
      </w:r>
      <w:r>
        <w:rPr>
          <w:rFonts w:ascii="仿宋_GB2312" w:eastAsia="仿宋_GB2312"/>
          <w:sz w:val="32"/>
          <w:szCs w:val="32"/>
        </w:rPr>
        <w:t>十、其他重要事项的情况说明</w:t>
      </w:r>
    </w:p>
    <w:p w14:paraId="5D39D02E" w14:textId="77777777" w:rsidR="00D5466B" w:rsidRDefault="00000000">
      <w:pPr>
        <w:widowControl/>
        <w:jc w:val="left"/>
        <w:rPr>
          <w:rFonts w:ascii="仿宋_GB2312" w:eastAsia="仿宋_GB2312"/>
          <w:sz w:val="32"/>
          <w:szCs w:val="32"/>
        </w:rPr>
      </w:pPr>
      <w:r>
        <w:rPr>
          <w:rFonts w:ascii="仿宋_GB2312" w:eastAsia="仿宋_GB2312"/>
          <w:sz w:val="32"/>
          <w:szCs w:val="32"/>
        </w:rPr>
        <w:t>（一）机关运行经费及公用经费支出情况</w:t>
      </w:r>
    </w:p>
    <w:p w14:paraId="67275D7D" w14:textId="77777777" w:rsidR="00D5466B" w:rsidRDefault="00000000">
      <w:pPr>
        <w:widowControl/>
        <w:jc w:val="left"/>
        <w:rPr>
          <w:rFonts w:ascii="仿宋_GB2312" w:eastAsia="仿宋_GB2312"/>
          <w:sz w:val="32"/>
          <w:szCs w:val="32"/>
        </w:rPr>
      </w:pPr>
      <w:r>
        <w:rPr>
          <w:rFonts w:ascii="仿宋_GB2312" w:eastAsia="仿宋_GB2312"/>
          <w:sz w:val="32"/>
          <w:szCs w:val="32"/>
        </w:rPr>
        <w:t>（二）政府采购情况</w:t>
      </w:r>
    </w:p>
    <w:p w14:paraId="4097129E" w14:textId="77777777" w:rsidR="00D5466B" w:rsidRDefault="00000000">
      <w:pPr>
        <w:widowControl/>
        <w:jc w:val="left"/>
        <w:rPr>
          <w:rFonts w:ascii="仿宋_GB2312" w:eastAsia="仿宋_GB2312"/>
          <w:sz w:val="32"/>
          <w:szCs w:val="32"/>
        </w:rPr>
      </w:pPr>
      <w:r>
        <w:rPr>
          <w:rFonts w:ascii="仿宋_GB2312" w:eastAsia="仿宋_GB2312"/>
          <w:sz w:val="32"/>
          <w:szCs w:val="32"/>
        </w:rPr>
        <w:t>（三）国有资产占用情况说明</w:t>
      </w:r>
    </w:p>
    <w:p w14:paraId="7C7690F1" w14:textId="77777777" w:rsidR="00D5466B" w:rsidRDefault="00000000">
      <w:pPr>
        <w:widowControl/>
        <w:jc w:val="left"/>
        <w:rPr>
          <w:rFonts w:ascii="仿宋_GB2312" w:eastAsia="仿宋_GB2312"/>
          <w:sz w:val="32"/>
          <w:szCs w:val="32"/>
        </w:rPr>
      </w:pPr>
      <w:r>
        <w:rPr>
          <w:rFonts w:ascii="仿宋_GB2312" w:eastAsia="仿宋_GB2312"/>
          <w:sz w:val="32"/>
          <w:szCs w:val="32"/>
        </w:rPr>
        <w:t>十一、预算绩效的情况说明</w:t>
      </w:r>
    </w:p>
    <w:p w14:paraId="53400C9F" w14:textId="77777777" w:rsidR="00D5466B" w:rsidRDefault="00000000">
      <w:pPr>
        <w:widowControl/>
        <w:jc w:val="left"/>
        <w:rPr>
          <w:rFonts w:ascii="仿宋_GB2312" w:eastAsia="仿宋_GB2312"/>
          <w:sz w:val="32"/>
          <w:szCs w:val="32"/>
        </w:rPr>
      </w:pPr>
      <w:r>
        <w:rPr>
          <w:rFonts w:ascii="仿宋_GB2312" w:eastAsia="仿宋_GB2312"/>
          <w:sz w:val="32"/>
          <w:szCs w:val="32"/>
        </w:rPr>
        <w:t>十二、其他需说明的事项</w:t>
      </w:r>
    </w:p>
    <w:p w14:paraId="12AF57D4" w14:textId="77777777" w:rsidR="00D5466B" w:rsidRDefault="00000000">
      <w:pPr>
        <w:widowControl/>
        <w:jc w:val="left"/>
        <w:rPr>
          <w:rFonts w:ascii="仿宋_GB2312" w:eastAsia="仿宋_GB2312"/>
          <w:sz w:val="32"/>
          <w:szCs w:val="32"/>
        </w:rPr>
      </w:pPr>
      <w:r>
        <w:rPr>
          <w:rFonts w:ascii="仿宋_GB2312" w:eastAsia="仿宋_GB2312"/>
          <w:b/>
          <w:sz w:val="32"/>
          <w:szCs w:val="32"/>
        </w:rPr>
        <w:t>第三部分 专业名词解释</w:t>
      </w:r>
    </w:p>
    <w:p w14:paraId="02B29694" w14:textId="77777777" w:rsidR="00D5466B" w:rsidRDefault="00000000">
      <w:pPr>
        <w:widowControl/>
        <w:jc w:val="left"/>
        <w:rPr>
          <w:rFonts w:ascii="仿宋_GB2312" w:eastAsia="仿宋_GB2312"/>
          <w:sz w:val="32"/>
          <w:szCs w:val="32"/>
        </w:rPr>
      </w:pPr>
      <w:r>
        <w:rPr>
          <w:rFonts w:ascii="仿宋_GB2312" w:eastAsia="仿宋_GB2312"/>
          <w:b/>
          <w:sz w:val="32"/>
          <w:szCs w:val="32"/>
        </w:rPr>
        <w:t>第四部分 部门决算报表（见附表）</w:t>
      </w:r>
    </w:p>
    <w:p w14:paraId="0D376877" w14:textId="77777777" w:rsidR="00D5466B" w:rsidRDefault="00000000">
      <w:pPr>
        <w:widowControl/>
        <w:jc w:val="left"/>
        <w:rPr>
          <w:rFonts w:ascii="仿宋_GB2312" w:eastAsia="仿宋_GB2312"/>
          <w:sz w:val="32"/>
          <w:szCs w:val="32"/>
        </w:rPr>
      </w:pPr>
      <w:r>
        <w:rPr>
          <w:rFonts w:ascii="仿宋_GB2312" w:eastAsia="仿宋_GB2312"/>
          <w:sz w:val="32"/>
          <w:szCs w:val="32"/>
        </w:rPr>
        <w:t>一、《收入支出决算总表》</w:t>
      </w:r>
    </w:p>
    <w:p w14:paraId="3DDD06B4" w14:textId="77777777" w:rsidR="00D5466B" w:rsidRDefault="00000000">
      <w:pPr>
        <w:widowControl/>
        <w:jc w:val="left"/>
        <w:rPr>
          <w:rFonts w:ascii="仿宋_GB2312" w:eastAsia="仿宋_GB2312"/>
          <w:sz w:val="32"/>
          <w:szCs w:val="32"/>
        </w:rPr>
      </w:pPr>
      <w:r>
        <w:rPr>
          <w:rFonts w:ascii="仿宋_GB2312" w:eastAsia="仿宋_GB2312"/>
          <w:sz w:val="32"/>
          <w:szCs w:val="32"/>
        </w:rPr>
        <w:t>二、《收入决算表》</w:t>
      </w:r>
    </w:p>
    <w:p w14:paraId="4A6AE1FB" w14:textId="77777777" w:rsidR="00D5466B" w:rsidRDefault="00000000">
      <w:pPr>
        <w:widowControl/>
        <w:jc w:val="left"/>
        <w:rPr>
          <w:rFonts w:ascii="仿宋_GB2312" w:eastAsia="仿宋_GB2312"/>
          <w:sz w:val="32"/>
          <w:szCs w:val="32"/>
        </w:rPr>
      </w:pPr>
      <w:r>
        <w:rPr>
          <w:rFonts w:ascii="仿宋_GB2312" w:eastAsia="仿宋_GB2312"/>
          <w:sz w:val="32"/>
          <w:szCs w:val="32"/>
        </w:rPr>
        <w:t>三、《支出决算表》</w:t>
      </w:r>
    </w:p>
    <w:p w14:paraId="41E2856A" w14:textId="77777777" w:rsidR="00D5466B" w:rsidRDefault="00000000">
      <w:pPr>
        <w:widowControl/>
        <w:jc w:val="left"/>
        <w:rPr>
          <w:rFonts w:ascii="仿宋_GB2312" w:eastAsia="仿宋_GB2312"/>
          <w:sz w:val="32"/>
          <w:szCs w:val="32"/>
        </w:rPr>
      </w:pPr>
      <w:r>
        <w:rPr>
          <w:rFonts w:ascii="仿宋_GB2312" w:eastAsia="仿宋_GB2312"/>
          <w:sz w:val="32"/>
          <w:szCs w:val="32"/>
        </w:rPr>
        <w:t>四、《财政拨款收入支出决算总表》</w:t>
      </w:r>
    </w:p>
    <w:p w14:paraId="6CC0ECF1" w14:textId="77777777" w:rsidR="00D5466B" w:rsidRDefault="00000000">
      <w:pPr>
        <w:widowControl/>
        <w:jc w:val="left"/>
        <w:rPr>
          <w:rFonts w:ascii="仿宋_GB2312" w:eastAsia="仿宋_GB2312"/>
          <w:sz w:val="32"/>
          <w:szCs w:val="32"/>
        </w:rPr>
      </w:pPr>
      <w:r>
        <w:rPr>
          <w:rFonts w:ascii="仿宋_GB2312" w:eastAsia="仿宋_GB2312"/>
          <w:sz w:val="32"/>
          <w:szCs w:val="32"/>
        </w:rPr>
        <w:t>五、《一般公共预算财政拨款支出决算表》</w:t>
      </w:r>
    </w:p>
    <w:p w14:paraId="0D12137C" w14:textId="77777777" w:rsidR="00D5466B" w:rsidRDefault="00000000">
      <w:pPr>
        <w:widowControl/>
        <w:jc w:val="left"/>
        <w:rPr>
          <w:rFonts w:ascii="仿宋_GB2312" w:eastAsia="仿宋_GB2312"/>
          <w:sz w:val="32"/>
          <w:szCs w:val="32"/>
        </w:rPr>
      </w:pPr>
      <w:r>
        <w:rPr>
          <w:rFonts w:ascii="仿宋_GB2312" w:eastAsia="仿宋_GB2312"/>
          <w:sz w:val="32"/>
          <w:szCs w:val="32"/>
        </w:rPr>
        <w:lastRenderedPageBreak/>
        <w:t>六、《一般公共预算财政拨款基本支出决算表》</w:t>
      </w:r>
    </w:p>
    <w:p w14:paraId="7A51B557" w14:textId="77777777" w:rsidR="00D5466B" w:rsidRDefault="00000000">
      <w:pPr>
        <w:widowControl/>
        <w:jc w:val="left"/>
        <w:rPr>
          <w:rFonts w:ascii="仿宋_GB2312" w:eastAsia="仿宋_GB2312"/>
          <w:sz w:val="32"/>
          <w:szCs w:val="32"/>
        </w:rPr>
      </w:pPr>
      <w:r>
        <w:rPr>
          <w:rFonts w:ascii="仿宋_GB2312" w:eastAsia="仿宋_GB2312"/>
          <w:sz w:val="32"/>
          <w:szCs w:val="32"/>
        </w:rPr>
        <w:t>七、《政府性基金预算财政拨款收入支出决算表》</w:t>
      </w:r>
    </w:p>
    <w:p w14:paraId="33AC2D47" w14:textId="77777777" w:rsidR="00D5466B" w:rsidRDefault="00000000">
      <w:pPr>
        <w:widowControl/>
        <w:jc w:val="left"/>
        <w:rPr>
          <w:rFonts w:ascii="仿宋_GB2312" w:eastAsia="仿宋_GB2312"/>
          <w:sz w:val="32"/>
          <w:szCs w:val="32"/>
        </w:rPr>
      </w:pPr>
      <w:r>
        <w:rPr>
          <w:rFonts w:ascii="仿宋_GB2312" w:eastAsia="仿宋_GB2312"/>
          <w:sz w:val="32"/>
          <w:szCs w:val="32"/>
        </w:rPr>
        <w:t>八、《国有资本经营预算财政拨款收入支出决算表》</w:t>
      </w:r>
    </w:p>
    <w:p w14:paraId="2856C229" w14:textId="77777777" w:rsidR="00D5466B" w:rsidRDefault="00000000">
      <w:pPr>
        <w:widowControl/>
        <w:jc w:val="left"/>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经费支出决算表》</w:t>
      </w:r>
    </w:p>
    <w:p w14:paraId="0E7D58D9" w14:textId="77777777" w:rsidR="00D5466B" w:rsidRDefault="00000000">
      <w:pPr>
        <w:widowControl/>
      </w:pPr>
      <w:r>
        <w:rPr>
          <w:sz w:val="0"/>
          <w:szCs w:val="0"/>
        </w:rPr>
        <w:br w:type="page"/>
      </w:r>
    </w:p>
    <w:p w14:paraId="7D1C45B4" w14:textId="77777777" w:rsidR="00D5466B" w:rsidRDefault="00000000">
      <w:pPr>
        <w:widowControl/>
        <w:jc w:val="center"/>
        <w:outlineLvl w:val="0"/>
        <w:rPr>
          <w:rFonts w:ascii="黑体" w:eastAsia="黑体"/>
          <w:sz w:val="32"/>
          <w:szCs w:val="32"/>
        </w:rPr>
      </w:pPr>
      <w:r>
        <w:rPr>
          <w:rFonts w:ascii="黑体" w:eastAsia="黑体"/>
          <w:sz w:val="32"/>
          <w:szCs w:val="32"/>
        </w:rPr>
        <w:t>第一部分</w:t>
      </w:r>
      <w:r>
        <w:rPr>
          <w:rFonts w:ascii="黑体" w:eastAsia="黑体"/>
          <w:sz w:val="32"/>
          <w:szCs w:val="32"/>
        </w:rPr>
        <w:t> </w:t>
      </w:r>
      <w:r>
        <w:rPr>
          <w:rFonts w:ascii="黑体" w:eastAsia="黑体"/>
          <w:sz w:val="32"/>
          <w:szCs w:val="32"/>
        </w:rPr>
        <w:t>单位概况</w:t>
      </w:r>
    </w:p>
    <w:p w14:paraId="68AC87AC" w14:textId="77777777" w:rsidR="00D5466B" w:rsidRDefault="00000000">
      <w:pPr>
        <w:widowControl/>
        <w:ind w:firstLineChars="200" w:firstLine="640"/>
        <w:jc w:val="left"/>
        <w:outlineLvl w:val="1"/>
        <w:rPr>
          <w:rFonts w:ascii="黑体" w:eastAsia="黑体"/>
          <w:sz w:val="32"/>
          <w:szCs w:val="32"/>
        </w:rPr>
      </w:pPr>
      <w:r>
        <w:rPr>
          <w:rFonts w:ascii="黑体" w:eastAsia="黑体"/>
          <w:sz w:val="32"/>
          <w:szCs w:val="32"/>
        </w:rPr>
        <w:t> </w:t>
      </w:r>
      <w:r>
        <w:rPr>
          <w:rFonts w:ascii="黑体" w:eastAsia="黑体"/>
          <w:sz w:val="32"/>
          <w:szCs w:val="32"/>
        </w:rPr>
        <w:t>一、主要职能</w:t>
      </w:r>
    </w:p>
    <w:p w14:paraId="3B695E9D" w14:textId="77777777" w:rsidR="00D5466B" w:rsidRDefault="00000000">
      <w:pPr>
        <w:widowControl/>
        <w:ind w:firstLineChars="200" w:firstLine="640"/>
        <w:rPr>
          <w:rFonts w:ascii="仿宋_GB2312" w:eastAsia="仿宋_GB2312"/>
          <w:sz w:val="32"/>
          <w:szCs w:val="32"/>
        </w:rPr>
      </w:pPr>
      <w:r>
        <w:rPr>
          <w:rFonts w:ascii="仿宋_GB2312" w:eastAsia="仿宋_GB2312"/>
          <w:sz w:val="32"/>
          <w:szCs w:val="32"/>
        </w:rPr>
        <w:t>卡子湾片区管委会机构设置为副县级单位。</w:t>
      </w:r>
    </w:p>
    <w:p w14:paraId="4ED2E271" w14:textId="77777777" w:rsidR="00D5466B" w:rsidRDefault="00000000">
      <w:pPr>
        <w:widowControl/>
        <w:ind w:firstLineChars="200" w:firstLine="640"/>
        <w:rPr>
          <w:rFonts w:ascii="仿宋_GB2312" w:eastAsia="仿宋_GB2312"/>
          <w:sz w:val="32"/>
          <w:szCs w:val="32"/>
        </w:rPr>
      </w:pPr>
      <w:r>
        <w:rPr>
          <w:rFonts w:ascii="仿宋_GB2312" w:eastAsia="仿宋_GB2312"/>
          <w:sz w:val="32"/>
          <w:szCs w:val="32"/>
        </w:rPr>
        <w:t>1、受区委、区人民政府委托，统一领导和管理辖区党务、行政和社会事务工作，促进片区和谐发展;</w:t>
      </w:r>
    </w:p>
    <w:p w14:paraId="71D59084" w14:textId="77777777" w:rsidR="00D5466B" w:rsidRDefault="00000000">
      <w:pPr>
        <w:widowControl/>
        <w:ind w:firstLineChars="200" w:firstLine="640"/>
        <w:rPr>
          <w:rFonts w:ascii="仿宋_GB2312" w:eastAsia="仿宋_GB2312"/>
          <w:sz w:val="32"/>
          <w:szCs w:val="32"/>
        </w:rPr>
      </w:pPr>
      <w:r>
        <w:rPr>
          <w:rFonts w:ascii="仿宋_GB2312" w:eastAsia="仿宋_GB2312"/>
          <w:sz w:val="32"/>
          <w:szCs w:val="32"/>
        </w:rPr>
        <w:t>2、拟定片区发展规划，提出强化</w:t>
      </w:r>
      <w:r>
        <w:rPr>
          <w:rFonts w:ascii="仿宋_GB2312" w:eastAsia="仿宋_GB2312"/>
          <w:sz w:val="32"/>
          <w:szCs w:val="32"/>
        </w:rPr>
        <w:t>“</w:t>
      </w:r>
      <w:r>
        <w:rPr>
          <w:rFonts w:ascii="仿宋_GB2312" w:eastAsia="仿宋_GB2312"/>
          <w:sz w:val="32"/>
          <w:szCs w:val="32"/>
        </w:rPr>
        <w:t>两个机制</w:t>
      </w:r>
      <w:r>
        <w:rPr>
          <w:rFonts w:ascii="仿宋_GB2312" w:eastAsia="仿宋_GB2312"/>
          <w:sz w:val="32"/>
          <w:szCs w:val="32"/>
        </w:rPr>
        <w:t>”</w:t>
      </w:r>
      <w:r>
        <w:rPr>
          <w:rFonts w:ascii="仿宋_GB2312" w:eastAsia="仿宋_GB2312"/>
          <w:sz w:val="32"/>
          <w:szCs w:val="32"/>
        </w:rPr>
        <w:t>、夯实基层基础工作的建议和措施，并组织实施；</w:t>
      </w:r>
    </w:p>
    <w:p w14:paraId="0E02C1F3" w14:textId="77777777" w:rsidR="00D5466B" w:rsidRDefault="00000000">
      <w:pPr>
        <w:widowControl/>
        <w:ind w:firstLineChars="200" w:firstLine="640"/>
        <w:rPr>
          <w:rFonts w:ascii="仿宋_GB2312" w:eastAsia="仿宋_GB2312"/>
          <w:sz w:val="32"/>
          <w:szCs w:val="32"/>
        </w:rPr>
      </w:pPr>
      <w:r>
        <w:rPr>
          <w:rFonts w:ascii="仿宋_GB2312" w:eastAsia="仿宋_GB2312"/>
          <w:sz w:val="32"/>
          <w:szCs w:val="32"/>
        </w:rPr>
        <w:t>3、统筹整合辖区行政资源，社会资源和公共服务资源，综合协调相关职能部门和驻区企事业单位，为辖区居民提供民生保障、社会治安、城市管理等综合服务；</w:t>
      </w:r>
    </w:p>
    <w:p w14:paraId="13A61642" w14:textId="77777777" w:rsidR="00D5466B" w:rsidRDefault="00000000">
      <w:pPr>
        <w:widowControl/>
        <w:ind w:firstLineChars="200" w:firstLine="640"/>
        <w:rPr>
          <w:rFonts w:ascii="仿宋_GB2312" w:eastAsia="仿宋_GB2312"/>
          <w:sz w:val="32"/>
          <w:szCs w:val="32"/>
        </w:rPr>
      </w:pPr>
      <w:r>
        <w:rPr>
          <w:rFonts w:ascii="仿宋_GB2312" w:eastAsia="仿宋_GB2312"/>
          <w:sz w:val="32"/>
          <w:szCs w:val="32"/>
        </w:rPr>
        <w:t>4、对相关职能部门和驻区企事业单位履行社区管理和公共服务职能情况进行监督、检查和考核；</w:t>
      </w:r>
    </w:p>
    <w:p w14:paraId="7E9553E3" w14:textId="77777777" w:rsidR="00D5466B" w:rsidRDefault="00000000">
      <w:pPr>
        <w:widowControl/>
        <w:ind w:firstLineChars="200" w:firstLine="640"/>
        <w:rPr>
          <w:rFonts w:ascii="仿宋_GB2312" w:eastAsia="仿宋_GB2312"/>
          <w:sz w:val="32"/>
          <w:szCs w:val="32"/>
        </w:rPr>
      </w:pPr>
      <w:r>
        <w:rPr>
          <w:rFonts w:ascii="仿宋_GB2312" w:eastAsia="仿宋_GB2312"/>
          <w:sz w:val="32"/>
          <w:szCs w:val="32"/>
        </w:rPr>
        <w:t>5、承办区委、区人民政府交办的其他事项。</w:t>
      </w:r>
    </w:p>
    <w:p w14:paraId="7CEB1182" w14:textId="77777777" w:rsidR="00D5466B" w:rsidRDefault="00000000">
      <w:pPr>
        <w:widowControl/>
        <w:ind w:firstLineChars="200" w:firstLine="640"/>
        <w:jc w:val="left"/>
        <w:outlineLvl w:val="1"/>
        <w:rPr>
          <w:rFonts w:ascii="黑体" w:eastAsia="黑体"/>
          <w:sz w:val="32"/>
          <w:szCs w:val="32"/>
        </w:rPr>
      </w:pPr>
      <w:r>
        <w:rPr>
          <w:rFonts w:ascii="黑体" w:eastAsia="黑体"/>
          <w:sz w:val="32"/>
          <w:szCs w:val="32"/>
        </w:rPr>
        <w:t>二、机构设置及人员情况</w:t>
      </w:r>
    </w:p>
    <w:p w14:paraId="334C136E" w14:textId="77777777" w:rsidR="00D5466B" w:rsidRDefault="00000000">
      <w:pPr>
        <w:widowControl/>
        <w:ind w:firstLineChars="200" w:firstLine="640"/>
        <w:rPr>
          <w:rFonts w:ascii="仿宋_GB2312" w:eastAsia="仿宋_GB2312"/>
          <w:sz w:val="32"/>
          <w:szCs w:val="32"/>
        </w:rPr>
      </w:pPr>
      <w:r>
        <w:rPr>
          <w:rFonts w:ascii="仿宋_GB2312" w:eastAsia="仿宋_GB2312"/>
          <w:sz w:val="32"/>
          <w:szCs w:val="32"/>
        </w:rPr>
        <w:t>乌鲁木齐市米东区卡子湾片区管理委员会2024年度，实有人数198人，其中：在职人员181人，减少3人；离休人员0人，较上年无变化；退休人员17人，增加5人。</w:t>
      </w:r>
    </w:p>
    <w:p w14:paraId="1B499B48" w14:textId="77777777" w:rsidR="00D5466B" w:rsidRDefault="00000000">
      <w:pPr>
        <w:widowControl/>
        <w:ind w:firstLineChars="200" w:firstLine="640"/>
        <w:rPr>
          <w:rFonts w:ascii="仿宋_GB2312" w:eastAsia="仿宋_GB2312"/>
          <w:sz w:val="32"/>
          <w:szCs w:val="32"/>
        </w:rPr>
      </w:pPr>
      <w:r>
        <w:rPr>
          <w:rFonts w:ascii="仿宋_GB2312" w:eastAsia="仿宋_GB2312"/>
          <w:sz w:val="32"/>
          <w:szCs w:val="32"/>
        </w:rPr>
        <w:t>乌鲁木齐市米东区卡子湾片区管理委员会无下属预算单位，下设7个科室，分别是：党建工作办公室、综合协调办公室、综合执法办公室、党群服务中心、社会事务服务中心、综治和网格化服务中心、经济发展中心。</w:t>
      </w:r>
    </w:p>
    <w:p w14:paraId="0F469BF6" w14:textId="77777777" w:rsidR="00D5466B" w:rsidRDefault="00000000">
      <w:pPr>
        <w:widowControl/>
      </w:pPr>
      <w:r>
        <w:rPr>
          <w:sz w:val="0"/>
          <w:szCs w:val="0"/>
        </w:rPr>
        <w:br w:type="page"/>
      </w:r>
    </w:p>
    <w:p w14:paraId="5A5488F7" w14:textId="77777777" w:rsidR="00D5466B" w:rsidRDefault="00000000">
      <w:pPr>
        <w:widowControl/>
        <w:jc w:val="center"/>
        <w:outlineLvl w:val="0"/>
        <w:rPr>
          <w:rFonts w:ascii="黑体" w:eastAsia="黑体"/>
          <w:sz w:val="32"/>
          <w:szCs w:val="32"/>
        </w:rPr>
      </w:pPr>
      <w:r>
        <w:rPr>
          <w:rFonts w:ascii="黑体" w:eastAsia="黑体"/>
          <w:sz w:val="32"/>
          <w:szCs w:val="32"/>
        </w:rPr>
        <w:t>第二部分 部门决算情况说明</w:t>
      </w:r>
    </w:p>
    <w:p w14:paraId="60CCF7FA" w14:textId="77777777" w:rsidR="00D5466B" w:rsidRDefault="00000000">
      <w:pPr>
        <w:widowControl/>
        <w:ind w:firstLineChars="200" w:firstLine="640"/>
        <w:jc w:val="left"/>
        <w:outlineLvl w:val="1"/>
        <w:rPr>
          <w:rFonts w:ascii="黑体" w:eastAsia="黑体"/>
          <w:sz w:val="32"/>
          <w:szCs w:val="32"/>
        </w:rPr>
      </w:pPr>
      <w:r>
        <w:rPr>
          <w:rFonts w:ascii="黑体" w:eastAsia="黑体"/>
          <w:sz w:val="32"/>
          <w:szCs w:val="32"/>
        </w:rPr>
        <w:t>一、收入支出决算总体情况说明</w:t>
      </w:r>
    </w:p>
    <w:p w14:paraId="29BDC938" w14:textId="77777777" w:rsidR="00D5466B" w:rsidRDefault="00000000">
      <w:pPr>
        <w:widowControl/>
        <w:ind w:firstLineChars="200" w:firstLine="640"/>
        <w:rPr>
          <w:rFonts w:ascii="仿宋_GB2312" w:eastAsia="仿宋_GB2312"/>
          <w:sz w:val="32"/>
          <w:szCs w:val="32"/>
        </w:rPr>
      </w:pPr>
      <w:r>
        <w:rPr>
          <w:rFonts w:ascii="仿宋_GB2312" w:eastAsia="仿宋_GB2312"/>
          <w:sz w:val="32"/>
          <w:szCs w:val="32"/>
        </w:rPr>
        <w:t>2024年度收入总计3,299.46万元，其中：本年收入合计3,134.99万元，使用非财政拨款结余（含专用结余）0.00万元，年初结转和结余164.47万元。</w:t>
      </w:r>
    </w:p>
    <w:p w14:paraId="386D3816" w14:textId="77777777" w:rsidR="00D5466B" w:rsidRDefault="00000000">
      <w:pPr>
        <w:widowControl/>
        <w:ind w:firstLineChars="200" w:firstLine="640"/>
        <w:rPr>
          <w:rFonts w:ascii="仿宋_GB2312" w:eastAsia="仿宋_GB2312"/>
          <w:sz w:val="32"/>
          <w:szCs w:val="32"/>
        </w:rPr>
      </w:pPr>
      <w:r>
        <w:rPr>
          <w:rFonts w:ascii="仿宋_GB2312" w:eastAsia="仿宋_GB2312"/>
          <w:sz w:val="32"/>
          <w:szCs w:val="32"/>
        </w:rPr>
        <w:t>2024年度支出总计3,299.46万元，其中：本年支出合计3,228.05万元，结余分配0.00万元，年末结转和结余71.41万元。</w:t>
      </w:r>
    </w:p>
    <w:p w14:paraId="5EBD9C1C" w14:textId="68F9642E" w:rsidR="00D5466B" w:rsidRDefault="00000000">
      <w:pPr>
        <w:widowControl/>
        <w:ind w:firstLineChars="200" w:firstLine="640"/>
        <w:rPr>
          <w:rFonts w:ascii="仿宋_GB2312" w:eastAsia="仿宋_GB2312"/>
          <w:sz w:val="32"/>
          <w:szCs w:val="32"/>
        </w:rPr>
      </w:pPr>
      <w:r>
        <w:rPr>
          <w:rFonts w:ascii="仿宋_GB2312" w:eastAsia="仿宋_GB2312"/>
          <w:sz w:val="32"/>
          <w:szCs w:val="32"/>
        </w:rPr>
        <w:t>收入支出总体与上年相比，减少504.36万元，下降13.26%，主要原因是：</w:t>
      </w:r>
      <w:r w:rsidR="00186465">
        <w:rPr>
          <w:rFonts w:ascii="仿宋_GB2312" w:eastAsia="仿宋_GB2312" w:hint="eastAsia"/>
          <w:sz w:val="32"/>
          <w:szCs w:val="32"/>
        </w:rPr>
        <w:t>单位本年</w:t>
      </w:r>
      <w:r w:rsidR="00186465">
        <w:rPr>
          <w:rFonts w:ascii="仿宋_GB2312" w:eastAsia="仿宋_GB2312"/>
          <w:sz w:val="32"/>
          <w:szCs w:val="32"/>
        </w:rPr>
        <w:t>人员减少，</w:t>
      </w:r>
      <w:r w:rsidR="00186465">
        <w:rPr>
          <w:rFonts w:ascii="仿宋_GB2312" w:eastAsia="仿宋_GB2312" w:hint="eastAsia"/>
          <w:sz w:val="32"/>
          <w:szCs w:val="32"/>
        </w:rPr>
        <w:t>人员工资、津贴补贴、奖金等经费减少；各社区办公费、劳务费、水电费减少</w:t>
      </w:r>
      <w:r>
        <w:rPr>
          <w:rFonts w:ascii="仿宋_GB2312" w:eastAsia="仿宋_GB2312" w:hint="eastAsia"/>
          <w:sz w:val="32"/>
          <w:szCs w:val="32"/>
        </w:rPr>
        <w:t>。</w:t>
      </w:r>
    </w:p>
    <w:p w14:paraId="5E244161" w14:textId="77777777" w:rsidR="00D5466B" w:rsidRDefault="00000000">
      <w:pPr>
        <w:widowControl/>
        <w:ind w:firstLineChars="200" w:firstLine="640"/>
        <w:jc w:val="left"/>
        <w:outlineLvl w:val="1"/>
        <w:rPr>
          <w:rFonts w:ascii="黑体" w:eastAsia="黑体"/>
          <w:sz w:val="32"/>
          <w:szCs w:val="32"/>
        </w:rPr>
      </w:pPr>
      <w:r>
        <w:rPr>
          <w:rFonts w:ascii="黑体" w:eastAsia="黑体"/>
          <w:sz w:val="32"/>
          <w:szCs w:val="32"/>
        </w:rPr>
        <w:t>二、收入决算情况说明</w:t>
      </w:r>
    </w:p>
    <w:p w14:paraId="123E1EBA" w14:textId="77777777" w:rsidR="00D5466B" w:rsidRDefault="00000000">
      <w:pPr>
        <w:widowControl/>
        <w:ind w:firstLineChars="200" w:firstLine="640"/>
        <w:rPr>
          <w:rFonts w:ascii="仿宋_GB2312" w:eastAsia="仿宋_GB2312"/>
          <w:sz w:val="32"/>
          <w:szCs w:val="32"/>
        </w:rPr>
      </w:pPr>
      <w:r>
        <w:rPr>
          <w:rFonts w:ascii="仿宋_GB2312" w:eastAsia="仿宋_GB2312"/>
          <w:sz w:val="32"/>
          <w:szCs w:val="32"/>
        </w:rPr>
        <w:t>本年收入3,134.99万元，其中：财政拨款收入3,134.99万元,占100.00%；上级补助收入0.00万元,占0.00%；事业收入0.00万元，占0.00%；经营收入0.00万元,占0.00%；附属单位上缴收入0.00万元，占0.00%；其他收入0.00万元，占0.00%。</w:t>
      </w:r>
    </w:p>
    <w:p w14:paraId="42588D20" w14:textId="77777777" w:rsidR="00D5466B" w:rsidRDefault="00000000">
      <w:pPr>
        <w:widowControl/>
        <w:ind w:firstLineChars="200" w:firstLine="640"/>
        <w:jc w:val="left"/>
        <w:outlineLvl w:val="1"/>
        <w:rPr>
          <w:rFonts w:ascii="黑体" w:eastAsia="黑体"/>
          <w:sz w:val="32"/>
          <w:szCs w:val="32"/>
        </w:rPr>
      </w:pPr>
      <w:r>
        <w:rPr>
          <w:rFonts w:ascii="黑体" w:eastAsia="黑体"/>
          <w:sz w:val="32"/>
          <w:szCs w:val="32"/>
        </w:rPr>
        <w:t>三、支出决算情况说明</w:t>
      </w:r>
    </w:p>
    <w:p w14:paraId="5DF929B9" w14:textId="77777777" w:rsidR="00D5466B" w:rsidRDefault="00000000">
      <w:pPr>
        <w:widowControl/>
        <w:ind w:firstLineChars="200" w:firstLine="640"/>
        <w:rPr>
          <w:rFonts w:ascii="仿宋_GB2312" w:eastAsia="仿宋_GB2312"/>
          <w:sz w:val="32"/>
          <w:szCs w:val="32"/>
        </w:rPr>
      </w:pPr>
      <w:r>
        <w:rPr>
          <w:rFonts w:ascii="仿宋_GB2312" w:eastAsia="仿宋_GB2312"/>
          <w:sz w:val="32"/>
          <w:szCs w:val="32"/>
        </w:rPr>
        <w:t>本年支出3,228.05万元，其中：基本支出3,228.05万元，占100.00%；项目支出0.00万元，占0.00%；上缴上级支出0.00万元，占0.00%；经营支出0.00万元，占0.00%；对附属单位补助支出0.00万元，占0.00%。</w:t>
      </w:r>
    </w:p>
    <w:p w14:paraId="2FB01BDA" w14:textId="77777777" w:rsidR="00D5466B" w:rsidRDefault="00000000">
      <w:pPr>
        <w:widowControl/>
        <w:ind w:firstLineChars="200" w:firstLine="640"/>
        <w:jc w:val="left"/>
        <w:outlineLvl w:val="1"/>
        <w:rPr>
          <w:rFonts w:ascii="黑体" w:eastAsia="黑体"/>
          <w:sz w:val="32"/>
          <w:szCs w:val="32"/>
        </w:rPr>
      </w:pPr>
      <w:r>
        <w:rPr>
          <w:rFonts w:ascii="黑体" w:eastAsia="黑体"/>
          <w:sz w:val="32"/>
          <w:szCs w:val="32"/>
        </w:rPr>
        <w:t>四、财政拨款收入支出决算总体情况说明</w:t>
      </w:r>
    </w:p>
    <w:p w14:paraId="22485D59" w14:textId="77777777" w:rsidR="00D5466B" w:rsidRDefault="00000000">
      <w:pPr>
        <w:widowControl/>
        <w:ind w:firstLineChars="200" w:firstLine="640"/>
        <w:rPr>
          <w:rFonts w:ascii="仿宋_GB2312" w:eastAsia="仿宋_GB2312"/>
          <w:sz w:val="32"/>
          <w:szCs w:val="32"/>
        </w:rPr>
      </w:pPr>
      <w:r>
        <w:rPr>
          <w:rFonts w:ascii="仿宋_GB2312" w:eastAsia="仿宋_GB2312"/>
          <w:sz w:val="32"/>
          <w:szCs w:val="32"/>
        </w:rPr>
        <w:t>2024年度财政拨款收入总计3,299.46万元，其中：年初财政拨款结转和结余164.47万元，本年财政拨款收入3,134.99万元。财政拨款支出总计3,299.46万元，其中：年末财政拨款结转和结余71.41万元，本年财政拨款支出3,228.05万元。</w:t>
      </w:r>
    </w:p>
    <w:p w14:paraId="28CF1670" w14:textId="51BF6203" w:rsidR="00D5466B" w:rsidRDefault="00000000">
      <w:pPr>
        <w:widowControl/>
        <w:ind w:firstLineChars="200" w:firstLine="640"/>
        <w:rPr>
          <w:rFonts w:ascii="仿宋_GB2312" w:eastAsia="仿宋_GB2312"/>
          <w:sz w:val="32"/>
          <w:szCs w:val="32"/>
        </w:rPr>
      </w:pPr>
      <w:r>
        <w:rPr>
          <w:rFonts w:ascii="仿宋_GB2312" w:eastAsia="仿宋_GB2312"/>
          <w:sz w:val="32"/>
          <w:szCs w:val="32"/>
        </w:rPr>
        <w:t>财政拨款收入支出总体与上年相比，减少503.91万元，下降13.25%，主要原因是：</w:t>
      </w:r>
      <w:r w:rsidR="00186465">
        <w:rPr>
          <w:rFonts w:ascii="仿宋_GB2312" w:eastAsia="仿宋_GB2312" w:hint="eastAsia"/>
          <w:sz w:val="32"/>
          <w:szCs w:val="32"/>
        </w:rPr>
        <w:t>单位本年</w:t>
      </w:r>
      <w:r w:rsidR="00186465">
        <w:rPr>
          <w:rFonts w:ascii="仿宋_GB2312" w:eastAsia="仿宋_GB2312"/>
          <w:sz w:val="32"/>
          <w:szCs w:val="32"/>
        </w:rPr>
        <w:t>人员减少，</w:t>
      </w:r>
      <w:r w:rsidR="00186465">
        <w:rPr>
          <w:rFonts w:ascii="仿宋_GB2312" w:eastAsia="仿宋_GB2312" w:hint="eastAsia"/>
          <w:sz w:val="32"/>
          <w:szCs w:val="32"/>
        </w:rPr>
        <w:t>人员工资、</w:t>
      </w:r>
      <w:r w:rsidR="00186465">
        <w:rPr>
          <w:rFonts w:ascii="仿宋_GB2312" w:eastAsia="仿宋_GB2312" w:hint="eastAsia"/>
          <w:sz w:val="32"/>
          <w:szCs w:val="32"/>
        </w:rPr>
        <w:lastRenderedPageBreak/>
        <w:t>津贴补贴、奖金等经费减少；各社区办公费、劳务费、水电费减少</w:t>
      </w:r>
      <w:r>
        <w:rPr>
          <w:rFonts w:ascii="仿宋_GB2312" w:eastAsia="仿宋_GB2312" w:hint="eastAsia"/>
          <w:sz w:val="32"/>
          <w:szCs w:val="32"/>
        </w:rPr>
        <w:t>。</w:t>
      </w:r>
      <w:r>
        <w:rPr>
          <w:rFonts w:ascii="仿宋_GB2312" w:eastAsia="仿宋_GB2312"/>
          <w:sz w:val="32"/>
          <w:szCs w:val="32"/>
        </w:rPr>
        <w:t>与年初预算相比，年初预算数4,549.50万元，决算数3,299.46万元，预决算差异率-27.48%，主要原因是：</w:t>
      </w:r>
      <w:proofErr w:type="gramStart"/>
      <w:r w:rsidR="00186465">
        <w:rPr>
          <w:rFonts w:ascii="仿宋_GB2312" w:eastAsia="仿宋_GB2312" w:hint="eastAsia"/>
          <w:sz w:val="32"/>
          <w:szCs w:val="32"/>
        </w:rPr>
        <w:t>较预算</w:t>
      </w:r>
      <w:proofErr w:type="gramEnd"/>
      <w:r w:rsidR="00186465">
        <w:rPr>
          <w:rFonts w:ascii="仿宋_GB2312" w:eastAsia="仿宋_GB2312" w:hint="eastAsia"/>
          <w:sz w:val="32"/>
          <w:szCs w:val="32"/>
        </w:rPr>
        <w:t>减少人员工资、津贴补贴、奖金等经费；</w:t>
      </w:r>
      <w:proofErr w:type="gramStart"/>
      <w:r w:rsidR="00186465">
        <w:rPr>
          <w:rFonts w:ascii="仿宋_GB2312" w:eastAsia="仿宋_GB2312" w:hint="eastAsia"/>
          <w:sz w:val="32"/>
          <w:szCs w:val="32"/>
        </w:rPr>
        <w:t>较预算</w:t>
      </w:r>
      <w:proofErr w:type="gramEnd"/>
      <w:r w:rsidR="00186465">
        <w:rPr>
          <w:rFonts w:ascii="仿宋_GB2312" w:eastAsia="仿宋_GB2312" w:hint="eastAsia"/>
          <w:sz w:val="32"/>
          <w:szCs w:val="32"/>
        </w:rPr>
        <w:t>减少各社区办公费、劳务费、水电费</w:t>
      </w:r>
      <w:r>
        <w:rPr>
          <w:rFonts w:ascii="仿宋_GB2312" w:eastAsia="仿宋_GB2312"/>
          <w:sz w:val="32"/>
          <w:szCs w:val="32"/>
        </w:rPr>
        <w:t>。</w:t>
      </w:r>
    </w:p>
    <w:p w14:paraId="43EE979A" w14:textId="77777777" w:rsidR="00D5466B" w:rsidRDefault="00000000">
      <w:pPr>
        <w:widowControl/>
        <w:ind w:firstLineChars="200" w:firstLine="640"/>
        <w:jc w:val="left"/>
        <w:outlineLvl w:val="1"/>
        <w:rPr>
          <w:rFonts w:ascii="黑体" w:eastAsia="黑体"/>
          <w:sz w:val="32"/>
          <w:szCs w:val="32"/>
        </w:rPr>
      </w:pPr>
      <w:r>
        <w:rPr>
          <w:rFonts w:ascii="黑体" w:eastAsia="黑体"/>
          <w:sz w:val="32"/>
          <w:szCs w:val="32"/>
        </w:rPr>
        <w:t>五、一般公共预算财政拨款支出决算情况说明</w:t>
      </w:r>
    </w:p>
    <w:p w14:paraId="4543B55B" w14:textId="77777777" w:rsidR="00D5466B" w:rsidRDefault="00000000">
      <w:pPr>
        <w:widowControl/>
        <w:ind w:firstLineChars="200" w:firstLine="640"/>
        <w:jc w:val="left"/>
        <w:outlineLvl w:val="2"/>
        <w:rPr>
          <w:rFonts w:ascii="黑体" w:eastAsia="黑体"/>
          <w:sz w:val="32"/>
          <w:szCs w:val="32"/>
        </w:rPr>
      </w:pPr>
      <w:r>
        <w:rPr>
          <w:rFonts w:ascii="黑体" w:eastAsia="黑体"/>
          <w:sz w:val="32"/>
          <w:szCs w:val="32"/>
        </w:rPr>
        <w:t>（一）一般公共预算财政拨款支出决算总体情况</w:t>
      </w:r>
    </w:p>
    <w:p w14:paraId="1E60D280" w14:textId="6A0AC7E4" w:rsidR="00D5466B" w:rsidRDefault="00000000">
      <w:pPr>
        <w:widowControl/>
        <w:ind w:firstLineChars="200" w:firstLine="640"/>
        <w:rPr>
          <w:rFonts w:ascii="仿宋_GB2312" w:eastAsia="仿宋_GB2312"/>
          <w:sz w:val="32"/>
          <w:szCs w:val="32"/>
        </w:rPr>
      </w:pPr>
      <w:r>
        <w:rPr>
          <w:rFonts w:ascii="仿宋_GB2312" w:eastAsia="仿宋_GB2312"/>
          <w:sz w:val="32"/>
          <w:szCs w:val="32"/>
        </w:rPr>
        <w:t>2024年度一般公共预算财政拨款支出3,228.05万元，占本年支出合计的100.00%。与上年相比，减少410.85万元，下降11.29%，主要原因是：</w:t>
      </w:r>
      <w:r w:rsidR="00186465">
        <w:rPr>
          <w:rFonts w:ascii="仿宋_GB2312" w:eastAsia="仿宋_GB2312" w:hint="eastAsia"/>
          <w:sz w:val="32"/>
          <w:szCs w:val="32"/>
        </w:rPr>
        <w:t>单位本年</w:t>
      </w:r>
      <w:r w:rsidR="00186465">
        <w:rPr>
          <w:rFonts w:ascii="仿宋_GB2312" w:eastAsia="仿宋_GB2312"/>
          <w:sz w:val="32"/>
          <w:szCs w:val="32"/>
        </w:rPr>
        <w:t>人员减少，</w:t>
      </w:r>
      <w:r w:rsidR="00186465">
        <w:rPr>
          <w:rFonts w:ascii="仿宋_GB2312" w:eastAsia="仿宋_GB2312" w:hint="eastAsia"/>
          <w:sz w:val="32"/>
          <w:szCs w:val="32"/>
        </w:rPr>
        <w:t>人员工资、津贴补贴、奖金等经费减少；各社区办公费、劳务费、水电费减少</w:t>
      </w:r>
      <w:r>
        <w:rPr>
          <w:rFonts w:ascii="仿宋_GB2312" w:eastAsia="仿宋_GB2312" w:hint="eastAsia"/>
          <w:sz w:val="32"/>
          <w:szCs w:val="32"/>
        </w:rPr>
        <w:t>。</w:t>
      </w:r>
      <w:r>
        <w:rPr>
          <w:rFonts w:ascii="仿宋_GB2312" w:eastAsia="仿宋_GB2312"/>
          <w:sz w:val="32"/>
          <w:szCs w:val="32"/>
        </w:rPr>
        <w:t>与年初预算相比，年初预算数4,549.50万元，决算数3,228.05万元，预决算差异率-29.05%，主要原因是：</w:t>
      </w:r>
      <w:proofErr w:type="gramStart"/>
      <w:r w:rsidR="00186465">
        <w:rPr>
          <w:rFonts w:ascii="仿宋_GB2312" w:eastAsia="仿宋_GB2312" w:hint="eastAsia"/>
          <w:sz w:val="32"/>
          <w:szCs w:val="32"/>
        </w:rPr>
        <w:t>较预算</w:t>
      </w:r>
      <w:proofErr w:type="gramEnd"/>
      <w:r w:rsidR="00186465">
        <w:rPr>
          <w:rFonts w:ascii="仿宋_GB2312" w:eastAsia="仿宋_GB2312" w:hint="eastAsia"/>
          <w:sz w:val="32"/>
          <w:szCs w:val="32"/>
        </w:rPr>
        <w:t>减少人员工资、津贴补贴、奖金等经费；</w:t>
      </w:r>
      <w:proofErr w:type="gramStart"/>
      <w:r w:rsidR="00186465">
        <w:rPr>
          <w:rFonts w:ascii="仿宋_GB2312" w:eastAsia="仿宋_GB2312" w:hint="eastAsia"/>
          <w:sz w:val="32"/>
          <w:szCs w:val="32"/>
        </w:rPr>
        <w:t>较预算</w:t>
      </w:r>
      <w:proofErr w:type="gramEnd"/>
      <w:r w:rsidR="00186465">
        <w:rPr>
          <w:rFonts w:ascii="仿宋_GB2312" w:eastAsia="仿宋_GB2312" w:hint="eastAsia"/>
          <w:sz w:val="32"/>
          <w:szCs w:val="32"/>
        </w:rPr>
        <w:t>减少各社区办公费、劳务费、水电费</w:t>
      </w:r>
      <w:r>
        <w:rPr>
          <w:rFonts w:ascii="仿宋_GB2312" w:eastAsia="仿宋_GB2312"/>
          <w:sz w:val="32"/>
          <w:szCs w:val="32"/>
        </w:rPr>
        <w:t>。</w:t>
      </w:r>
    </w:p>
    <w:p w14:paraId="2C4DC04D" w14:textId="77777777" w:rsidR="00D5466B" w:rsidRDefault="00000000">
      <w:pPr>
        <w:widowControl/>
        <w:ind w:firstLineChars="200" w:firstLine="640"/>
        <w:jc w:val="left"/>
        <w:outlineLvl w:val="2"/>
        <w:rPr>
          <w:rFonts w:ascii="黑体" w:eastAsia="黑体"/>
          <w:sz w:val="32"/>
          <w:szCs w:val="32"/>
        </w:rPr>
      </w:pPr>
      <w:r>
        <w:rPr>
          <w:rFonts w:ascii="黑体" w:eastAsia="黑体"/>
          <w:sz w:val="32"/>
          <w:szCs w:val="32"/>
        </w:rPr>
        <w:t>（二）一般公共预算财政拨款支出决算结构情况</w:t>
      </w:r>
    </w:p>
    <w:p w14:paraId="6A99CA54" w14:textId="77777777" w:rsidR="00D5466B" w:rsidRDefault="00000000">
      <w:pPr>
        <w:widowControl/>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sz w:val="32"/>
          <w:szCs w:val="32"/>
        </w:rPr>
        <w:t>一般公共服务支出（类）627.53万元，占19.44%。</w:t>
      </w:r>
    </w:p>
    <w:p w14:paraId="31A8F3DE" w14:textId="77777777" w:rsidR="00D5466B" w:rsidRDefault="00000000">
      <w:pPr>
        <w:widowControl/>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sz w:val="32"/>
          <w:szCs w:val="32"/>
        </w:rPr>
        <w:t>社会保障和就业支出（类）2,535.96万元，占78.56%。</w:t>
      </w:r>
    </w:p>
    <w:p w14:paraId="2C1EC4CB" w14:textId="77777777" w:rsidR="00D5466B" w:rsidRDefault="00000000">
      <w:pPr>
        <w:widowControl/>
        <w:ind w:firstLineChars="200" w:firstLine="640"/>
        <w:rPr>
          <w:rFonts w:ascii="仿宋_GB2312" w:eastAsia="仿宋_GB2312"/>
          <w:sz w:val="32"/>
          <w:szCs w:val="32"/>
        </w:rPr>
      </w:pPr>
      <w:r>
        <w:rPr>
          <w:rFonts w:ascii="仿宋_GB2312" w:eastAsia="仿宋_GB2312" w:hint="eastAsia"/>
          <w:sz w:val="32"/>
          <w:szCs w:val="32"/>
        </w:rPr>
        <w:t>3.</w:t>
      </w:r>
      <w:r>
        <w:rPr>
          <w:rFonts w:ascii="仿宋_GB2312" w:eastAsia="仿宋_GB2312"/>
          <w:sz w:val="32"/>
          <w:szCs w:val="32"/>
        </w:rPr>
        <w:t>卫生健康支出（类）64.55万元，占2.00%。</w:t>
      </w:r>
    </w:p>
    <w:p w14:paraId="14E7C111" w14:textId="77777777" w:rsidR="00D5466B" w:rsidRDefault="00000000">
      <w:pPr>
        <w:widowControl/>
        <w:ind w:firstLineChars="200" w:firstLine="640"/>
        <w:jc w:val="left"/>
        <w:outlineLvl w:val="2"/>
        <w:rPr>
          <w:rFonts w:ascii="黑体" w:eastAsia="黑体"/>
          <w:sz w:val="32"/>
          <w:szCs w:val="32"/>
        </w:rPr>
      </w:pPr>
      <w:r>
        <w:rPr>
          <w:rFonts w:ascii="黑体" w:eastAsia="黑体"/>
          <w:sz w:val="32"/>
          <w:szCs w:val="32"/>
        </w:rPr>
        <w:t>（三）一般公共预算财政拨款支出决算具体情况</w:t>
      </w:r>
    </w:p>
    <w:p w14:paraId="64E519EE" w14:textId="77777777" w:rsidR="00D5466B" w:rsidRDefault="00000000">
      <w:pPr>
        <w:widowControl/>
        <w:ind w:firstLineChars="200" w:firstLine="640"/>
        <w:rPr>
          <w:rFonts w:ascii="仿宋_GB2312" w:eastAsia="仿宋_GB2312"/>
          <w:sz w:val="32"/>
          <w:szCs w:val="32"/>
        </w:rPr>
      </w:pPr>
      <w:r>
        <w:rPr>
          <w:rFonts w:ascii="仿宋_GB2312" w:eastAsia="仿宋_GB2312"/>
          <w:sz w:val="32"/>
          <w:szCs w:val="32"/>
        </w:rPr>
        <w:t>1、一般公共服务支出（类）政府办公厅（室）及相关机构事务（款）行政运行（项）：支出决算数为246.66万元，比上年决算增加10.14万元，增长4.29%，主要原因是：</w:t>
      </w:r>
      <w:r>
        <w:rPr>
          <w:rFonts w:ascii="仿宋_GB2312" w:eastAsia="仿宋_GB2312" w:hint="eastAsia"/>
          <w:sz w:val="32"/>
          <w:szCs w:val="32"/>
        </w:rPr>
        <w:t>单位本年取暖费、工会经费较上年增加</w:t>
      </w:r>
      <w:r>
        <w:rPr>
          <w:rFonts w:ascii="仿宋_GB2312" w:eastAsia="仿宋_GB2312"/>
          <w:sz w:val="32"/>
          <w:szCs w:val="32"/>
        </w:rPr>
        <w:t>。</w:t>
      </w:r>
    </w:p>
    <w:p w14:paraId="660E89E6" w14:textId="7036A2B4" w:rsidR="00D5466B" w:rsidRDefault="00000000">
      <w:pPr>
        <w:widowControl/>
        <w:ind w:firstLineChars="200" w:firstLine="640"/>
        <w:rPr>
          <w:rFonts w:ascii="仿宋_GB2312" w:eastAsia="仿宋_GB2312"/>
          <w:sz w:val="32"/>
          <w:szCs w:val="32"/>
        </w:rPr>
      </w:pPr>
      <w:r>
        <w:rPr>
          <w:rFonts w:ascii="仿宋_GB2312" w:eastAsia="仿宋_GB2312"/>
          <w:sz w:val="32"/>
          <w:szCs w:val="32"/>
        </w:rPr>
        <w:t>2、一般公共服务支出（类）政府办公厅（室）及相关机构事务（款）机关服务（项）：支出决算数为320.88万元，比上年决算减少11.52万元，下降3.47%，主要原因是：</w:t>
      </w:r>
      <w:r>
        <w:rPr>
          <w:rFonts w:ascii="仿宋_GB2312" w:eastAsia="仿宋_GB2312" w:hint="eastAsia"/>
          <w:sz w:val="32"/>
          <w:szCs w:val="32"/>
        </w:rPr>
        <w:t>单位本年</w:t>
      </w:r>
      <w:r>
        <w:rPr>
          <w:rFonts w:ascii="仿宋_GB2312" w:eastAsia="仿宋_GB2312"/>
          <w:sz w:val="32"/>
          <w:szCs w:val="32"/>
        </w:rPr>
        <w:t>人员减少，</w:t>
      </w:r>
      <w:r w:rsidR="00186465">
        <w:rPr>
          <w:rFonts w:ascii="仿宋_GB2312" w:eastAsia="仿宋_GB2312" w:hint="eastAsia"/>
          <w:sz w:val="32"/>
          <w:szCs w:val="32"/>
        </w:rPr>
        <w:t>人员</w:t>
      </w:r>
      <w:r>
        <w:rPr>
          <w:rFonts w:ascii="仿宋_GB2312" w:eastAsia="仿宋_GB2312" w:hint="eastAsia"/>
          <w:sz w:val="32"/>
          <w:szCs w:val="32"/>
        </w:rPr>
        <w:t>工资、</w:t>
      </w:r>
      <w:r w:rsidR="00186465">
        <w:rPr>
          <w:rFonts w:ascii="仿宋_GB2312" w:eastAsia="仿宋_GB2312" w:hint="eastAsia"/>
          <w:sz w:val="32"/>
          <w:szCs w:val="32"/>
        </w:rPr>
        <w:t>津贴补贴、</w:t>
      </w:r>
      <w:r>
        <w:rPr>
          <w:rFonts w:ascii="仿宋_GB2312" w:eastAsia="仿宋_GB2312" w:hint="eastAsia"/>
          <w:sz w:val="32"/>
          <w:szCs w:val="32"/>
        </w:rPr>
        <w:t>奖金等经费减少。</w:t>
      </w:r>
    </w:p>
    <w:p w14:paraId="2711ED80" w14:textId="35834606" w:rsidR="00D5466B" w:rsidRDefault="00000000">
      <w:pPr>
        <w:widowControl/>
        <w:ind w:firstLineChars="200" w:firstLine="640"/>
        <w:rPr>
          <w:rFonts w:ascii="仿宋_GB2312" w:eastAsia="仿宋_GB2312"/>
          <w:sz w:val="32"/>
          <w:szCs w:val="32"/>
        </w:rPr>
      </w:pPr>
      <w:r>
        <w:rPr>
          <w:rFonts w:ascii="仿宋_GB2312" w:eastAsia="仿宋_GB2312"/>
          <w:sz w:val="32"/>
          <w:szCs w:val="32"/>
        </w:rPr>
        <w:t>3、一般公共服务支出（类）组织事务（款）其他组织事务支出（项）：支出决算数为60.00万元，比上年决算增加</w:t>
      </w:r>
      <w:r>
        <w:rPr>
          <w:rFonts w:ascii="仿宋_GB2312" w:eastAsia="仿宋_GB2312"/>
          <w:sz w:val="32"/>
          <w:szCs w:val="32"/>
        </w:rPr>
        <w:lastRenderedPageBreak/>
        <w:t>35.00万元，增长140.00%，主要原因是：</w:t>
      </w:r>
      <w:r>
        <w:rPr>
          <w:rFonts w:ascii="仿宋_GB2312" w:eastAsia="仿宋_GB2312" w:hint="eastAsia"/>
          <w:sz w:val="32"/>
          <w:szCs w:val="32"/>
        </w:rPr>
        <w:t>单位本年</w:t>
      </w:r>
      <w:r w:rsidR="00186465">
        <w:rPr>
          <w:rFonts w:ascii="仿宋_GB2312" w:eastAsia="仿宋_GB2312" w:hint="eastAsia"/>
          <w:sz w:val="32"/>
          <w:szCs w:val="32"/>
        </w:rPr>
        <w:t>管委会日常运行经</w:t>
      </w:r>
      <w:r>
        <w:rPr>
          <w:rFonts w:ascii="仿宋_GB2312" w:eastAsia="仿宋_GB2312" w:hint="eastAsia"/>
          <w:sz w:val="32"/>
          <w:szCs w:val="32"/>
        </w:rPr>
        <w:t>费增加。</w:t>
      </w:r>
    </w:p>
    <w:p w14:paraId="29227ACB" w14:textId="6172D37D" w:rsidR="00D5466B" w:rsidRDefault="00000000">
      <w:pPr>
        <w:widowControl/>
        <w:ind w:firstLineChars="200" w:firstLine="640"/>
        <w:rPr>
          <w:rFonts w:ascii="仿宋_GB2312" w:eastAsia="仿宋_GB2312"/>
          <w:sz w:val="32"/>
          <w:szCs w:val="32"/>
        </w:rPr>
      </w:pPr>
      <w:r>
        <w:rPr>
          <w:rFonts w:ascii="仿宋_GB2312" w:eastAsia="仿宋_GB2312"/>
          <w:sz w:val="32"/>
          <w:szCs w:val="32"/>
        </w:rPr>
        <w:t>4、社会保障和就业支出（类）民政管理事务（款）基层政权建设和社区治理（项）：支出决算数为2,171.68万元，比上年决算减少520.39万元，下降19.33%，主要原因是：</w:t>
      </w:r>
      <w:r w:rsidR="00186465">
        <w:rPr>
          <w:rFonts w:ascii="仿宋_GB2312" w:eastAsia="仿宋_GB2312" w:hint="eastAsia"/>
          <w:sz w:val="32"/>
          <w:szCs w:val="32"/>
        </w:rPr>
        <w:t>单位本年</w:t>
      </w:r>
      <w:r w:rsidR="00186465">
        <w:rPr>
          <w:rFonts w:ascii="仿宋_GB2312" w:eastAsia="仿宋_GB2312"/>
          <w:sz w:val="32"/>
          <w:szCs w:val="32"/>
        </w:rPr>
        <w:t>人员减少，</w:t>
      </w:r>
      <w:r w:rsidR="00186465">
        <w:rPr>
          <w:rFonts w:ascii="仿宋_GB2312" w:eastAsia="仿宋_GB2312" w:hint="eastAsia"/>
          <w:sz w:val="32"/>
          <w:szCs w:val="32"/>
        </w:rPr>
        <w:t>人员工资、津贴补贴、奖金等经费减少</w:t>
      </w:r>
      <w:r>
        <w:rPr>
          <w:rFonts w:ascii="仿宋_GB2312" w:eastAsia="仿宋_GB2312" w:hint="eastAsia"/>
          <w:sz w:val="32"/>
          <w:szCs w:val="32"/>
        </w:rPr>
        <w:t>。</w:t>
      </w:r>
    </w:p>
    <w:p w14:paraId="3CA34859" w14:textId="3E597071" w:rsidR="00D5466B" w:rsidRDefault="00000000">
      <w:pPr>
        <w:widowControl/>
        <w:ind w:firstLineChars="200" w:firstLine="640"/>
        <w:rPr>
          <w:rFonts w:ascii="仿宋_GB2312" w:eastAsia="仿宋_GB2312"/>
          <w:sz w:val="32"/>
          <w:szCs w:val="32"/>
        </w:rPr>
      </w:pPr>
      <w:r>
        <w:rPr>
          <w:rFonts w:ascii="仿宋_GB2312" w:eastAsia="仿宋_GB2312"/>
          <w:sz w:val="32"/>
          <w:szCs w:val="32"/>
        </w:rPr>
        <w:t>5、社会保障和就业支出（类）行政事业单位养老支出（款）机关事业单位基本养老保险缴费支出（项）：支出决算数为364.28万元，比上年决算增加82.61万元，增长29.33%，主要原因是：</w:t>
      </w:r>
      <w:r>
        <w:rPr>
          <w:rFonts w:ascii="仿宋_GB2312" w:eastAsia="仿宋_GB2312" w:hint="eastAsia"/>
          <w:sz w:val="32"/>
          <w:szCs w:val="32"/>
        </w:rPr>
        <w:t>单位本年社保</w:t>
      </w:r>
      <w:r w:rsidR="00186465">
        <w:rPr>
          <w:rFonts w:ascii="仿宋_GB2312" w:eastAsia="仿宋_GB2312" w:hint="eastAsia"/>
          <w:sz w:val="32"/>
          <w:szCs w:val="32"/>
        </w:rPr>
        <w:t>缴费</w:t>
      </w:r>
      <w:r>
        <w:rPr>
          <w:rFonts w:ascii="仿宋_GB2312" w:eastAsia="仿宋_GB2312" w:hint="eastAsia"/>
          <w:sz w:val="32"/>
          <w:szCs w:val="32"/>
        </w:rPr>
        <w:t>基数调增，</w:t>
      </w:r>
      <w:r w:rsidR="00186465">
        <w:rPr>
          <w:rFonts w:ascii="仿宋_GB2312" w:eastAsia="仿宋_GB2312" w:hint="eastAsia"/>
          <w:sz w:val="32"/>
          <w:szCs w:val="32"/>
        </w:rPr>
        <w:t>人员</w:t>
      </w:r>
      <w:r>
        <w:rPr>
          <w:rFonts w:ascii="仿宋_GB2312" w:eastAsia="仿宋_GB2312" w:hint="eastAsia"/>
          <w:sz w:val="32"/>
          <w:szCs w:val="32"/>
        </w:rPr>
        <w:t>养老保险缴费增加。</w:t>
      </w:r>
    </w:p>
    <w:p w14:paraId="5C97EE78" w14:textId="623691F3" w:rsidR="00D5466B" w:rsidRDefault="00000000">
      <w:pPr>
        <w:widowControl/>
        <w:ind w:firstLineChars="200" w:firstLine="640"/>
        <w:rPr>
          <w:rFonts w:ascii="仿宋_GB2312" w:eastAsia="仿宋_GB2312"/>
          <w:sz w:val="32"/>
          <w:szCs w:val="32"/>
        </w:rPr>
      </w:pPr>
      <w:r>
        <w:rPr>
          <w:rFonts w:ascii="仿宋_GB2312" w:eastAsia="仿宋_GB2312"/>
          <w:sz w:val="32"/>
          <w:szCs w:val="32"/>
        </w:rPr>
        <w:t>6、卫生健康支出（类）计划生育事务（款）计划生育服务（项）：支出决算数为64.55万元，比上年决算减少6.69万元，下降9.39%，主要原因是：</w:t>
      </w:r>
      <w:r w:rsidR="00186465">
        <w:rPr>
          <w:rFonts w:ascii="仿宋_GB2312" w:eastAsia="仿宋_GB2312" w:hint="eastAsia"/>
          <w:sz w:val="32"/>
          <w:szCs w:val="32"/>
        </w:rPr>
        <w:t>单位本年</w:t>
      </w:r>
      <w:r w:rsidR="00186465">
        <w:rPr>
          <w:rFonts w:ascii="仿宋_GB2312" w:eastAsia="仿宋_GB2312"/>
          <w:sz w:val="32"/>
          <w:szCs w:val="32"/>
        </w:rPr>
        <w:t>人员减少，</w:t>
      </w:r>
      <w:r w:rsidR="00186465">
        <w:rPr>
          <w:rFonts w:ascii="仿宋_GB2312" w:eastAsia="仿宋_GB2312" w:hint="eastAsia"/>
          <w:sz w:val="32"/>
          <w:szCs w:val="32"/>
        </w:rPr>
        <w:t>人员工资、津贴补贴、奖金等经费减少</w:t>
      </w:r>
      <w:r>
        <w:rPr>
          <w:rFonts w:ascii="仿宋_GB2312" w:eastAsia="仿宋_GB2312" w:hint="eastAsia"/>
          <w:sz w:val="32"/>
          <w:szCs w:val="32"/>
        </w:rPr>
        <w:t>。</w:t>
      </w:r>
    </w:p>
    <w:p w14:paraId="592BD9EC" w14:textId="77777777" w:rsidR="00D5466B" w:rsidRDefault="00000000">
      <w:pPr>
        <w:widowControl/>
        <w:ind w:firstLineChars="200" w:firstLine="640"/>
        <w:jc w:val="left"/>
        <w:outlineLvl w:val="1"/>
        <w:rPr>
          <w:rFonts w:ascii="黑体" w:eastAsia="黑体"/>
          <w:sz w:val="32"/>
          <w:szCs w:val="32"/>
        </w:rPr>
      </w:pPr>
      <w:r>
        <w:rPr>
          <w:rFonts w:ascii="黑体" w:eastAsia="黑体"/>
          <w:sz w:val="32"/>
          <w:szCs w:val="32"/>
        </w:rPr>
        <w:t>六、一般公共预算财政拨款基本支出决算情况说明</w:t>
      </w:r>
    </w:p>
    <w:p w14:paraId="3BF91ED3" w14:textId="77777777" w:rsidR="00D5466B" w:rsidRDefault="00000000">
      <w:pPr>
        <w:widowControl/>
        <w:ind w:firstLineChars="200" w:firstLine="640"/>
        <w:rPr>
          <w:rFonts w:ascii="仿宋_GB2312" w:eastAsia="仿宋_GB2312"/>
          <w:sz w:val="32"/>
          <w:szCs w:val="32"/>
        </w:rPr>
      </w:pPr>
      <w:r>
        <w:rPr>
          <w:rFonts w:ascii="仿宋_GB2312" w:eastAsia="仿宋_GB2312"/>
          <w:sz w:val="32"/>
          <w:szCs w:val="32"/>
        </w:rPr>
        <w:t>2024年度一般公共预算财政拨款基本支出3,228.05万元，其中：人员经费3,071.19万元，包括：基本工资、津贴补贴、奖金、绩效工资、机关事业单位基本养老保险缴费、职业年金缴费和住房公积金。</w:t>
      </w:r>
    </w:p>
    <w:p w14:paraId="170DD0D2" w14:textId="77777777" w:rsidR="00D5466B" w:rsidRDefault="00000000">
      <w:pPr>
        <w:widowControl/>
        <w:ind w:firstLineChars="200" w:firstLine="640"/>
        <w:rPr>
          <w:rFonts w:ascii="仿宋_GB2312" w:eastAsia="仿宋_GB2312"/>
          <w:sz w:val="32"/>
          <w:szCs w:val="32"/>
        </w:rPr>
      </w:pPr>
      <w:r>
        <w:rPr>
          <w:rFonts w:ascii="仿宋_GB2312" w:eastAsia="仿宋_GB2312"/>
          <w:sz w:val="32"/>
          <w:szCs w:val="32"/>
        </w:rPr>
        <w:t>公用经费156.86万元，包括：办公费、取暖费、维修（护）费、工会经费、福利费、公务用车运行维护费、其他交通费用和其他商品和服务支出。</w:t>
      </w:r>
    </w:p>
    <w:p w14:paraId="57A7A12E" w14:textId="77777777" w:rsidR="00D5466B" w:rsidRDefault="00000000">
      <w:pPr>
        <w:widowControl/>
        <w:ind w:firstLineChars="200" w:firstLine="640"/>
        <w:jc w:val="left"/>
        <w:outlineLvl w:val="1"/>
        <w:rPr>
          <w:rFonts w:ascii="黑体" w:eastAsia="黑体"/>
          <w:sz w:val="32"/>
          <w:szCs w:val="32"/>
        </w:rPr>
      </w:pPr>
      <w:r>
        <w:rPr>
          <w:rFonts w:ascii="黑体" w:eastAsia="黑体"/>
          <w:sz w:val="32"/>
          <w:szCs w:val="32"/>
        </w:rPr>
        <w:t>七、政府性基金预算财政拨款收入支出决算情况说明</w:t>
      </w:r>
    </w:p>
    <w:p w14:paraId="0AE2ED82" w14:textId="77777777" w:rsidR="00D5466B" w:rsidRDefault="00000000">
      <w:pPr>
        <w:widowControl/>
        <w:ind w:firstLineChars="200" w:firstLine="640"/>
        <w:rPr>
          <w:rFonts w:ascii="仿宋_GB2312" w:eastAsia="仿宋_GB2312"/>
          <w:sz w:val="32"/>
          <w:szCs w:val="32"/>
        </w:rPr>
      </w:pPr>
      <w:r>
        <w:rPr>
          <w:rFonts w:ascii="仿宋_GB2312" w:eastAsia="仿宋_GB2312"/>
          <w:sz w:val="32"/>
          <w:szCs w:val="32"/>
        </w:rPr>
        <w:t>本单位本年度无政府性基金预算财政拨款收入、支出及结转和结余，政府性基金预算财政拨款收入支出决算表为空表。</w:t>
      </w:r>
    </w:p>
    <w:p w14:paraId="70E21320" w14:textId="77777777" w:rsidR="00D5466B" w:rsidRDefault="00000000">
      <w:pPr>
        <w:widowControl/>
        <w:ind w:firstLineChars="200" w:firstLine="640"/>
        <w:jc w:val="left"/>
        <w:outlineLvl w:val="1"/>
        <w:rPr>
          <w:rFonts w:ascii="黑体" w:eastAsia="黑体"/>
          <w:sz w:val="32"/>
          <w:szCs w:val="32"/>
        </w:rPr>
      </w:pPr>
      <w:r>
        <w:rPr>
          <w:rFonts w:ascii="黑体" w:eastAsia="黑体"/>
          <w:sz w:val="32"/>
          <w:szCs w:val="32"/>
        </w:rPr>
        <w:t>八、国有资本经营预算财政拨款收入支出决算情况说明</w:t>
      </w:r>
    </w:p>
    <w:p w14:paraId="2BEF04F8" w14:textId="77777777" w:rsidR="00D5466B" w:rsidRDefault="00000000">
      <w:pPr>
        <w:widowControl/>
        <w:ind w:firstLineChars="200" w:firstLine="640"/>
        <w:rPr>
          <w:rFonts w:ascii="仿宋_GB2312" w:eastAsia="仿宋_GB2312"/>
          <w:sz w:val="32"/>
          <w:szCs w:val="32"/>
        </w:rPr>
      </w:pPr>
      <w:r>
        <w:rPr>
          <w:rFonts w:ascii="仿宋_GB2312" w:eastAsia="仿宋_GB2312"/>
          <w:sz w:val="32"/>
          <w:szCs w:val="32"/>
        </w:rPr>
        <w:t>本单位本年度无国有资本经营预算财政拨款收入、支出及结转和结余，国有资本经营预算财政拨款收入支出决算表为空表。</w:t>
      </w:r>
    </w:p>
    <w:p w14:paraId="714C925E" w14:textId="77777777" w:rsidR="00D5466B" w:rsidRDefault="00000000">
      <w:pPr>
        <w:widowControl/>
        <w:ind w:firstLineChars="200" w:firstLine="640"/>
        <w:jc w:val="left"/>
        <w:outlineLvl w:val="1"/>
        <w:rPr>
          <w:rFonts w:ascii="黑体" w:eastAsia="黑体"/>
          <w:sz w:val="32"/>
          <w:szCs w:val="32"/>
        </w:rPr>
      </w:pPr>
      <w:r>
        <w:rPr>
          <w:rFonts w:ascii="黑体" w:eastAsia="黑体"/>
          <w:sz w:val="32"/>
          <w:szCs w:val="32"/>
        </w:rPr>
        <w:t>九、财政拨款</w:t>
      </w:r>
      <w:r>
        <w:rPr>
          <w:rFonts w:ascii="黑体" w:eastAsia="黑体"/>
          <w:sz w:val="32"/>
          <w:szCs w:val="32"/>
        </w:rPr>
        <w:t>“</w:t>
      </w:r>
      <w:r>
        <w:rPr>
          <w:rFonts w:ascii="黑体" w:eastAsia="黑体"/>
          <w:sz w:val="32"/>
          <w:szCs w:val="32"/>
        </w:rPr>
        <w:t>三公</w:t>
      </w:r>
      <w:r>
        <w:rPr>
          <w:rFonts w:ascii="黑体" w:eastAsia="黑体"/>
          <w:sz w:val="32"/>
          <w:szCs w:val="32"/>
        </w:rPr>
        <w:t>”</w:t>
      </w:r>
      <w:r>
        <w:rPr>
          <w:rFonts w:ascii="黑体" w:eastAsia="黑体"/>
          <w:sz w:val="32"/>
          <w:szCs w:val="32"/>
        </w:rPr>
        <w:t>经费支出决算情况说明</w:t>
      </w:r>
    </w:p>
    <w:p w14:paraId="1F9B764C" w14:textId="77777777" w:rsidR="00D5466B" w:rsidRDefault="00000000">
      <w:pPr>
        <w:widowControl/>
        <w:ind w:firstLineChars="200" w:firstLine="640"/>
        <w:rPr>
          <w:rFonts w:ascii="仿宋_GB2312" w:eastAsia="仿宋_GB2312"/>
          <w:sz w:val="32"/>
          <w:szCs w:val="32"/>
        </w:rPr>
      </w:pPr>
      <w:r>
        <w:rPr>
          <w:rFonts w:ascii="仿宋_GB2312" w:eastAsia="仿宋_GB2312"/>
          <w:sz w:val="32"/>
          <w:szCs w:val="32"/>
        </w:rPr>
        <w:lastRenderedPageBreak/>
        <w:t>2024年度财政拨款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经费支出4.35万元，比上年减少0.32万元，下降6.85%，主要原因是：</w:t>
      </w:r>
      <w:r>
        <w:rPr>
          <w:rFonts w:ascii="仿宋_GB2312" w:eastAsia="仿宋_GB2312" w:hint="eastAsia"/>
          <w:sz w:val="32"/>
          <w:szCs w:val="32"/>
        </w:rPr>
        <w:t>单位本年车辆出行次数减少，车辆维修维护费、燃油费减少。</w:t>
      </w:r>
      <w:r>
        <w:rPr>
          <w:rFonts w:ascii="仿宋_GB2312" w:eastAsia="仿宋_GB2312"/>
          <w:sz w:val="32"/>
          <w:szCs w:val="32"/>
        </w:rPr>
        <w:t>其中：因公出国（境）费支出0.00万元,占0.00%，与上年相比无变化，主要原因是：</w:t>
      </w:r>
      <w:r>
        <w:rPr>
          <w:rFonts w:ascii="仿宋_GB2312" w:eastAsia="仿宋_GB2312" w:hint="eastAsia"/>
          <w:sz w:val="32"/>
          <w:szCs w:val="32"/>
        </w:rPr>
        <w:t>我单位上年度与本年度均无因公出国（境）费</w:t>
      </w:r>
      <w:r>
        <w:rPr>
          <w:rFonts w:ascii="仿宋_GB2312" w:eastAsia="仿宋_GB2312"/>
          <w:sz w:val="32"/>
          <w:szCs w:val="32"/>
        </w:rPr>
        <w:t>；公务用车购置及运行维护费支出4.35万元，占100.00%，比上年减少0.32万元，下降6.85%，主要原因是：</w:t>
      </w:r>
      <w:r>
        <w:rPr>
          <w:rFonts w:ascii="仿宋_GB2312" w:eastAsia="仿宋_GB2312" w:hint="eastAsia"/>
          <w:sz w:val="32"/>
          <w:szCs w:val="32"/>
        </w:rPr>
        <w:t>单位本年车辆出行次数减少，车辆维修维护费、燃油费减少</w:t>
      </w:r>
      <w:r>
        <w:rPr>
          <w:rFonts w:ascii="仿宋_GB2312" w:eastAsia="仿宋_GB2312"/>
          <w:sz w:val="32"/>
          <w:szCs w:val="32"/>
        </w:rPr>
        <w:t>；公务接待费支出0.00万元，占0.00%，与上年相比无变化，主要原因是：</w:t>
      </w:r>
      <w:r>
        <w:rPr>
          <w:rFonts w:ascii="仿宋_GB2312" w:eastAsia="仿宋_GB2312" w:hint="eastAsia"/>
          <w:sz w:val="32"/>
          <w:szCs w:val="32"/>
        </w:rPr>
        <w:t>我单位上年度与本年度均无公务接待费</w:t>
      </w:r>
      <w:r>
        <w:rPr>
          <w:rFonts w:ascii="仿宋_GB2312" w:eastAsia="仿宋_GB2312"/>
          <w:sz w:val="32"/>
          <w:szCs w:val="32"/>
        </w:rPr>
        <w:t>。</w:t>
      </w:r>
    </w:p>
    <w:p w14:paraId="43A69B02" w14:textId="77777777" w:rsidR="00D5466B" w:rsidRDefault="00000000">
      <w:pPr>
        <w:widowControl/>
        <w:ind w:firstLineChars="200" w:firstLine="640"/>
        <w:jc w:val="left"/>
        <w:rPr>
          <w:rFonts w:ascii="仿宋_GB2312" w:eastAsia="仿宋_GB2312"/>
          <w:sz w:val="32"/>
          <w:szCs w:val="32"/>
        </w:rPr>
      </w:pPr>
      <w:r>
        <w:rPr>
          <w:rFonts w:ascii="仿宋_GB2312" w:eastAsia="仿宋_GB2312"/>
          <w:sz w:val="32"/>
          <w:szCs w:val="32"/>
        </w:rPr>
        <w:t>具体情况如下：</w:t>
      </w:r>
    </w:p>
    <w:p w14:paraId="25A67C63" w14:textId="77777777" w:rsidR="00D5466B" w:rsidRDefault="00000000">
      <w:pPr>
        <w:widowControl/>
        <w:ind w:firstLineChars="200" w:firstLine="640"/>
        <w:rPr>
          <w:rFonts w:ascii="仿宋_GB2312" w:eastAsia="仿宋_GB2312"/>
          <w:sz w:val="32"/>
          <w:szCs w:val="32"/>
        </w:rPr>
      </w:pPr>
      <w:r>
        <w:rPr>
          <w:rFonts w:ascii="仿宋_GB2312" w:eastAsia="仿宋_GB2312"/>
          <w:sz w:val="32"/>
          <w:szCs w:val="32"/>
        </w:rPr>
        <w:t>因公出国（境）费支出0.00万元，开支内容包括单位本年无</w:t>
      </w:r>
      <w:r>
        <w:rPr>
          <w:rFonts w:ascii="仿宋_GB2312" w:eastAsia="仿宋_GB2312" w:hint="eastAsia"/>
          <w:sz w:val="32"/>
          <w:szCs w:val="32"/>
        </w:rPr>
        <w:t>因公出国（境）费</w:t>
      </w:r>
      <w:r>
        <w:rPr>
          <w:rFonts w:ascii="仿宋_GB2312" w:eastAsia="仿宋_GB2312"/>
          <w:sz w:val="32"/>
          <w:szCs w:val="32"/>
        </w:rPr>
        <w:t>。单位全年安排的因公出国（境）团组0个，因公出国（境）0人次。</w:t>
      </w:r>
    </w:p>
    <w:p w14:paraId="15408C1D" w14:textId="77777777" w:rsidR="00D5466B" w:rsidRDefault="00000000">
      <w:pPr>
        <w:widowControl/>
        <w:ind w:firstLineChars="200" w:firstLine="640"/>
        <w:rPr>
          <w:rFonts w:ascii="仿宋_GB2312" w:eastAsia="仿宋_GB2312"/>
          <w:sz w:val="32"/>
          <w:szCs w:val="32"/>
        </w:rPr>
      </w:pPr>
      <w:r>
        <w:rPr>
          <w:rFonts w:ascii="仿宋_GB2312" w:eastAsia="仿宋_GB2312"/>
          <w:sz w:val="32"/>
          <w:szCs w:val="32"/>
        </w:rPr>
        <w:t>公务用车购置及运行维护费4.35万元，其中：公务用车购置费0.00万元，公务用车运行维护费4.35万元。公务用车运行维护费开支内容包括</w:t>
      </w:r>
      <w:r>
        <w:rPr>
          <w:rFonts w:ascii="仿宋_GB2312" w:eastAsia="仿宋_GB2312" w:hint="eastAsia"/>
          <w:sz w:val="32"/>
          <w:szCs w:val="32"/>
        </w:rPr>
        <w:t>公务用车维修维护费、燃油费、保险费、过路费等</w:t>
      </w:r>
      <w:r>
        <w:rPr>
          <w:rFonts w:ascii="仿宋_GB2312" w:eastAsia="仿宋_GB2312"/>
          <w:sz w:val="32"/>
          <w:szCs w:val="32"/>
        </w:rPr>
        <w:t>。公务用车购置数0辆，公务用车保有量3辆。国有资产占用情况中固定资产车辆24辆，与公务用车保有量差异原因是：</w:t>
      </w:r>
      <w:r>
        <w:rPr>
          <w:rFonts w:ascii="仿宋_GB2312" w:eastAsia="仿宋_GB2312" w:hint="eastAsia"/>
          <w:sz w:val="32"/>
          <w:szCs w:val="32"/>
        </w:rPr>
        <w:t>差异车辆为一般业务用车21辆，车辆费用未使用财政拨款公务用车运行维护费支付</w:t>
      </w:r>
      <w:r>
        <w:rPr>
          <w:rFonts w:ascii="仿宋_GB2312" w:eastAsia="仿宋_GB2312"/>
          <w:sz w:val="32"/>
          <w:szCs w:val="32"/>
        </w:rPr>
        <w:t>。</w:t>
      </w:r>
    </w:p>
    <w:p w14:paraId="19AD2744" w14:textId="77777777" w:rsidR="00D5466B" w:rsidRDefault="00000000">
      <w:pPr>
        <w:widowControl/>
        <w:ind w:firstLineChars="200" w:firstLine="640"/>
        <w:rPr>
          <w:rFonts w:ascii="仿宋_GB2312" w:eastAsia="仿宋_GB2312"/>
          <w:sz w:val="32"/>
          <w:szCs w:val="32"/>
        </w:rPr>
      </w:pPr>
      <w:r>
        <w:rPr>
          <w:rFonts w:ascii="仿宋_GB2312" w:eastAsia="仿宋_GB2312"/>
          <w:sz w:val="32"/>
          <w:szCs w:val="32"/>
        </w:rPr>
        <w:t>公务接待费0.00万元，开支内容包括单位本年无</w:t>
      </w:r>
      <w:r>
        <w:rPr>
          <w:rFonts w:ascii="仿宋_GB2312" w:eastAsia="仿宋_GB2312" w:hint="eastAsia"/>
          <w:sz w:val="32"/>
          <w:szCs w:val="32"/>
        </w:rPr>
        <w:t>公务接待费</w:t>
      </w:r>
      <w:r>
        <w:rPr>
          <w:rFonts w:ascii="仿宋_GB2312" w:eastAsia="仿宋_GB2312"/>
          <w:sz w:val="32"/>
          <w:szCs w:val="32"/>
        </w:rPr>
        <w:t>。单位全年安排的国内公务接待0批次，0人次。</w:t>
      </w:r>
    </w:p>
    <w:p w14:paraId="3DB9BD4F" w14:textId="77777777" w:rsidR="00D5466B" w:rsidRDefault="00000000">
      <w:pPr>
        <w:widowControl/>
        <w:ind w:firstLineChars="200" w:firstLine="640"/>
        <w:rPr>
          <w:rFonts w:ascii="仿宋_GB2312" w:eastAsia="仿宋_GB2312"/>
          <w:sz w:val="32"/>
          <w:szCs w:val="32"/>
        </w:rPr>
      </w:pPr>
      <w:r>
        <w:rPr>
          <w:rFonts w:ascii="仿宋_GB2312" w:eastAsia="仿宋_GB2312"/>
          <w:sz w:val="32"/>
          <w:szCs w:val="32"/>
        </w:rPr>
        <w:t>与全年预算相比，财政拨款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经费支出全年预算数4.35万元，决算数4.35万元，预决算差异率0.00%，主要原因是：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。其中：因公出国（境）费全年预算数0.00万元，决算数0.00万元，预决算差异率0.00%，主要原因是：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；公务用车购置费全年预算数0.00万元，决算数0.00万元，预决算差异率0.00%，主要原因是：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；公务用车运行维护费全年预算数4.35万</w:t>
      </w:r>
      <w:r>
        <w:rPr>
          <w:rFonts w:ascii="仿宋_GB2312" w:eastAsia="仿宋_GB2312"/>
          <w:sz w:val="32"/>
          <w:szCs w:val="32"/>
        </w:rPr>
        <w:lastRenderedPageBreak/>
        <w:t>元，决算数4.35万元，预决算差异率0.00%，主要原因是：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；公务接待费全年预算数0.00万元，决算数0.00万元，预决算差异率0.00%，主要原因是：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w:t>
      </w:r>
    </w:p>
    <w:p w14:paraId="7F78CCFC" w14:textId="77777777" w:rsidR="00D5466B" w:rsidRDefault="00000000">
      <w:pPr>
        <w:widowControl/>
        <w:ind w:firstLineChars="200" w:firstLine="640"/>
        <w:jc w:val="left"/>
        <w:outlineLvl w:val="1"/>
        <w:rPr>
          <w:rFonts w:ascii="黑体" w:eastAsia="黑体"/>
          <w:sz w:val="32"/>
          <w:szCs w:val="32"/>
        </w:rPr>
      </w:pPr>
      <w:r>
        <w:rPr>
          <w:rFonts w:ascii="黑体" w:eastAsia="黑体"/>
          <w:sz w:val="32"/>
          <w:szCs w:val="32"/>
        </w:rPr>
        <w:t>十、其他重要事项的情况说明</w:t>
      </w:r>
    </w:p>
    <w:p w14:paraId="1344F6BE" w14:textId="77777777" w:rsidR="00D5466B" w:rsidRDefault="00000000">
      <w:pPr>
        <w:widowControl/>
        <w:ind w:firstLineChars="200" w:firstLine="640"/>
        <w:jc w:val="left"/>
        <w:outlineLvl w:val="2"/>
        <w:rPr>
          <w:rFonts w:ascii="黑体" w:eastAsia="黑体"/>
          <w:sz w:val="32"/>
          <w:szCs w:val="32"/>
        </w:rPr>
      </w:pPr>
      <w:r>
        <w:rPr>
          <w:rFonts w:ascii="黑体" w:eastAsia="黑体"/>
          <w:sz w:val="32"/>
          <w:szCs w:val="32"/>
        </w:rPr>
        <w:t>（一）机关运行经费及公用经费支出情况</w:t>
      </w:r>
    </w:p>
    <w:p w14:paraId="4DC2220E" w14:textId="77777777" w:rsidR="00D5466B" w:rsidRDefault="00000000">
      <w:pPr>
        <w:widowControl/>
        <w:ind w:firstLineChars="200" w:firstLine="640"/>
        <w:rPr>
          <w:rFonts w:ascii="仿宋_GB2312" w:eastAsia="仿宋_GB2312"/>
          <w:sz w:val="32"/>
          <w:szCs w:val="32"/>
        </w:rPr>
      </w:pPr>
      <w:r>
        <w:rPr>
          <w:rFonts w:ascii="仿宋_GB2312" w:eastAsia="仿宋_GB2312"/>
          <w:sz w:val="32"/>
          <w:szCs w:val="32"/>
        </w:rPr>
        <w:t>2024年度乌鲁木齐市米东区卡子湾片区管理委员会单位（行政单位和参照公务员法管理事业单位）机关运行经费支出156.86万元，比上年减少249.40万元，下降61.39%，主要原因是：</w:t>
      </w:r>
      <w:r>
        <w:rPr>
          <w:rFonts w:ascii="仿宋_GB2312" w:eastAsia="仿宋_GB2312" w:hint="eastAsia"/>
          <w:sz w:val="32"/>
          <w:szCs w:val="32"/>
        </w:rPr>
        <w:t>单位</w:t>
      </w:r>
      <w:r>
        <w:rPr>
          <w:rFonts w:ascii="仿宋_GB2312" w:eastAsia="仿宋_GB2312"/>
          <w:sz w:val="32"/>
          <w:szCs w:val="32"/>
        </w:rPr>
        <w:t>本年</w:t>
      </w:r>
      <w:r>
        <w:rPr>
          <w:rFonts w:ascii="仿宋_GB2312" w:eastAsia="仿宋_GB2312" w:hint="eastAsia"/>
          <w:sz w:val="32"/>
          <w:szCs w:val="32"/>
        </w:rPr>
        <w:t>水费、电费、邮电费</w:t>
      </w:r>
      <w:r>
        <w:rPr>
          <w:rFonts w:ascii="仿宋_GB2312" w:eastAsia="仿宋_GB2312"/>
          <w:sz w:val="32"/>
          <w:szCs w:val="32"/>
        </w:rPr>
        <w:t>等</w:t>
      </w:r>
      <w:r>
        <w:rPr>
          <w:rFonts w:ascii="仿宋_GB2312" w:eastAsia="仿宋_GB2312" w:hint="eastAsia"/>
          <w:sz w:val="32"/>
          <w:szCs w:val="32"/>
        </w:rPr>
        <w:t>经费</w:t>
      </w:r>
      <w:r>
        <w:rPr>
          <w:rFonts w:ascii="仿宋_GB2312" w:eastAsia="仿宋_GB2312"/>
          <w:sz w:val="32"/>
          <w:szCs w:val="32"/>
        </w:rPr>
        <w:t>减少。</w:t>
      </w:r>
    </w:p>
    <w:p w14:paraId="01B552BE" w14:textId="77777777" w:rsidR="00D5466B" w:rsidRDefault="00000000">
      <w:pPr>
        <w:widowControl/>
        <w:ind w:firstLineChars="200" w:firstLine="640"/>
        <w:jc w:val="left"/>
        <w:outlineLvl w:val="2"/>
        <w:rPr>
          <w:rFonts w:ascii="黑体" w:eastAsia="黑体"/>
          <w:sz w:val="32"/>
          <w:szCs w:val="32"/>
        </w:rPr>
      </w:pPr>
      <w:r>
        <w:rPr>
          <w:rFonts w:ascii="黑体" w:eastAsia="黑体"/>
          <w:sz w:val="32"/>
          <w:szCs w:val="32"/>
        </w:rPr>
        <w:t>（二）政府采购情况</w:t>
      </w:r>
    </w:p>
    <w:p w14:paraId="53784419" w14:textId="77777777" w:rsidR="00D5466B" w:rsidRDefault="00000000">
      <w:pPr>
        <w:widowControl/>
        <w:ind w:firstLineChars="200" w:firstLine="640"/>
        <w:rPr>
          <w:rFonts w:ascii="仿宋_GB2312" w:eastAsia="仿宋_GB2312"/>
          <w:sz w:val="32"/>
          <w:szCs w:val="32"/>
        </w:rPr>
      </w:pPr>
      <w:r>
        <w:rPr>
          <w:rFonts w:ascii="仿宋_GB2312" w:eastAsia="仿宋_GB2312"/>
          <w:sz w:val="32"/>
          <w:szCs w:val="32"/>
        </w:rPr>
        <w:t>2024年度政府采购支出总额69.95万元，其中：政府采购货物支出24.47万元、政府采购工程支出0.00万元、政府采购服务支出45.49万元。</w:t>
      </w:r>
    </w:p>
    <w:p w14:paraId="13689F47" w14:textId="77777777" w:rsidR="00D5466B" w:rsidRDefault="00000000">
      <w:pPr>
        <w:widowControl/>
        <w:ind w:firstLineChars="200" w:firstLine="640"/>
        <w:rPr>
          <w:rFonts w:ascii="仿宋_GB2312" w:eastAsia="仿宋_GB2312"/>
          <w:sz w:val="32"/>
          <w:szCs w:val="32"/>
        </w:rPr>
      </w:pPr>
      <w:r>
        <w:rPr>
          <w:rFonts w:ascii="仿宋_GB2312" w:eastAsia="仿宋_GB2312"/>
          <w:sz w:val="32"/>
          <w:szCs w:val="32"/>
        </w:rPr>
        <w:t>授予中小企业合同金额69.95万元，占政府采购支出总额的100.00%，其中：授予小</w:t>
      </w:r>
      <w:proofErr w:type="gramStart"/>
      <w:r>
        <w:rPr>
          <w:rFonts w:ascii="仿宋_GB2312" w:eastAsia="仿宋_GB2312"/>
          <w:sz w:val="32"/>
          <w:szCs w:val="32"/>
        </w:rPr>
        <w:t>微企业</w:t>
      </w:r>
      <w:proofErr w:type="gramEnd"/>
      <w:r>
        <w:rPr>
          <w:rFonts w:ascii="仿宋_GB2312" w:eastAsia="仿宋_GB2312"/>
          <w:sz w:val="32"/>
          <w:szCs w:val="32"/>
        </w:rPr>
        <w:t>合同金额69.95万元，占政府采购支出总额的100.00%。</w:t>
      </w:r>
    </w:p>
    <w:p w14:paraId="3A88FF8B" w14:textId="77777777" w:rsidR="00D5466B" w:rsidRDefault="00000000">
      <w:pPr>
        <w:widowControl/>
        <w:ind w:firstLineChars="200" w:firstLine="640"/>
        <w:jc w:val="left"/>
        <w:outlineLvl w:val="2"/>
        <w:rPr>
          <w:rFonts w:ascii="黑体" w:eastAsia="黑体"/>
          <w:sz w:val="32"/>
          <w:szCs w:val="32"/>
        </w:rPr>
      </w:pPr>
      <w:r>
        <w:rPr>
          <w:rFonts w:ascii="黑体" w:eastAsia="黑体"/>
          <w:sz w:val="32"/>
          <w:szCs w:val="32"/>
        </w:rPr>
        <w:t>（三）国有资产占用情况说明</w:t>
      </w:r>
    </w:p>
    <w:p w14:paraId="185A4F01" w14:textId="77777777" w:rsidR="00D5466B" w:rsidRDefault="00000000">
      <w:pPr>
        <w:widowControl/>
        <w:ind w:firstLineChars="200" w:firstLine="640"/>
        <w:rPr>
          <w:rFonts w:ascii="仿宋_GB2312" w:eastAsia="仿宋_GB2312"/>
          <w:sz w:val="32"/>
          <w:szCs w:val="32"/>
        </w:rPr>
      </w:pPr>
      <w:r>
        <w:rPr>
          <w:rFonts w:ascii="仿宋_GB2312" w:eastAsia="仿宋_GB2312"/>
          <w:sz w:val="32"/>
          <w:szCs w:val="32"/>
        </w:rPr>
        <w:t>截至2024年12月31日，房屋5,230.75平方米，价值824.29万元。车辆24辆，价值144.27万元，其中：副部（省）级及以上领导用车0辆、主要负责人用车0辆、机要通信用车0辆、应急保障用车0辆、执法执勤用车1辆、特种专业技术用车0辆、离退休干部服务用车0辆、其他用车23辆，其他用车主要是：业务用车;单价100万元（含）以上设备（不含车辆）0台（套）。</w:t>
      </w:r>
    </w:p>
    <w:p w14:paraId="24C936C6" w14:textId="77777777" w:rsidR="00D5466B" w:rsidRDefault="00000000">
      <w:pPr>
        <w:widowControl/>
        <w:ind w:firstLineChars="200" w:firstLine="640"/>
        <w:jc w:val="left"/>
        <w:outlineLvl w:val="1"/>
        <w:rPr>
          <w:rFonts w:ascii="黑体" w:eastAsia="黑体"/>
          <w:sz w:val="32"/>
          <w:szCs w:val="32"/>
        </w:rPr>
      </w:pPr>
      <w:r>
        <w:rPr>
          <w:rFonts w:ascii="黑体" w:eastAsia="黑体"/>
          <w:sz w:val="32"/>
          <w:szCs w:val="32"/>
        </w:rPr>
        <w:t>十一、预算绩效的情况说明</w:t>
      </w:r>
    </w:p>
    <w:p w14:paraId="02C86A7F" w14:textId="77777777" w:rsidR="00D5466B" w:rsidRDefault="00000000">
      <w:pPr>
        <w:widowControl/>
        <w:ind w:firstLineChars="200" w:firstLine="640"/>
        <w:rPr>
          <w:rFonts w:ascii="仿宋_GB2312" w:eastAsia="仿宋_GB2312"/>
          <w:sz w:val="32"/>
          <w:szCs w:val="32"/>
        </w:rPr>
      </w:pPr>
      <w:r>
        <w:rPr>
          <w:rFonts w:ascii="仿宋_GB2312" w:eastAsia="仿宋_GB2312"/>
          <w:sz w:val="32"/>
          <w:szCs w:val="32"/>
        </w:rPr>
        <w:t>根据预算绩效管理要求，本单位2024年度预算绩效管理形成整体支出绩效自评表1个，全年预算总额</w:t>
      </w:r>
      <w:r>
        <w:rPr>
          <w:rFonts w:ascii="仿宋_GB2312" w:eastAsia="仿宋_GB2312" w:hint="eastAsia"/>
          <w:sz w:val="32"/>
          <w:szCs w:val="32"/>
        </w:rPr>
        <w:t>3,299.46</w:t>
      </w:r>
      <w:r>
        <w:rPr>
          <w:rFonts w:ascii="仿宋_GB2312" w:eastAsia="仿宋_GB2312"/>
          <w:sz w:val="32"/>
          <w:szCs w:val="32"/>
        </w:rPr>
        <w:t>万元，实际执行总额</w:t>
      </w:r>
      <w:r>
        <w:rPr>
          <w:rFonts w:ascii="仿宋_GB2312" w:eastAsia="仿宋_GB2312" w:hint="eastAsia"/>
          <w:sz w:val="32"/>
          <w:szCs w:val="32"/>
        </w:rPr>
        <w:t>3,228.05</w:t>
      </w:r>
      <w:r>
        <w:rPr>
          <w:rFonts w:ascii="仿宋_GB2312" w:eastAsia="仿宋_GB2312"/>
          <w:sz w:val="32"/>
          <w:szCs w:val="32"/>
        </w:rPr>
        <w:t>万元；预算绩效评价项目0个，全年预算数0</w:t>
      </w:r>
      <w:r>
        <w:rPr>
          <w:rFonts w:ascii="仿宋_GB2312" w:eastAsia="仿宋_GB2312" w:hint="eastAsia"/>
          <w:sz w:val="32"/>
          <w:szCs w:val="32"/>
        </w:rPr>
        <w:t>.00</w:t>
      </w:r>
      <w:r>
        <w:rPr>
          <w:rFonts w:ascii="仿宋_GB2312" w:eastAsia="仿宋_GB2312"/>
          <w:sz w:val="32"/>
          <w:szCs w:val="32"/>
        </w:rPr>
        <w:t>万元，全年执行数0</w:t>
      </w:r>
      <w:r>
        <w:rPr>
          <w:rFonts w:ascii="仿宋_GB2312" w:eastAsia="仿宋_GB2312" w:hint="eastAsia"/>
          <w:sz w:val="32"/>
          <w:szCs w:val="32"/>
        </w:rPr>
        <w:t>.00</w:t>
      </w:r>
      <w:r>
        <w:rPr>
          <w:rFonts w:ascii="仿宋_GB2312" w:eastAsia="仿宋_GB2312"/>
          <w:sz w:val="32"/>
          <w:szCs w:val="32"/>
        </w:rPr>
        <w:t>万元。预算绩效管理取得的成效：一是我单位对支出进行了详细的分类和分析。在日常</w:t>
      </w:r>
      <w:r>
        <w:rPr>
          <w:rFonts w:ascii="仿宋_GB2312" w:eastAsia="仿宋_GB2312"/>
          <w:sz w:val="32"/>
          <w:szCs w:val="32"/>
        </w:rPr>
        <w:lastRenderedPageBreak/>
        <w:t>办公支出方面严格控制各项费用,合理安排办公用品的采购和使用,避免了浪费；二是加强了对支出的监督和管理。我单位建立健全了财务支出管理制度,明确了各项支出的费用审批和报销程序,严格监督管理资金的挪用和浪费。通过对各项支出的效果进行定期评估和分析,及时总结了支出管理的经验和教训,对发现的问题及时进行了调整,确保了支出的合理性和效益性。发现的问题及原因：一是预算编制科学性的问题。首先预算编制之合理性相对不足，主要表现在预算调整数较大，年度目标与长期规划衔接的紧密程度需要增强；二是部门职能不明确，个别工作分工不清晰，</w:t>
      </w:r>
      <w:proofErr w:type="gramStart"/>
      <w:r>
        <w:rPr>
          <w:rFonts w:ascii="仿宋_GB2312" w:eastAsia="仿宋_GB2312"/>
          <w:sz w:val="32"/>
          <w:szCs w:val="32"/>
        </w:rPr>
        <w:t>且人员</w:t>
      </w:r>
      <w:proofErr w:type="gramEnd"/>
      <w:r>
        <w:rPr>
          <w:rFonts w:ascii="仿宋_GB2312" w:eastAsia="仿宋_GB2312"/>
          <w:sz w:val="32"/>
          <w:szCs w:val="32"/>
        </w:rPr>
        <w:t>培训和绩效考核制度不够完善，考核方案部分内容和人员名单更新滞后。下一步改进措施：一是构建专业、客观、独立、多样的绩效评价主体。在可能的条件下，引入社会绩效评价组织，专家，高效研究人员等。还应加强对外公开的效率，促使公众参与到部门整体绩效评价执行的过程中，重视社会公众对绩效评价的监督。最后，要加强部门内部绩效评价人员的培训，提高其指标设计和绩效评价的专业技能；二是提高部门整体支出绩效目标设定的合理性。部门设定的绩效目标要与部门的职能有相关性，这样便于后续的评价部门的履职情况，同样能使得部门在运用预算资金的过程中能始终牢记部门职能，不偏离社会责任。把所有与财政支出相关的指标全部列入不现实，可以兼顾好重要性和综合性原则。对于整体工作的反映，尽量采用综合性指标，对于具体项目的反映，尽量采用有代表性的重要指标。具体</w:t>
      </w:r>
      <w:proofErr w:type="gramStart"/>
      <w:r>
        <w:rPr>
          <w:rFonts w:ascii="仿宋_GB2312" w:eastAsia="仿宋_GB2312"/>
          <w:sz w:val="32"/>
          <w:szCs w:val="32"/>
        </w:rPr>
        <w:t>附部门</w:t>
      </w:r>
      <w:proofErr w:type="gramEnd"/>
      <w:r>
        <w:rPr>
          <w:rFonts w:ascii="仿宋_GB2312" w:eastAsia="仿宋_GB2312"/>
          <w:sz w:val="32"/>
          <w:szCs w:val="32"/>
        </w:rPr>
        <w:t>整体支出绩效自评表。</w:t>
      </w:r>
    </w:p>
    <w:p w14:paraId="5123DFDE" w14:textId="76399295" w:rsidR="00D5466B" w:rsidRDefault="006270AA">
      <w:pPr>
        <w:jc w:val="center"/>
        <w:rPr>
          <w:rFonts w:ascii="宋体" w:eastAsia="宋体" w:hAnsi="宋体" w:cs="宋体" w:hint="eastAsia"/>
          <w:b/>
          <w:bCs/>
          <w:sz w:val="28"/>
          <w:szCs w:val="28"/>
        </w:rPr>
      </w:pPr>
      <w:r>
        <w:rPr>
          <w:rFonts w:ascii="宋体" w:eastAsia="宋体" w:hAnsi="宋体" w:cs="宋体" w:hint="eastAsia"/>
          <w:b/>
          <w:bCs/>
          <w:sz w:val="28"/>
          <w:szCs w:val="28"/>
        </w:rPr>
        <w:br w:type="page"/>
      </w:r>
      <w:r>
        <w:rPr>
          <w:rFonts w:ascii="宋体" w:eastAsia="宋体" w:hAnsi="宋体" w:cs="宋体" w:hint="eastAsia"/>
          <w:b/>
          <w:bCs/>
          <w:sz w:val="28"/>
          <w:szCs w:val="28"/>
        </w:rPr>
        <w:lastRenderedPageBreak/>
        <w:t>部门（单位）整体支出绩效目标自评表</w:t>
      </w:r>
    </w:p>
    <w:p w14:paraId="07376D03" w14:textId="77777777" w:rsidR="00D5466B"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D5466B" w14:paraId="7A7EEE08" w14:textId="77777777">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32AED959" w14:textId="77777777" w:rsidR="00D5466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2FC670A2" w14:textId="77777777" w:rsidR="00D5466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乌鲁木齐市米东区卡子湾片区管理委员会</w:t>
            </w:r>
          </w:p>
        </w:tc>
        <w:tc>
          <w:tcPr>
            <w:tcW w:w="284" w:type="dxa"/>
            <w:tcBorders>
              <w:top w:val="nil"/>
              <w:left w:val="nil"/>
              <w:bottom w:val="nil"/>
              <w:right w:val="nil"/>
            </w:tcBorders>
            <w:noWrap/>
            <w:vAlign w:val="center"/>
          </w:tcPr>
          <w:p w14:paraId="4AD07060" w14:textId="77777777" w:rsidR="00D5466B" w:rsidRDefault="00D5466B">
            <w:pPr>
              <w:widowControl/>
              <w:jc w:val="left"/>
              <w:rPr>
                <w:rFonts w:ascii="宋体" w:eastAsia="宋体" w:hAnsi="宋体" w:cs="宋体" w:hint="eastAsia"/>
                <w:b/>
                <w:bCs/>
                <w:sz w:val="18"/>
                <w:szCs w:val="18"/>
              </w:rPr>
            </w:pPr>
          </w:p>
        </w:tc>
      </w:tr>
      <w:tr w:rsidR="00D5466B" w14:paraId="2D0231E4"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72A02048" w14:textId="77777777" w:rsidR="00D5466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部门资金（万元）</w:t>
            </w:r>
          </w:p>
        </w:tc>
        <w:tc>
          <w:tcPr>
            <w:tcW w:w="1417" w:type="dxa"/>
            <w:tcBorders>
              <w:top w:val="nil"/>
              <w:left w:val="nil"/>
              <w:bottom w:val="single" w:sz="4" w:space="0" w:color="auto"/>
              <w:right w:val="single" w:sz="4" w:space="0" w:color="auto"/>
            </w:tcBorders>
            <w:vAlign w:val="center"/>
          </w:tcPr>
          <w:p w14:paraId="2FFF752A" w14:textId="77777777" w:rsidR="00D5466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资金来源</w:t>
            </w:r>
          </w:p>
        </w:tc>
        <w:tc>
          <w:tcPr>
            <w:tcW w:w="1418" w:type="dxa"/>
            <w:tcBorders>
              <w:top w:val="nil"/>
              <w:left w:val="nil"/>
              <w:bottom w:val="single" w:sz="4" w:space="0" w:color="auto"/>
              <w:right w:val="single" w:sz="4" w:space="0" w:color="auto"/>
            </w:tcBorders>
            <w:vAlign w:val="center"/>
          </w:tcPr>
          <w:p w14:paraId="5ED0FA0D" w14:textId="77777777" w:rsidR="00D5466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年初预算数</w:t>
            </w:r>
          </w:p>
        </w:tc>
        <w:tc>
          <w:tcPr>
            <w:tcW w:w="1276" w:type="dxa"/>
            <w:tcBorders>
              <w:top w:val="nil"/>
              <w:left w:val="nil"/>
              <w:bottom w:val="single" w:sz="4" w:space="0" w:color="auto"/>
              <w:right w:val="single" w:sz="4" w:space="0" w:color="auto"/>
            </w:tcBorders>
            <w:vAlign w:val="center"/>
          </w:tcPr>
          <w:p w14:paraId="53AB66A9" w14:textId="77777777" w:rsidR="00D5466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全年预算数</w:t>
            </w:r>
          </w:p>
        </w:tc>
        <w:tc>
          <w:tcPr>
            <w:tcW w:w="1701" w:type="dxa"/>
            <w:tcBorders>
              <w:top w:val="nil"/>
              <w:left w:val="nil"/>
              <w:bottom w:val="single" w:sz="4" w:space="0" w:color="auto"/>
              <w:right w:val="single" w:sz="4" w:space="0" w:color="auto"/>
            </w:tcBorders>
            <w:vAlign w:val="center"/>
          </w:tcPr>
          <w:p w14:paraId="0B6D6195" w14:textId="77777777" w:rsidR="00D5466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全年执行数</w:t>
            </w:r>
          </w:p>
        </w:tc>
        <w:tc>
          <w:tcPr>
            <w:tcW w:w="1134" w:type="dxa"/>
            <w:tcBorders>
              <w:top w:val="nil"/>
              <w:left w:val="nil"/>
              <w:bottom w:val="single" w:sz="4" w:space="0" w:color="auto"/>
              <w:right w:val="single" w:sz="4" w:space="0" w:color="auto"/>
            </w:tcBorders>
            <w:vAlign w:val="center"/>
          </w:tcPr>
          <w:p w14:paraId="68F3E002" w14:textId="77777777" w:rsidR="00D5466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分值权重</w:t>
            </w:r>
          </w:p>
        </w:tc>
        <w:tc>
          <w:tcPr>
            <w:tcW w:w="992" w:type="dxa"/>
            <w:tcBorders>
              <w:top w:val="nil"/>
              <w:left w:val="nil"/>
              <w:bottom w:val="single" w:sz="4" w:space="0" w:color="auto"/>
              <w:right w:val="single" w:sz="4" w:space="0" w:color="auto"/>
            </w:tcBorders>
            <w:vAlign w:val="center"/>
          </w:tcPr>
          <w:p w14:paraId="79A187E2" w14:textId="77777777" w:rsidR="00D5466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执行率</w:t>
            </w:r>
          </w:p>
        </w:tc>
        <w:tc>
          <w:tcPr>
            <w:tcW w:w="720" w:type="dxa"/>
            <w:tcBorders>
              <w:top w:val="nil"/>
              <w:left w:val="nil"/>
              <w:bottom w:val="single" w:sz="4" w:space="0" w:color="auto"/>
              <w:right w:val="single" w:sz="4" w:space="0" w:color="auto"/>
            </w:tcBorders>
            <w:vAlign w:val="center"/>
          </w:tcPr>
          <w:p w14:paraId="4B2D2E61" w14:textId="77777777" w:rsidR="00D5466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得分</w:t>
            </w:r>
          </w:p>
        </w:tc>
        <w:tc>
          <w:tcPr>
            <w:tcW w:w="284" w:type="dxa"/>
            <w:tcBorders>
              <w:top w:val="nil"/>
              <w:left w:val="nil"/>
              <w:bottom w:val="nil"/>
              <w:right w:val="nil"/>
            </w:tcBorders>
            <w:noWrap/>
            <w:vAlign w:val="center"/>
          </w:tcPr>
          <w:p w14:paraId="2AD6BAA2" w14:textId="77777777" w:rsidR="00D5466B" w:rsidRDefault="00D5466B">
            <w:pPr>
              <w:widowControl/>
              <w:jc w:val="center"/>
              <w:rPr>
                <w:rFonts w:ascii="宋体" w:eastAsia="宋体" w:hAnsi="宋体" w:cs="宋体" w:hint="eastAsia"/>
                <w:b/>
                <w:bCs/>
                <w:sz w:val="18"/>
                <w:szCs w:val="18"/>
              </w:rPr>
            </w:pPr>
          </w:p>
        </w:tc>
      </w:tr>
      <w:tr w:rsidR="00D5466B" w14:paraId="1106C1C0"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5F6E2F9B" w14:textId="77777777" w:rsidR="00D5466B" w:rsidRDefault="00D5466B">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tcPr>
          <w:p w14:paraId="4DA4A5CE" w14:textId="77777777" w:rsidR="00D5466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年度总资金</w:t>
            </w:r>
          </w:p>
        </w:tc>
        <w:tc>
          <w:tcPr>
            <w:tcW w:w="1418" w:type="dxa"/>
            <w:tcBorders>
              <w:top w:val="nil"/>
              <w:left w:val="nil"/>
              <w:bottom w:val="single" w:sz="4" w:space="0" w:color="auto"/>
              <w:right w:val="single" w:sz="4" w:space="0" w:color="auto"/>
            </w:tcBorders>
            <w:vAlign w:val="center"/>
          </w:tcPr>
          <w:p w14:paraId="12F808EB" w14:textId="77777777" w:rsidR="00D5466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4,549.50</w:t>
            </w:r>
          </w:p>
        </w:tc>
        <w:tc>
          <w:tcPr>
            <w:tcW w:w="1276" w:type="dxa"/>
            <w:tcBorders>
              <w:top w:val="nil"/>
              <w:left w:val="nil"/>
              <w:bottom w:val="single" w:sz="4" w:space="0" w:color="auto"/>
              <w:right w:val="single" w:sz="4" w:space="0" w:color="auto"/>
            </w:tcBorders>
            <w:vAlign w:val="center"/>
          </w:tcPr>
          <w:p w14:paraId="5DD18180" w14:textId="77777777" w:rsidR="00D5466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3,299.46</w:t>
            </w:r>
          </w:p>
        </w:tc>
        <w:tc>
          <w:tcPr>
            <w:tcW w:w="1701" w:type="dxa"/>
            <w:tcBorders>
              <w:top w:val="nil"/>
              <w:left w:val="nil"/>
              <w:bottom w:val="single" w:sz="4" w:space="0" w:color="auto"/>
              <w:right w:val="single" w:sz="4" w:space="0" w:color="auto"/>
            </w:tcBorders>
            <w:vAlign w:val="center"/>
          </w:tcPr>
          <w:p w14:paraId="09AA4831" w14:textId="77777777" w:rsidR="00D5466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3,228.05</w:t>
            </w:r>
          </w:p>
        </w:tc>
        <w:tc>
          <w:tcPr>
            <w:tcW w:w="1134" w:type="dxa"/>
            <w:tcBorders>
              <w:top w:val="nil"/>
              <w:left w:val="nil"/>
              <w:bottom w:val="single" w:sz="4" w:space="0" w:color="auto"/>
              <w:right w:val="single" w:sz="4" w:space="0" w:color="auto"/>
            </w:tcBorders>
            <w:vAlign w:val="center"/>
          </w:tcPr>
          <w:p w14:paraId="7B877400" w14:textId="77777777" w:rsidR="00D5466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w:t>
            </w:r>
          </w:p>
        </w:tc>
        <w:tc>
          <w:tcPr>
            <w:tcW w:w="992" w:type="dxa"/>
            <w:tcBorders>
              <w:top w:val="nil"/>
              <w:left w:val="nil"/>
              <w:bottom w:val="single" w:sz="4" w:space="0" w:color="auto"/>
              <w:right w:val="single" w:sz="4" w:space="0" w:color="auto"/>
            </w:tcBorders>
            <w:vAlign w:val="center"/>
          </w:tcPr>
          <w:p w14:paraId="3F4CFF0F" w14:textId="77777777" w:rsidR="00D5466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97.84%</w:t>
            </w:r>
          </w:p>
        </w:tc>
        <w:tc>
          <w:tcPr>
            <w:tcW w:w="720" w:type="dxa"/>
            <w:tcBorders>
              <w:top w:val="nil"/>
              <w:left w:val="nil"/>
              <w:bottom w:val="single" w:sz="4" w:space="0" w:color="auto"/>
              <w:right w:val="single" w:sz="4" w:space="0" w:color="auto"/>
            </w:tcBorders>
            <w:vAlign w:val="center"/>
          </w:tcPr>
          <w:p w14:paraId="01CA4D97" w14:textId="77777777" w:rsidR="00D5466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9.78</w:t>
            </w:r>
          </w:p>
        </w:tc>
        <w:tc>
          <w:tcPr>
            <w:tcW w:w="284" w:type="dxa"/>
            <w:tcBorders>
              <w:top w:val="nil"/>
              <w:left w:val="nil"/>
              <w:bottom w:val="nil"/>
              <w:right w:val="nil"/>
            </w:tcBorders>
            <w:noWrap/>
            <w:vAlign w:val="center"/>
          </w:tcPr>
          <w:p w14:paraId="7A2EC4F3" w14:textId="77777777" w:rsidR="00D5466B" w:rsidRDefault="00D5466B">
            <w:pPr>
              <w:widowControl/>
              <w:jc w:val="center"/>
              <w:rPr>
                <w:rFonts w:ascii="宋体" w:eastAsia="宋体" w:hAnsi="宋体" w:cs="宋体" w:hint="eastAsia"/>
                <w:b/>
                <w:bCs/>
                <w:sz w:val="18"/>
                <w:szCs w:val="18"/>
              </w:rPr>
            </w:pPr>
          </w:p>
        </w:tc>
      </w:tr>
      <w:tr w:rsidR="00D5466B" w14:paraId="4B14EA37"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3750FDFC" w14:textId="77777777" w:rsidR="00D5466B" w:rsidRDefault="00D5466B">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1184BE30" w14:textId="77777777" w:rsidR="00D5466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其中:上级资金（万元）</w:t>
            </w:r>
          </w:p>
        </w:tc>
        <w:tc>
          <w:tcPr>
            <w:tcW w:w="1418" w:type="dxa"/>
            <w:tcBorders>
              <w:top w:val="nil"/>
              <w:left w:val="nil"/>
              <w:bottom w:val="single" w:sz="4" w:space="0" w:color="auto"/>
              <w:right w:val="single" w:sz="4" w:space="0" w:color="auto"/>
            </w:tcBorders>
            <w:vAlign w:val="center"/>
          </w:tcPr>
          <w:p w14:paraId="0295BCB4" w14:textId="77777777" w:rsidR="00D5466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0.00</w:t>
            </w:r>
          </w:p>
        </w:tc>
        <w:tc>
          <w:tcPr>
            <w:tcW w:w="1276" w:type="dxa"/>
            <w:tcBorders>
              <w:top w:val="nil"/>
              <w:left w:val="nil"/>
              <w:bottom w:val="single" w:sz="4" w:space="0" w:color="auto"/>
              <w:right w:val="single" w:sz="4" w:space="0" w:color="auto"/>
            </w:tcBorders>
            <w:vAlign w:val="center"/>
          </w:tcPr>
          <w:p w14:paraId="5AD0EDE3" w14:textId="77777777" w:rsidR="00D5466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60.00</w:t>
            </w:r>
          </w:p>
        </w:tc>
        <w:tc>
          <w:tcPr>
            <w:tcW w:w="1701" w:type="dxa"/>
            <w:tcBorders>
              <w:top w:val="nil"/>
              <w:left w:val="nil"/>
              <w:bottom w:val="single" w:sz="4" w:space="0" w:color="auto"/>
              <w:right w:val="single" w:sz="4" w:space="0" w:color="auto"/>
            </w:tcBorders>
            <w:vAlign w:val="center"/>
          </w:tcPr>
          <w:p w14:paraId="4506D093" w14:textId="77777777" w:rsidR="00D5466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60.00</w:t>
            </w:r>
          </w:p>
        </w:tc>
        <w:tc>
          <w:tcPr>
            <w:tcW w:w="1134" w:type="dxa"/>
            <w:tcBorders>
              <w:top w:val="nil"/>
              <w:left w:val="nil"/>
              <w:bottom w:val="single" w:sz="4" w:space="0" w:color="auto"/>
              <w:right w:val="single" w:sz="4" w:space="0" w:color="auto"/>
            </w:tcBorders>
            <w:vAlign w:val="center"/>
          </w:tcPr>
          <w:p w14:paraId="42598C80" w14:textId="77777777" w:rsidR="00D5466B"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992" w:type="dxa"/>
            <w:tcBorders>
              <w:top w:val="nil"/>
              <w:left w:val="nil"/>
              <w:bottom w:val="single" w:sz="4" w:space="0" w:color="auto"/>
              <w:right w:val="single" w:sz="4" w:space="0" w:color="auto"/>
            </w:tcBorders>
            <w:vAlign w:val="center"/>
          </w:tcPr>
          <w:p w14:paraId="4D467384" w14:textId="77777777" w:rsidR="00D5466B"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720" w:type="dxa"/>
            <w:tcBorders>
              <w:top w:val="nil"/>
              <w:left w:val="nil"/>
              <w:bottom w:val="single" w:sz="4" w:space="0" w:color="auto"/>
              <w:right w:val="single" w:sz="4" w:space="0" w:color="auto"/>
            </w:tcBorders>
            <w:vAlign w:val="center"/>
          </w:tcPr>
          <w:p w14:paraId="4D282C21" w14:textId="77777777" w:rsidR="00D5466B"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284" w:type="dxa"/>
            <w:tcBorders>
              <w:top w:val="nil"/>
              <w:left w:val="nil"/>
              <w:bottom w:val="nil"/>
              <w:right w:val="nil"/>
            </w:tcBorders>
            <w:noWrap/>
            <w:vAlign w:val="center"/>
          </w:tcPr>
          <w:p w14:paraId="57B67771" w14:textId="77777777" w:rsidR="00D5466B" w:rsidRDefault="00D5466B">
            <w:pPr>
              <w:widowControl/>
              <w:jc w:val="center"/>
              <w:rPr>
                <w:rFonts w:ascii="宋体" w:eastAsia="宋体" w:hAnsi="宋体" w:cs="宋体" w:hint="eastAsia"/>
                <w:sz w:val="18"/>
                <w:szCs w:val="18"/>
              </w:rPr>
            </w:pPr>
          </w:p>
        </w:tc>
      </w:tr>
      <w:tr w:rsidR="00D5466B" w14:paraId="21890A93" w14:textId="7777777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76091ACD" w14:textId="77777777" w:rsidR="00D5466B" w:rsidRDefault="00D5466B">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63B5185F" w14:textId="77777777" w:rsidR="00D5466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本级资金（万元）</w:t>
            </w:r>
          </w:p>
        </w:tc>
        <w:tc>
          <w:tcPr>
            <w:tcW w:w="1418" w:type="dxa"/>
            <w:tcBorders>
              <w:top w:val="nil"/>
              <w:left w:val="nil"/>
              <w:bottom w:val="single" w:sz="4" w:space="0" w:color="auto"/>
              <w:right w:val="single" w:sz="4" w:space="0" w:color="auto"/>
            </w:tcBorders>
            <w:vAlign w:val="center"/>
          </w:tcPr>
          <w:p w14:paraId="4B81D438" w14:textId="77777777" w:rsidR="00D5466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4,549.50</w:t>
            </w:r>
          </w:p>
        </w:tc>
        <w:tc>
          <w:tcPr>
            <w:tcW w:w="1276" w:type="dxa"/>
            <w:tcBorders>
              <w:top w:val="nil"/>
              <w:left w:val="nil"/>
              <w:bottom w:val="single" w:sz="4" w:space="0" w:color="auto"/>
              <w:right w:val="single" w:sz="4" w:space="0" w:color="auto"/>
            </w:tcBorders>
            <w:vAlign w:val="center"/>
          </w:tcPr>
          <w:p w14:paraId="453EE0F2" w14:textId="77777777" w:rsidR="00D5466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3,239.46</w:t>
            </w:r>
          </w:p>
        </w:tc>
        <w:tc>
          <w:tcPr>
            <w:tcW w:w="1701" w:type="dxa"/>
            <w:tcBorders>
              <w:top w:val="nil"/>
              <w:left w:val="nil"/>
              <w:bottom w:val="single" w:sz="4" w:space="0" w:color="auto"/>
              <w:right w:val="single" w:sz="4" w:space="0" w:color="auto"/>
            </w:tcBorders>
            <w:vAlign w:val="center"/>
          </w:tcPr>
          <w:p w14:paraId="334BEE0E" w14:textId="77777777" w:rsidR="00D5466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3,168.05</w:t>
            </w:r>
          </w:p>
        </w:tc>
        <w:tc>
          <w:tcPr>
            <w:tcW w:w="1134" w:type="dxa"/>
            <w:tcBorders>
              <w:top w:val="nil"/>
              <w:left w:val="nil"/>
              <w:bottom w:val="single" w:sz="4" w:space="0" w:color="auto"/>
              <w:right w:val="single" w:sz="4" w:space="0" w:color="auto"/>
            </w:tcBorders>
            <w:vAlign w:val="center"/>
          </w:tcPr>
          <w:p w14:paraId="21771812" w14:textId="77777777" w:rsidR="00D5466B"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992" w:type="dxa"/>
            <w:tcBorders>
              <w:top w:val="nil"/>
              <w:left w:val="nil"/>
              <w:bottom w:val="single" w:sz="4" w:space="0" w:color="auto"/>
              <w:right w:val="single" w:sz="4" w:space="0" w:color="auto"/>
            </w:tcBorders>
            <w:vAlign w:val="center"/>
          </w:tcPr>
          <w:p w14:paraId="7307B149" w14:textId="77777777" w:rsidR="00D5466B"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720" w:type="dxa"/>
            <w:tcBorders>
              <w:top w:val="nil"/>
              <w:left w:val="nil"/>
              <w:bottom w:val="single" w:sz="4" w:space="0" w:color="auto"/>
              <w:right w:val="single" w:sz="4" w:space="0" w:color="auto"/>
            </w:tcBorders>
            <w:vAlign w:val="center"/>
          </w:tcPr>
          <w:p w14:paraId="619FD052" w14:textId="77777777" w:rsidR="00D5466B"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284" w:type="dxa"/>
            <w:tcBorders>
              <w:top w:val="nil"/>
              <w:left w:val="nil"/>
              <w:bottom w:val="nil"/>
              <w:right w:val="nil"/>
            </w:tcBorders>
            <w:noWrap/>
            <w:vAlign w:val="center"/>
          </w:tcPr>
          <w:p w14:paraId="282D7CF0" w14:textId="77777777" w:rsidR="00D5466B" w:rsidRDefault="00D5466B">
            <w:pPr>
              <w:widowControl/>
              <w:jc w:val="center"/>
              <w:rPr>
                <w:rFonts w:ascii="宋体" w:eastAsia="宋体" w:hAnsi="宋体" w:cs="宋体" w:hint="eastAsia"/>
                <w:sz w:val="18"/>
                <w:szCs w:val="18"/>
              </w:rPr>
            </w:pPr>
          </w:p>
        </w:tc>
      </w:tr>
      <w:tr w:rsidR="00D5466B" w14:paraId="50A7D8EE" w14:textId="7777777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4B8F0290" w14:textId="77777777" w:rsidR="00D5466B" w:rsidRDefault="00D5466B">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03047C13" w14:textId="77777777" w:rsidR="00D5466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其他资金（万元）</w:t>
            </w:r>
          </w:p>
        </w:tc>
        <w:tc>
          <w:tcPr>
            <w:tcW w:w="1418" w:type="dxa"/>
            <w:tcBorders>
              <w:top w:val="nil"/>
              <w:left w:val="nil"/>
              <w:bottom w:val="single" w:sz="4" w:space="0" w:color="auto"/>
              <w:right w:val="single" w:sz="4" w:space="0" w:color="auto"/>
            </w:tcBorders>
            <w:vAlign w:val="center"/>
          </w:tcPr>
          <w:p w14:paraId="797F8D14" w14:textId="77777777" w:rsidR="00D5466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0.00</w:t>
            </w:r>
          </w:p>
        </w:tc>
        <w:tc>
          <w:tcPr>
            <w:tcW w:w="1276" w:type="dxa"/>
            <w:tcBorders>
              <w:top w:val="nil"/>
              <w:left w:val="nil"/>
              <w:bottom w:val="single" w:sz="4" w:space="0" w:color="auto"/>
              <w:right w:val="single" w:sz="4" w:space="0" w:color="auto"/>
            </w:tcBorders>
            <w:vAlign w:val="center"/>
          </w:tcPr>
          <w:p w14:paraId="2D5F5CD5" w14:textId="77777777" w:rsidR="00D5466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0.00</w:t>
            </w:r>
          </w:p>
        </w:tc>
        <w:tc>
          <w:tcPr>
            <w:tcW w:w="1701" w:type="dxa"/>
            <w:tcBorders>
              <w:top w:val="nil"/>
              <w:left w:val="nil"/>
              <w:bottom w:val="single" w:sz="4" w:space="0" w:color="auto"/>
              <w:right w:val="single" w:sz="4" w:space="0" w:color="auto"/>
            </w:tcBorders>
            <w:vAlign w:val="center"/>
          </w:tcPr>
          <w:p w14:paraId="7DC2F90F" w14:textId="77777777" w:rsidR="00D5466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14:paraId="0E03666A" w14:textId="77777777" w:rsidR="00D5466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w:t>
            </w:r>
          </w:p>
        </w:tc>
        <w:tc>
          <w:tcPr>
            <w:tcW w:w="992" w:type="dxa"/>
            <w:tcBorders>
              <w:top w:val="nil"/>
              <w:left w:val="nil"/>
              <w:bottom w:val="single" w:sz="4" w:space="0" w:color="auto"/>
              <w:right w:val="single" w:sz="4" w:space="0" w:color="auto"/>
            </w:tcBorders>
            <w:vAlign w:val="center"/>
          </w:tcPr>
          <w:p w14:paraId="746220DF" w14:textId="77777777" w:rsidR="00D5466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tcPr>
          <w:p w14:paraId="33FB611F" w14:textId="77777777" w:rsidR="00D5466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w:t>
            </w:r>
          </w:p>
        </w:tc>
        <w:tc>
          <w:tcPr>
            <w:tcW w:w="284" w:type="dxa"/>
            <w:tcBorders>
              <w:top w:val="nil"/>
              <w:left w:val="nil"/>
              <w:bottom w:val="nil"/>
              <w:right w:val="nil"/>
            </w:tcBorders>
            <w:noWrap/>
            <w:vAlign w:val="center"/>
          </w:tcPr>
          <w:p w14:paraId="484EAB3C" w14:textId="77777777" w:rsidR="00D5466B" w:rsidRDefault="00D5466B">
            <w:pPr>
              <w:widowControl/>
              <w:jc w:val="center"/>
              <w:rPr>
                <w:rFonts w:ascii="宋体" w:eastAsia="宋体" w:hAnsi="宋体" w:cs="宋体" w:hint="eastAsia"/>
                <w:sz w:val="18"/>
                <w:szCs w:val="18"/>
              </w:rPr>
            </w:pPr>
          </w:p>
        </w:tc>
      </w:tr>
      <w:tr w:rsidR="00D5466B" w14:paraId="18D02C7F"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3F2EFF32" w14:textId="77777777" w:rsidR="00D5466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年度总体目标</w:t>
            </w:r>
          </w:p>
        </w:tc>
        <w:tc>
          <w:tcPr>
            <w:tcW w:w="4111" w:type="dxa"/>
            <w:gridSpan w:val="3"/>
            <w:tcBorders>
              <w:top w:val="single" w:sz="4" w:space="0" w:color="auto"/>
              <w:left w:val="nil"/>
              <w:bottom w:val="single" w:sz="4" w:space="0" w:color="auto"/>
              <w:right w:val="single" w:sz="4" w:space="0" w:color="auto"/>
            </w:tcBorders>
            <w:noWrap/>
            <w:vAlign w:val="center"/>
          </w:tcPr>
          <w:p w14:paraId="49303311" w14:textId="77777777" w:rsidR="00D5466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预期目标</w:t>
            </w:r>
          </w:p>
        </w:tc>
        <w:tc>
          <w:tcPr>
            <w:tcW w:w="4547" w:type="dxa"/>
            <w:gridSpan w:val="4"/>
            <w:tcBorders>
              <w:top w:val="single" w:sz="4" w:space="0" w:color="auto"/>
              <w:left w:val="nil"/>
              <w:bottom w:val="single" w:sz="4" w:space="0" w:color="auto"/>
              <w:right w:val="single" w:sz="4" w:space="0" w:color="auto"/>
            </w:tcBorders>
            <w:noWrap/>
            <w:vAlign w:val="center"/>
          </w:tcPr>
          <w:p w14:paraId="79028FAE" w14:textId="77777777" w:rsidR="00D5466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实际完成情况</w:t>
            </w:r>
          </w:p>
        </w:tc>
        <w:tc>
          <w:tcPr>
            <w:tcW w:w="284" w:type="dxa"/>
            <w:tcBorders>
              <w:top w:val="nil"/>
              <w:left w:val="nil"/>
              <w:bottom w:val="nil"/>
              <w:right w:val="nil"/>
            </w:tcBorders>
            <w:noWrap/>
            <w:vAlign w:val="center"/>
          </w:tcPr>
          <w:p w14:paraId="36609040" w14:textId="77777777" w:rsidR="00D5466B" w:rsidRDefault="00D5466B">
            <w:pPr>
              <w:widowControl/>
              <w:jc w:val="left"/>
              <w:rPr>
                <w:rFonts w:ascii="宋体" w:eastAsia="宋体" w:hAnsi="宋体" w:cs="宋体" w:hint="eastAsia"/>
                <w:b/>
                <w:bCs/>
                <w:sz w:val="18"/>
                <w:szCs w:val="18"/>
              </w:rPr>
            </w:pPr>
          </w:p>
        </w:tc>
      </w:tr>
      <w:tr w:rsidR="00D5466B" w14:paraId="02D29A9C"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01A8047B" w14:textId="77777777" w:rsidR="00D5466B" w:rsidRDefault="00D5466B">
            <w:pPr>
              <w:widowControl/>
              <w:jc w:val="left"/>
              <w:rPr>
                <w:rFonts w:ascii="宋体" w:eastAsia="宋体" w:hAnsi="宋体" w:cs="宋体" w:hint="eastAsia"/>
                <w:b/>
                <w:bCs/>
                <w:sz w:val="18"/>
                <w:szCs w:val="18"/>
              </w:rPr>
            </w:pPr>
          </w:p>
        </w:tc>
        <w:tc>
          <w:tcPr>
            <w:tcW w:w="4111" w:type="dxa"/>
            <w:gridSpan w:val="3"/>
            <w:tcBorders>
              <w:top w:val="single" w:sz="4" w:space="0" w:color="auto"/>
              <w:left w:val="nil"/>
              <w:bottom w:val="single" w:sz="4" w:space="0" w:color="auto"/>
              <w:right w:val="single" w:sz="4" w:space="0" w:color="auto"/>
            </w:tcBorders>
          </w:tcPr>
          <w:p w14:paraId="04D15E50" w14:textId="56A75B0A" w:rsidR="00D5466B"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受区委、区人民政府委托，统一领导和管理辖区党务、行政和社会事务工作，促进片区管委会和谐发展;拟订并组织实施片区管委会发展规划、强化“两个机制”、夯实基层基础工作的建议和措施;统筹整合辖区行政、社会、公共服务资源，综合协调相关职能部门和驻区企事业单位，为辖区居民提供民生保障、社会治安、城市管理等综合服务;对相关职能部门和驻区企事业单位履行社会管理和公共服务职能情况进行监督、检查和考核。2024年度重点工作推进警网深度融合不断提升</w:t>
            </w:r>
            <w:r w:rsidR="00791A00" w:rsidRPr="00791A00">
              <w:rPr>
                <w:rFonts w:ascii="宋体" w:eastAsia="宋体" w:hAnsi="宋体" w:cs="宋体" w:hint="eastAsia"/>
                <w:sz w:val="18"/>
                <w:szCs w:val="18"/>
              </w:rPr>
              <w:t>维护稳定</w:t>
            </w:r>
            <w:r>
              <w:rPr>
                <w:rFonts w:ascii="宋体" w:eastAsia="宋体" w:hAnsi="宋体" w:cs="宋体" w:hint="eastAsia"/>
                <w:sz w:val="18"/>
                <w:szCs w:val="18"/>
              </w:rPr>
              <w:t>法治化、科学化、精准化水平。健全居民小区服务设施，逐年补齐基础设施短板，稳步提升物业管理服务水平。城市精细化管理水平与群众期盼还有差距。今后要主动申报、积极</w:t>
            </w:r>
            <w:proofErr w:type="gramStart"/>
            <w:r>
              <w:rPr>
                <w:rFonts w:ascii="宋体" w:eastAsia="宋体" w:hAnsi="宋体" w:cs="宋体" w:hint="eastAsia"/>
                <w:sz w:val="18"/>
                <w:szCs w:val="18"/>
              </w:rPr>
              <w:t>对接区</w:t>
            </w:r>
            <w:proofErr w:type="gramEnd"/>
            <w:r>
              <w:rPr>
                <w:rFonts w:ascii="宋体" w:eastAsia="宋体" w:hAnsi="宋体" w:cs="宋体" w:hint="eastAsia"/>
                <w:sz w:val="18"/>
                <w:szCs w:val="18"/>
              </w:rPr>
              <w:t>政府有关部门，加大协调</w:t>
            </w:r>
            <w:proofErr w:type="gramStart"/>
            <w:r>
              <w:rPr>
                <w:rFonts w:ascii="宋体" w:eastAsia="宋体" w:hAnsi="宋体" w:cs="宋体" w:hint="eastAsia"/>
                <w:sz w:val="18"/>
                <w:szCs w:val="18"/>
              </w:rPr>
              <w:t>跑办力度</w:t>
            </w:r>
            <w:proofErr w:type="gramEnd"/>
            <w:r>
              <w:rPr>
                <w:rFonts w:ascii="宋体" w:eastAsia="宋体" w:hAnsi="宋体" w:cs="宋体" w:hint="eastAsia"/>
                <w:sz w:val="18"/>
                <w:szCs w:val="18"/>
              </w:rPr>
              <w:t>，力争使城区道路管护、补齐交通要道中央隔离护栏、规范设置交通信号灯，新建公厕，增设垃圾收运点等项目列入区政府2024年项目盘子，营造设施齐全、干净卫生、整齐有序的城市环境。</w:t>
            </w:r>
          </w:p>
        </w:tc>
        <w:tc>
          <w:tcPr>
            <w:tcW w:w="4547" w:type="dxa"/>
            <w:gridSpan w:val="4"/>
            <w:tcBorders>
              <w:top w:val="single" w:sz="4" w:space="0" w:color="auto"/>
              <w:left w:val="nil"/>
              <w:bottom w:val="single" w:sz="4" w:space="0" w:color="auto"/>
              <w:right w:val="single" w:sz="4" w:space="0" w:color="auto"/>
            </w:tcBorders>
          </w:tcPr>
          <w:p w14:paraId="2D7DBD8E" w14:textId="462E2642" w:rsidR="00D5466B"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受区委、区人民政府委托，统一领导和管理辖区党务、行政和社会事务工作，促进片区管委会和谐发展;拟订并组织实施片区管委会发展规划、强化“两个机制”、夯实基层基础工作的建议和措施;统筹整合辖区行政、社会、公共服务资源，综合协调相关职能部门和驻区企事业单位，为辖区居民提供民生保障、社会治安、城市管理等综合服务;对相关职能部门和驻区企事业单位履行社会管理和公共服务职能情况进行监督、检查和考核。2024年度重点工作（一）聚焦党建引领，提升治理水平。深化“五个好”党支部规范化标准化创建工作，制定晋位升级计划并抓好落实，不断巩固党支部标准化、规范化建设成果。以“党建引领基层治理深化项目建设”为载体，打造育林社区“红色合伙人”、文化路社区“小哥驿站”、创业社区“零工驿站”等</w:t>
            </w:r>
            <w:proofErr w:type="gramStart"/>
            <w:r>
              <w:rPr>
                <w:rFonts w:ascii="宋体" w:eastAsia="宋体" w:hAnsi="宋体" w:cs="宋体" w:hint="eastAsia"/>
                <w:sz w:val="18"/>
                <w:szCs w:val="18"/>
              </w:rPr>
              <w:t>特色党建</w:t>
            </w:r>
            <w:proofErr w:type="gramEnd"/>
            <w:r>
              <w:rPr>
                <w:rFonts w:ascii="宋体" w:eastAsia="宋体" w:hAnsi="宋体" w:cs="宋体" w:hint="eastAsia"/>
                <w:sz w:val="18"/>
                <w:szCs w:val="18"/>
              </w:rPr>
              <w:t>项目，落实创业、育林、华兴等三个社区“石榴籽”服务站项目。打造党建引领示范小区8个。（二）聚</w:t>
            </w:r>
            <w:proofErr w:type="gramStart"/>
            <w:r>
              <w:rPr>
                <w:rFonts w:ascii="宋体" w:eastAsia="宋体" w:hAnsi="宋体" w:cs="宋体" w:hint="eastAsia"/>
                <w:sz w:val="18"/>
                <w:szCs w:val="18"/>
              </w:rPr>
              <w:t>力社会</w:t>
            </w:r>
            <w:proofErr w:type="gramEnd"/>
            <w:r>
              <w:rPr>
                <w:rFonts w:ascii="宋体" w:eastAsia="宋体" w:hAnsi="宋体" w:cs="宋体" w:hint="eastAsia"/>
                <w:sz w:val="18"/>
                <w:szCs w:val="18"/>
              </w:rPr>
              <w:t>稳定，推进平安建设充分发挥“警网融合”“多网合一”机制的作用，全面加强各类风险隐患排查整治，统筹做好辖区</w:t>
            </w:r>
            <w:r w:rsidR="00791A00" w:rsidRPr="00791A00">
              <w:rPr>
                <w:rFonts w:ascii="宋体" w:eastAsia="宋体" w:hAnsi="宋体" w:cs="宋体" w:hint="eastAsia"/>
                <w:sz w:val="18"/>
                <w:szCs w:val="18"/>
              </w:rPr>
              <w:t>维护稳定</w:t>
            </w:r>
            <w:r>
              <w:rPr>
                <w:rFonts w:ascii="宋体" w:eastAsia="宋体" w:hAnsi="宋体" w:cs="宋体" w:hint="eastAsia"/>
                <w:sz w:val="18"/>
                <w:szCs w:val="18"/>
              </w:rPr>
              <w:t>和安全生产工作。安全防线持续牢固。严格落实“党政同责、一岗双责”制度，严格排查安全风险隐患。组织安全生产教育培训27场次，组建的12支192人应急队伍注重日常作用发挥。签订2024年度安全生产及消防安全目标责任书635份，累计出动安全生产检查组841组、检查人员2159人次，检查点位5726个。（三）</w:t>
            </w:r>
            <w:proofErr w:type="gramStart"/>
            <w:r>
              <w:rPr>
                <w:rFonts w:ascii="宋体" w:eastAsia="宋体" w:hAnsi="宋体" w:cs="宋体" w:hint="eastAsia"/>
                <w:sz w:val="18"/>
                <w:szCs w:val="18"/>
              </w:rPr>
              <w:t>聚智挖潜</w:t>
            </w:r>
            <w:proofErr w:type="gramEnd"/>
            <w:r>
              <w:rPr>
                <w:rFonts w:ascii="宋体" w:eastAsia="宋体" w:hAnsi="宋体" w:cs="宋体" w:hint="eastAsia"/>
                <w:sz w:val="18"/>
                <w:szCs w:val="18"/>
              </w:rPr>
              <w:t>增效，助推经济发展。通过营商环境的不断优化、城区精细化管理水平的不断提高，助推城区经济发展稳中有升。召开自贸区工作座谈会2场，确保企业享受相关政策，为辖区100家企业提供“益企联盟”暖心服务，有效激发企业发展动力；街道通过引进第三方开办百姓幸福街区，开展“百姓驿站”“家门口的集市”农牧产品进社区活动力促“社消零”工作提升，今年新增“升</w:t>
            </w:r>
            <w:proofErr w:type="gramStart"/>
            <w:r>
              <w:rPr>
                <w:rFonts w:ascii="宋体" w:eastAsia="宋体" w:hAnsi="宋体" w:cs="宋体" w:hint="eastAsia"/>
                <w:sz w:val="18"/>
                <w:szCs w:val="18"/>
              </w:rPr>
              <w:t>规</w:t>
            </w:r>
            <w:proofErr w:type="gramEnd"/>
            <w:r>
              <w:rPr>
                <w:rFonts w:ascii="宋体" w:eastAsia="宋体" w:hAnsi="宋体" w:cs="宋体" w:hint="eastAsia"/>
                <w:sz w:val="18"/>
                <w:szCs w:val="18"/>
              </w:rPr>
              <w:t>纳统”企业12家，卡子</w:t>
            </w:r>
            <w:proofErr w:type="gramStart"/>
            <w:r>
              <w:rPr>
                <w:rFonts w:ascii="宋体" w:eastAsia="宋体" w:hAnsi="宋体" w:cs="宋体" w:hint="eastAsia"/>
                <w:sz w:val="18"/>
                <w:szCs w:val="18"/>
              </w:rPr>
              <w:t>湾创业</w:t>
            </w:r>
            <w:proofErr w:type="gramEnd"/>
            <w:r>
              <w:rPr>
                <w:rFonts w:ascii="宋体" w:eastAsia="宋体" w:hAnsi="宋体" w:cs="宋体" w:hint="eastAsia"/>
                <w:sz w:val="18"/>
                <w:szCs w:val="18"/>
              </w:rPr>
              <w:t>市场（创业社区纳福美食广场），营业摊位30个，蔬菜瓜果店、商店、牛羊肉销售、</w:t>
            </w:r>
            <w:proofErr w:type="gramStart"/>
            <w:r>
              <w:rPr>
                <w:rFonts w:ascii="宋体" w:eastAsia="宋体" w:hAnsi="宋体" w:cs="宋体" w:hint="eastAsia"/>
                <w:sz w:val="18"/>
                <w:szCs w:val="18"/>
              </w:rPr>
              <w:t>馕</w:t>
            </w:r>
            <w:proofErr w:type="gramEnd"/>
            <w:r>
              <w:rPr>
                <w:rFonts w:ascii="宋体" w:eastAsia="宋体" w:hAnsi="宋体" w:cs="宋体" w:hint="eastAsia"/>
                <w:sz w:val="18"/>
                <w:szCs w:val="18"/>
              </w:rPr>
              <w:t>店、餐饮店、奶茶店、小商品玩具类一应俱全，为</w:t>
            </w:r>
            <w:proofErr w:type="gramStart"/>
            <w:r>
              <w:rPr>
                <w:rFonts w:ascii="宋体" w:eastAsia="宋体" w:hAnsi="宋体" w:cs="宋体" w:hint="eastAsia"/>
                <w:sz w:val="18"/>
                <w:szCs w:val="18"/>
              </w:rPr>
              <w:t>新零额</w:t>
            </w:r>
            <w:proofErr w:type="gramEnd"/>
            <w:r>
              <w:rPr>
                <w:rFonts w:ascii="宋体" w:eastAsia="宋体" w:hAnsi="宋体" w:cs="宋体" w:hint="eastAsia"/>
                <w:sz w:val="18"/>
                <w:szCs w:val="18"/>
              </w:rPr>
              <w:t>的增长注入了新活力。</w:t>
            </w:r>
          </w:p>
        </w:tc>
        <w:tc>
          <w:tcPr>
            <w:tcW w:w="284" w:type="dxa"/>
            <w:tcBorders>
              <w:top w:val="nil"/>
              <w:left w:val="nil"/>
              <w:bottom w:val="nil"/>
              <w:right w:val="nil"/>
            </w:tcBorders>
            <w:noWrap/>
            <w:vAlign w:val="center"/>
          </w:tcPr>
          <w:p w14:paraId="779CF6FC" w14:textId="77777777" w:rsidR="00D5466B" w:rsidRDefault="00D5466B">
            <w:pPr>
              <w:widowControl/>
              <w:jc w:val="left"/>
              <w:rPr>
                <w:rFonts w:ascii="宋体" w:eastAsia="宋体" w:hAnsi="宋体" w:cs="宋体" w:hint="eastAsia"/>
                <w:sz w:val="18"/>
                <w:szCs w:val="18"/>
              </w:rPr>
            </w:pPr>
          </w:p>
        </w:tc>
      </w:tr>
      <w:tr w:rsidR="00D5466B" w14:paraId="7B7C393F" w14:textId="77777777">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12E01043" w14:textId="77777777" w:rsidR="00D5466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lastRenderedPageBreak/>
              <w:t>一级指标</w:t>
            </w:r>
          </w:p>
        </w:tc>
        <w:tc>
          <w:tcPr>
            <w:tcW w:w="1417" w:type="dxa"/>
            <w:tcBorders>
              <w:top w:val="nil"/>
              <w:left w:val="nil"/>
              <w:bottom w:val="single" w:sz="4" w:space="0" w:color="auto"/>
              <w:right w:val="single" w:sz="4" w:space="0" w:color="auto"/>
            </w:tcBorders>
            <w:vAlign w:val="center"/>
          </w:tcPr>
          <w:p w14:paraId="19A124BE" w14:textId="77777777" w:rsidR="00D5466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二级指标</w:t>
            </w:r>
          </w:p>
        </w:tc>
        <w:tc>
          <w:tcPr>
            <w:tcW w:w="1418" w:type="dxa"/>
            <w:tcBorders>
              <w:top w:val="nil"/>
              <w:left w:val="nil"/>
              <w:bottom w:val="single" w:sz="4" w:space="0" w:color="auto"/>
              <w:right w:val="single" w:sz="4" w:space="0" w:color="auto"/>
            </w:tcBorders>
            <w:vAlign w:val="center"/>
          </w:tcPr>
          <w:p w14:paraId="05975997" w14:textId="77777777" w:rsidR="00D5466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三级指标</w:t>
            </w:r>
          </w:p>
        </w:tc>
        <w:tc>
          <w:tcPr>
            <w:tcW w:w="1276" w:type="dxa"/>
            <w:tcBorders>
              <w:top w:val="nil"/>
              <w:left w:val="nil"/>
              <w:bottom w:val="single" w:sz="4" w:space="0" w:color="auto"/>
              <w:right w:val="single" w:sz="4" w:space="0" w:color="auto"/>
            </w:tcBorders>
            <w:vAlign w:val="center"/>
          </w:tcPr>
          <w:p w14:paraId="77F770C7" w14:textId="77777777" w:rsidR="00D5466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预期指标值</w:t>
            </w:r>
          </w:p>
        </w:tc>
        <w:tc>
          <w:tcPr>
            <w:tcW w:w="1701" w:type="dxa"/>
            <w:tcBorders>
              <w:top w:val="nil"/>
              <w:left w:val="nil"/>
              <w:bottom w:val="single" w:sz="4" w:space="0" w:color="auto"/>
              <w:right w:val="single" w:sz="4" w:space="0" w:color="auto"/>
            </w:tcBorders>
            <w:vAlign w:val="center"/>
          </w:tcPr>
          <w:p w14:paraId="2CA9370E" w14:textId="77777777" w:rsidR="00D5466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指标值设定依据</w:t>
            </w:r>
          </w:p>
        </w:tc>
        <w:tc>
          <w:tcPr>
            <w:tcW w:w="1134" w:type="dxa"/>
            <w:tcBorders>
              <w:top w:val="nil"/>
              <w:left w:val="nil"/>
              <w:bottom w:val="single" w:sz="4" w:space="0" w:color="auto"/>
              <w:right w:val="single" w:sz="4" w:space="0" w:color="auto"/>
            </w:tcBorders>
            <w:vAlign w:val="center"/>
          </w:tcPr>
          <w:p w14:paraId="6C7CFA1E" w14:textId="77777777" w:rsidR="00D5466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实际完成指标值</w:t>
            </w:r>
          </w:p>
        </w:tc>
        <w:tc>
          <w:tcPr>
            <w:tcW w:w="992" w:type="dxa"/>
            <w:tcBorders>
              <w:top w:val="nil"/>
              <w:left w:val="nil"/>
              <w:bottom w:val="single" w:sz="4" w:space="0" w:color="auto"/>
              <w:right w:val="single" w:sz="4" w:space="0" w:color="auto"/>
            </w:tcBorders>
            <w:vAlign w:val="center"/>
          </w:tcPr>
          <w:p w14:paraId="5D5D078E" w14:textId="77777777" w:rsidR="00D5466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分值权重</w:t>
            </w:r>
          </w:p>
        </w:tc>
        <w:tc>
          <w:tcPr>
            <w:tcW w:w="720" w:type="dxa"/>
            <w:tcBorders>
              <w:top w:val="nil"/>
              <w:left w:val="nil"/>
              <w:bottom w:val="single" w:sz="4" w:space="0" w:color="auto"/>
              <w:right w:val="single" w:sz="4" w:space="0" w:color="auto"/>
            </w:tcBorders>
            <w:vAlign w:val="center"/>
          </w:tcPr>
          <w:p w14:paraId="1B9E9187" w14:textId="77777777" w:rsidR="00D5466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得分</w:t>
            </w:r>
          </w:p>
        </w:tc>
        <w:tc>
          <w:tcPr>
            <w:tcW w:w="284" w:type="dxa"/>
            <w:tcBorders>
              <w:top w:val="nil"/>
              <w:left w:val="nil"/>
              <w:bottom w:val="nil"/>
              <w:right w:val="nil"/>
            </w:tcBorders>
            <w:noWrap/>
            <w:vAlign w:val="center"/>
          </w:tcPr>
          <w:p w14:paraId="5BF6BBBB" w14:textId="77777777" w:rsidR="00D5466B" w:rsidRDefault="00D5466B">
            <w:pPr>
              <w:widowControl/>
              <w:jc w:val="left"/>
              <w:rPr>
                <w:rFonts w:ascii="宋体" w:eastAsia="宋体" w:hAnsi="宋体" w:cs="宋体" w:hint="eastAsia"/>
                <w:b/>
                <w:bCs/>
                <w:sz w:val="18"/>
                <w:szCs w:val="18"/>
              </w:rPr>
            </w:pPr>
          </w:p>
        </w:tc>
      </w:tr>
      <w:tr w:rsidR="00D5466B" w14:paraId="55D5FCF8"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451E0DB0" w14:textId="77777777" w:rsidR="00D5466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履职效能</w:t>
            </w:r>
          </w:p>
        </w:tc>
        <w:tc>
          <w:tcPr>
            <w:tcW w:w="1417" w:type="dxa"/>
            <w:vMerge w:val="restart"/>
            <w:tcBorders>
              <w:top w:val="nil"/>
              <w:left w:val="nil"/>
              <w:right w:val="single" w:sz="4" w:space="0" w:color="auto"/>
            </w:tcBorders>
            <w:noWrap/>
            <w:vAlign w:val="center"/>
          </w:tcPr>
          <w:p w14:paraId="68361005" w14:textId="77777777" w:rsidR="00D5466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数量指标</w:t>
            </w:r>
          </w:p>
        </w:tc>
        <w:tc>
          <w:tcPr>
            <w:tcW w:w="1418" w:type="dxa"/>
            <w:tcBorders>
              <w:top w:val="nil"/>
              <w:left w:val="nil"/>
              <w:bottom w:val="single" w:sz="4" w:space="0" w:color="auto"/>
              <w:right w:val="single" w:sz="4" w:space="0" w:color="auto"/>
            </w:tcBorders>
            <w:noWrap/>
            <w:vAlign w:val="center"/>
          </w:tcPr>
          <w:p w14:paraId="1BF1B4D4" w14:textId="77777777" w:rsidR="00D5466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打造党建引领示范小区</w:t>
            </w:r>
          </w:p>
        </w:tc>
        <w:tc>
          <w:tcPr>
            <w:tcW w:w="1276" w:type="dxa"/>
            <w:tcBorders>
              <w:top w:val="nil"/>
              <w:left w:val="nil"/>
              <w:bottom w:val="single" w:sz="4" w:space="0" w:color="auto"/>
              <w:right w:val="single" w:sz="4" w:space="0" w:color="auto"/>
            </w:tcBorders>
            <w:noWrap/>
            <w:vAlign w:val="center"/>
          </w:tcPr>
          <w:p w14:paraId="72FFF155" w14:textId="77777777" w:rsidR="00D5466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&gt;=8个</w:t>
            </w:r>
          </w:p>
        </w:tc>
        <w:tc>
          <w:tcPr>
            <w:tcW w:w="1701" w:type="dxa"/>
            <w:tcBorders>
              <w:top w:val="nil"/>
              <w:left w:val="nil"/>
              <w:bottom w:val="single" w:sz="4" w:space="0" w:color="auto"/>
              <w:right w:val="single" w:sz="4" w:space="0" w:color="auto"/>
            </w:tcBorders>
            <w:noWrap/>
            <w:vAlign w:val="center"/>
          </w:tcPr>
          <w:p w14:paraId="69896FDE" w14:textId="77777777" w:rsidR="00D5466B"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2023年工作总结及2024年计划</w:t>
            </w:r>
          </w:p>
        </w:tc>
        <w:tc>
          <w:tcPr>
            <w:tcW w:w="1134" w:type="dxa"/>
            <w:tcBorders>
              <w:top w:val="nil"/>
              <w:left w:val="nil"/>
              <w:bottom w:val="single" w:sz="4" w:space="0" w:color="auto"/>
              <w:right w:val="single" w:sz="4" w:space="0" w:color="auto"/>
            </w:tcBorders>
            <w:noWrap/>
            <w:vAlign w:val="center"/>
          </w:tcPr>
          <w:p w14:paraId="7413A7C4" w14:textId="77777777" w:rsidR="00D5466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8个</w:t>
            </w:r>
          </w:p>
        </w:tc>
        <w:tc>
          <w:tcPr>
            <w:tcW w:w="992" w:type="dxa"/>
            <w:tcBorders>
              <w:top w:val="nil"/>
              <w:left w:val="nil"/>
              <w:bottom w:val="single" w:sz="4" w:space="0" w:color="auto"/>
              <w:right w:val="single" w:sz="4" w:space="0" w:color="auto"/>
            </w:tcBorders>
            <w:noWrap/>
            <w:vAlign w:val="center"/>
          </w:tcPr>
          <w:p w14:paraId="382B3DA1" w14:textId="77777777" w:rsidR="00D5466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40</w:t>
            </w:r>
          </w:p>
        </w:tc>
        <w:tc>
          <w:tcPr>
            <w:tcW w:w="720" w:type="dxa"/>
            <w:tcBorders>
              <w:top w:val="nil"/>
              <w:left w:val="nil"/>
              <w:bottom w:val="single" w:sz="4" w:space="0" w:color="auto"/>
              <w:right w:val="single" w:sz="4" w:space="0" w:color="auto"/>
            </w:tcBorders>
            <w:noWrap/>
            <w:vAlign w:val="center"/>
          </w:tcPr>
          <w:p w14:paraId="289AF760" w14:textId="77777777" w:rsidR="00D5466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40</w:t>
            </w:r>
          </w:p>
        </w:tc>
        <w:tc>
          <w:tcPr>
            <w:tcW w:w="284" w:type="dxa"/>
            <w:tcBorders>
              <w:top w:val="nil"/>
              <w:left w:val="nil"/>
              <w:bottom w:val="nil"/>
              <w:right w:val="nil"/>
            </w:tcBorders>
            <w:noWrap/>
            <w:vAlign w:val="center"/>
          </w:tcPr>
          <w:p w14:paraId="3B73D792" w14:textId="77777777" w:rsidR="00D5466B" w:rsidRDefault="00D5466B">
            <w:pPr>
              <w:widowControl/>
              <w:jc w:val="center"/>
              <w:rPr>
                <w:rFonts w:ascii="宋体" w:eastAsia="宋体" w:hAnsi="宋体" w:cs="宋体" w:hint="eastAsia"/>
                <w:sz w:val="18"/>
                <w:szCs w:val="18"/>
              </w:rPr>
            </w:pPr>
          </w:p>
        </w:tc>
      </w:tr>
      <w:tr w:rsidR="00D5466B" w14:paraId="69FE82B4" w14:textId="77777777">
        <w:trPr>
          <w:cantSplit/>
          <w:trHeight w:val="740"/>
        </w:trPr>
        <w:tc>
          <w:tcPr>
            <w:tcW w:w="993" w:type="dxa"/>
            <w:vMerge/>
            <w:tcBorders>
              <w:left w:val="single" w:sz="4" w:space="0" w:color="auto"/>
              <w:right w:val="single" w:sz="4" w:space="0" w:color="auto"/>
            </w:tcBorders>
            <w:noWrap/>
            <w:vAlign w:val="center"/>
          </w:tcPr>
          <w:p w14:paraId="3CE4EAFC" w14:textId="77777777" w:rsidR="00D5466B" w:rsidRDefault="00D5466B">
            <w:pPr>
              <w:widowControl/>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5D9CC013" w14:textId="77777777" w:rsidR="00D5466B" w:rsidRDefault="00D5466B">
            <w:pPr>
              <w:widowControl/>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2116E163" w14:textId="77777777" w:rsidR="00D5466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卡子</w:t>
            </w:r>
            <w:proofErr w:type="gramStart"/>
            <w:r>
              <w:rPr>
                <w:rFonts w:ascii="宋体" w:eastAsia="宋体" w:hAnsi="宋体" w:cs="宋体" w:hint="eastAsia"/>
                <w:sz w:val="18"/>
                <w:szCs w:val="18"/>
              </w:rPr>
              <w:t>湾创业</w:t>
            </w:r>
            <w:proofErr w:type="gramEnd"/>
            <w:r>
              <w:rPr>
                <w:rFonts w:ascii="宋体" w:eastAsia="宋体" w:hAnsi="宋体" w:cs="宋体" w:hint="eastAsia"/>
                <w:sz w:val="18"/>
                <w:szCs w:val="18"/>
              </w:rPr>
              <w:t>市场摊位（创业社区纳福美食广场）</w:t>
            </w:r>
          </w:p>
        </w:tc>
        <w:tc>
          <w:tcPr>
            <w:tcW w:w="1276" w:type="dxa"/>
            <w:tcBorders>
              <w:top w:val="nil"/>
              <w:left w:val="nil"/>
              <w:bottom w:val="single" w:sz="4" w:space="0" w:color="auto"/>
              <w:right w:val="single" w:sz="4" w:space="0" w:color="auto"/>
            </w:tcBorders>
            <w:noWrap/>
            <w:vAlign w:val="center"/>
          </w:tcPr>
          <w:p w14:paraId="75BC981D" w14:textId="77777777" w:rsidR="00D5466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&gt;=30个</w:t>
            </w:r>
          </w:p>
        </w:tc>
        <w:tc>
          <w:tcPr>
            <w:tcW w:w="1701" w:type="dxa"/>
            <w:tcBorders>
              <w:top w:val="nil"/>
              <w:left w:val="nil"/>
              <w:bottom w:val="single" w:sz="4" w:space="0" w:color="auto"/>
              <w:right w:val="single" w:sz="4" w:space="0" w:color="auto"/>
            </w:tcBorders>
            <w:noWrap/>
            <w:vAlign w:val="center"/>
          </w:tcPr>
          <w:p w14:paraId="7CEA5F24" w14:textId="77777777" w:rsidR="00D5466B"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2023年工作总结及2024年工作计划</w:t>
            </w:r>
          </w:p>
        </w:tc>
        <w:tc>
          <w:tcPr>
            <w:tcW w:w="1134" w:type="dxa"/>
            <w:tcBorders>
              <w:top w:val="nil"/>
              <w:left w:val="nil"/>
              <w:bottom w:val="single" w:sz="4" w:space="0" w:color="auto"/>
              <w:right w:val="single" w:sz="4" w:space="0" w:color="auto"/>
            </w:tcBorders>
            <w:noWrap/>
            <w:vAlign w:val="center"/>
          </w:tcPr>
          <w:p w14:paraId="57CF8458" w14:textId="77777777" w:rsidR="00D5466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30个</w:t>
            </w:r>
          </w:p>
        </w:tc>
        <w:tc>
          <w:tcPr>
            <w:tcW w:w="992" w:type="dxa"/>
            <w:tcBorders>
              <w:top w:val="nil"/>
              <w:left w:val="nil"/>
              <w:bottom w:val="single" w:sz="4" w:space="0" w:color="auto"/>
              <w:right w:val="single" w:sz="4" w:space="0" w:color="auto"/>
            </w:tcBorders>
            <w:noWrap/>
            <w:vAlign w:val="center"/>
          </w:tcPr>
          <w:p w14:paraId="786F0EA4" w14:textId="77777777" w:rsidR="00D5466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20</w:t>
            </w:r>
          </w:p>
        </w:tc>
        <w:tc>
          <w:tcPr>
            <w:tcW w:w="720" w:type="dxa"/>
            <w:tcBorders>
              <w:top w:val="nil"/>
              <w:left w:val="nil"/>
              <w:bottom w:val="single" w:sz="4" w:space="0" w:color="auto"/>
              <w:right w:val="single" w:sz="4" w:space="0" w:color="auto"/>
            </w:tcBorders>
            <w:noWrap/>
            <w:vAlign w:val="center"/>
          </w:tcPr>
          <w:p w14:paraId="3875A15B" w14:textId="77777777" w:rsidR="00D5466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20</w:t>
            </w:r>
          </w:p>
        </w:tc>
        <w:tc>
          <w:tcPr>
            <w:tcW w:w="284" w:type="dxa"/>
            <w:tcBorders>
              <w:top w:val="nil"/>
              <w:left w:val="nil"/>
              <w:bottom w:val="nil"/>
              <w:right w:val="nil"/>
            </w:tcBorders>
            <w:noWrap/>
            <w:vAlign w:val="center"/>
          </w:tcPr>
          <w:p w14:paraId="2B4E1328" w14:textId="77777777" w:rsidR="00D5466B" w:rsidRDefault="00D5466B">
            <w:pPr>
              <w:widowControl/>
              <w:jc w:val="center"/>
              <w:rPr>
                <w:rFonts w:ascii="宋体" w:eastAsia="宋体" w:hAnsi="宋体" w:cs="宋体" w:hint="eastAsia"/>
                <w:sz w:val="18"/>
                <w:szCs w:val="18"/>
              </w:rPr>
            </w:pPr>
          </w:p>
        </w:tc>
      </w:tr>
      <w:tr w:rsidR="00D5466B" w14:paraId="0E887822"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16D682BE" w14:textId="77777777" w:rsidR="00D5466B" w:rsidRDefault="00D5466B">
            <w:pPr>
              <w:widowControl/>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6F727C5C" w14:textId="77777777" w:rsidR="00D5466B" w:rsidRDefault="00D5466B">
            <w:pPr>
              <w:widowControl/>
              <w:jc w:val="center"/>
              <w:rPr>
                <w:rFonts w:ascii="宋体" w:eastAsia="宋体" w:hAnsi="宋体" w:cs="宋体" w:hint="eastAsia"/>
                <w:sz w:val="18"/>
                <w:szCs w:val="18"/>
              </w:rPr>
            </w:pPr>
          </w:p>
        </w:tc>
        <w:tc>
          <w:tcPr>
            <w:tcW w:w="1418" w:type="dxa"/>
            <w:tcBorders>
              <w:top w:val="single" w:sz="4" w:space="0" w:color="auto"/>
              <w:left w:val="nil"/>
              <w:bottom w:val="single" w:sz="4" w:space="0" w:color="auto"/>
              <w:right w:val="single" w:sz="4" w:space="0" w:color="auto"/>
            </w:tcBorders>
            <w:noWrap/>
            <w:vAlign w:val="center"/>
          </w:tcPr>
          <w:p w14:paraId="77937C45" w14:textId="77777777" w:rsidR="00D5466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安全生产检查人次</w:t>
            </w:r>
          </w:p>
        </w:tc>
        <w:tc>
          <w:tcPr>
            <w:tcW w:w="1276" w:type="dxa"/>
            <w:tcBorders>
              <w:top w:val="single" w:sz="4" w:space="0" w:color="auto"/>
              <w:left w:val="nil"/>
              <w:bottom w:val="single" w:sz="4" w:space="0" w:color="auto"/>
              <w:right w:val="single" w:sz="4" w:space="0" w:color="auto"/>
            </w:tcBorders>
            <w:noWrap/>
            <w:vAlign w:val="center"/>
          </w:tcPr>
          <w:p w14:paraId="6B401044" w14:textId="77777777" w:rsidR="00D5466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&gt;=1000人次</w:t>
            </w:r>
          </w:p>
        </w:tc>
        <w:tc>
          <w:tcPr>
            <w:tcW w:w="1701" w:type="dxa"/>
            <w:tcBorders>
              <w:top w:val="single" w:sz="4" w:space="0" w:color="auto"/>
              <w:left w:val="nil"/>
              <w:bottom w:val="single" w:sz="4" w:space="0" w:color="auto"/>
              <w:right w:val="single" w:sz="4" w:space="0" w:color="auto"/>
            </w:tcBorders>
            <w:noWrap/>
            <w:vAlign w:val="center"/>
          </w:tcPr>
          <w:p w14:paraId="3199AB87" w14:textId="77777777" w:rsidR="00D5466B"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2023年工作总结及2024年计划</w:t>
            </w:r>
          </w:p>
        </w:tc>
        <w:tc>
          <w:tcPr>
            <w:tcW w:w="1134" w:type="dxa"/>
            <w:tcBorders>
              <w:top w:val="single" w:sz="4" w:space="0" w:color="auto"/>
              <w:left w:val="nil"/>
              <w:bottom w:val="single" w:sz="4" w:space="0" w:color="auto"/>
              <w:right w:val="single" w:sz="4" w:space="0" w:color="auto"/>
            </w:tcBorders>
            <w:noWrap/>
            <w:vAlign w:val="center"/>
          </w:tcPr>
          <w:p w14:paraId="5267DAAF" w14:textId="77777777" w:rsidR="00D5466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2159人次</w:t>
            </w:r>
          </w:p>
        </w:tc>
        <w:tc>
          <w:tcPr>
            <w:tcW w:w="992" w:type="dxa"/>
            <w:tcBorders>
              <w:top w:val="single" w:sz="4" w:space="0" w:color="auto"/>
              <w:left w:val="nil"/>
              <w:bottom w:val="single" w:sz="4" w:space="0" w:color="auto"/>
              <w:right w:val="single" w:sz="4" w:space="0" w:color="auto"/>
            </w:tcBorders>
            <w:noWrap/>
            <w:vAlign w:val="center"/>
          </w:tcPr>
          <w:p w14:paraId="39144B8B" w14:textId="77777777" w:rsidR="00D5466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30</w:t>
            </w:r>
          </w:p>
        </w:tc>
        <w:tc>
          <w:tcPr>
            <w:tcW w:w="720" w:type="dxa"/>
            <w:tcBorders>
              <w:top w:val="single" w:sz="4" w:space="0" w:color="auto"/>
              <w:left w:val="nil"/>
              <w:bottom w:val="single" w:sz="4" w:space="0" w:color="auto"/>
              <w:right w:val="single" w:sz="4" w:space="0" w:color="auto"/>
            </w:tcBorders>
            <w:noWrap/>
            <w:vAlign w:val="center"/>
          </w:tcPr>
          <w:p w14:paraId="468173E0" w14:textId="77777777" w:rsidR="00D5466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30</w:t>
            </w:r>
          </w:p>
        </w:tc>
        <w:tc>
          <w:tcPr>
            <w:tcW w:w="284" w:type="dxa"/>
            <w:tcBorders>
              <w:top w:val="nil"/>
              <w:left w:val="nil"/>
              <w:bottom w:val="nil"/>
              <w:right w:val="nil"/>
            </w:tcBorders>
            <w:noWrap/>
            <w:vAlign w:val="center"/>
          </w:tcPr>
          <w:p w14:paraId="23E78EED" w14:textId="77777777" w:rsidR="00D5466B" w:rsidRDefault="00D5466B">
            <w:pPr>
              <w:widowControl/>
              <w:jc w:val="center"/>
              <w:rPr>
                <w:rFonts w:ascii="宋体" w:eastAsia="宋体" w:hAnsi="宋体" w:cs="宋体" w:hint="eastAsia"/>
                <w:sz w:val="18"/>
                <w:szCs w:val="18"/>
              </w:rPr>
            </w:pPr>
          </w:p>
        </w:tc>
      </w:tr>
      <w:tr w:rsidR="00D5466B" w14:paraId="1C028C4C" w14:textId="77777777">
        <w:trPr>
          <w:cantSplit/>
          <w:trHeight w:val="740"/>
        </w:trPr>
        <w:tc>
          <w:tcPr>
            <w:tcW w:w="7939" w:type="dxa"/>
            <w:gridSpan w:val="6"/>
            <w:tcBorders>
              <w:top w:val="single" w:sz="4" w:space="0" w:color="auto"/>
              <w:left w:val="single" w:sz="4" w:space="0" w:color="auto"/>
              <w:bottom w:val="single" w:sz="4" w:space="0" w:color="auto"/>
              <w:right w:val="single" w:sz="4" w:space="0" w:color="auto"/>
            </w:tcBorders>
            <w:noWrap/>
            <w:vAlign w:val="center"/>
          </w:tcPr>
          <w:p w14:paraId="7FDC6AFB" w14:textId="77777777" w:rsidR="00D5466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总分</w:t>
            </w:r>
          </w:p>
        </w:tc>
        <w:tc>
          <w:tcPr>
            <w:tcW w:w="992" w:type="dxa"/>
            <w:tcBorders>
              <w:top w:val="single" w:sz="4" w:space="0" w:color="auto"/>
              <w:left w:val="nil"/>
              <w:bottom w:val="single" w:sz="4" w:space="0" w:color="auto"/>
              <w:right w:val="single" w:sz="4" w:space="0" w:color="auto"/>
            </w:tcBorders>
            <w:noWrap/>
            <w:vAlign w:val="center"/>
          </w:tcPr>
          <w:p w14:paraId="2783FC00" w14:textId="77777777" w:rsidR="00D5466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single" w:sz="4" w:space="0" w:color="auto"/>
              <w:left w:val="nil"/>
              <w:bottom w:val="single" w:sz="4" w:space="0" w:color="auto"/>
              <w:right w:val="single" w:sz="4" w:space="0" w:color="auto"/>
            </w:tcBorders>
            <w:noWrap/>
            <w:vAlign w:val="center"/>
          </w:tcPr>
          <w:p w14:paraId="25BA1631" w14:textId="77777777" w:rsidR="00D5466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99.78</w:t>
            </w:r>
          </w:p>
        </w:tc>
        <w:tc>
          <w:tcPr>
            <w:tcW w:w="284" w:type="dxa"/>
            <w:tcBorders>
              <w:top w:val="nil"/>
              <w:left w:val="nil"/>
              <w:bottom w:val="nil"/>
              <w:right w:val="nil"/>
            </w:tcBorders>
            <w:noWrap/>
            <w:vAlign w:val="center"/>
          </w:tcPr>
          <w:p w14:paraId="46A5993B" w14:textId="77777777" w:rsidR="00D5466B" w:rsidRDefault="00D5466B">
            <w:pPr>
              <w:widowControl/>
              <w:jc w:val="center"/>
              <w:rPr>
                <w:rFonts w:ascii="宋体" w:eastAsia="宋体" w:hAnsi="宋体" w:cs="宋体" w:hint="eastAsia"/>
                <w:sz w:val="18"/>
                <w:szCs w:val="18"/>
              </w:rPr>
            </w:pPr>
          </w:p>
        </w:tc>
      </w:tr>
    </w:tbl>
    <w:p w14:paraId="4CB78A68" w14:textId="77777777" w:rsidR="00D5466B" w:rsidRDefault="00D5466B">
      <w:pPr>
        <w:widowControl/>
        <w:ind w:firstLineChars="200" w:firstLine="640"/>
        <w:rPr>
          <w:rFonts w:ascii="仿宋_GB2312" w:eastAsia="仿宋_GB2312"/>
          <w:sz w:val="32"/>
          <w:szCs w:val="32"/>
        </w:rPr>
      </w:pPr>
    </w:p>
    <w:p w14:paraId="0E5DAB4C" w14:textId="77777777" w:rsidR="00D5466B" w:rsidRDefault="00000000">
      <w:pPr>
        <w:widowControl/>
        <w:ind w:firstLineChars="200" w:firstLine="640"/>
        <w:jc w:val="left"/>
        <w:outlineLvl w:val="1"/>
        <w:rPr>
          <w:rFonts w:ascii="黑体" w:eastAsia="黑体"/>
          <w:sz w:val="32"/>
          <w:szCs w:val="32"/>
        </w:rPr>
      </w:pPr>
      <w:r>
        <w:rPr>
          <w:rFonts w:ascii="黑体" w:eastAsia="黑体"/>
          <w:sz w:val="32"/>
          <w:szCs w:val="32"/>
        </w:rPr>
        <w:t>十二、其他需说明的事项</w:t>
      </w:r>
    </w:p>
    <w:p w14:paraId="55FE53E4" w14:textId="19B948C1" w:rsidR="00D5466B" w:rsidRDefault="00000000" w:rsidP="006270AA">
      <w:pPr>
        <w:widowControl/>
        <w:ind w:firstLineChars="200" w:firstLine="640"/>
        <w:rPr>
          <w:rFonts w:ascii="仿宋_GB2312" w:eastAsia="仿宋_GB2312"/>
          <w:sz w:val="32"/>
          <w:szCs w:val="32"/>
        </w:rPr>
      </w:pPr>
      <w:r>
        <w:rPr>
          <w:rFonts w:ascii="仿宋_GB2312" w:eastAsia="仿宋_GB2312"/>
          <w:sz w:val="32"/>
          <w:szCs w:val="32"/>
        </w:rPr>
        <w:t>本单位无其他需说明事项。</w:t>
      </w:r>
    </w:p>
    <w:p w14:paraId="0C60C621" w14:textId="77777777" w:rsidR="00D5466B" w:rsidRDefault="00000000">
      <w:pPr>
        <w:widowControl/>
      </w:pPr>
      <w:r>
        <w:rPr>
          <w:sz w:val="0"/>
          <w:szCs w:val="0"/>
        </w:rPr>
        <w:br w:type="page"/>
      </w:r>
    </w:p>
    <w:p w14:paraId="3D450177" w14:textId="77777777" w:rsidR="00D5466B" w:rsidRDefault="00000000">
      <w:pPr>
        <w:widowControl/>
        <w:jc w:val="center"/>
        <w:outlineLvl w:val="0"/>
        <w:rPr>
          <w:rFonts w:ascii="黑体" w:eastAsia="黑体"/>
          <w:sz w:val="32"/>
          <w:szCs w:val="32"/>
        </w:rPr>
      </w:pPr>
      <w:r>
        <w:rPr>
          <w:rFonts w:ascii="黑体" w:eastAsia="黑体"/>
          <w:sz w:val="32"/>
          <w:szCs w:val="32"/>
        </w:rPr>
        <w:t>第三部分 专业名词解释</w:t>
      </w:r>
    </w:p>
    <w:p w14:paraId="3F230D0E" w14:textId="77777777" w:rsidR="00D5466B" w:rsidRDefault="00000000">
      <w:pPr>
        <w:widowControl/>
        <w:ind w:firstLineChars="200" w:firstLine="643"/>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sz w:val="32"/>
          <w:szCs w:val="32"/>
        </w:rPr>
        <w:t>指同级财政当年拨付的资金。</w:t>
      </w:r>
    </w:p>
    <w:p w14:paraId="4F29A4EE" w14:textId="77777777" w:rsidR="00D5466B" w:rsidRDefault="00000000">
      <w:pPr>
        <w:widowControl/>
        <w:ind w:firstLineChars="200" w:firstLine="643"/>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sz w:val="32"/>
          <w:szCs w:val="32"/>
        </w:rPr>
        <w:t>指事业单位从主管部门和上级单位取得的非财政补助收入。</w:t>
      </w:r>
    </w:p>
    <w:p w14:paraId="08EB4971" w14:textId="77777777" w:rsidR="00D5466B" w:rsidRDefault="00000000">
      <w:pPr>
        <w:widowControl/>
        <w:ind w:firstLineChars="200" w:firstLine="643"/>
        <w:jc w:val="left"/>
        <w:rPr>
          <w:rFonts w:ascii="仿宋_GB2312" w:eastAsia="仿宋_GB2312"/>
          <w:sz w:val="32"/>
          <w:szCs w:val="32"/>
        </w:rPr>
      </w:pPr>
      <w:r>
        <w:rPr>
          <w:rFonts w:ascii="仿宋_GB2312" w:eastAsia="仿宋_GB2312"/>
          <w:b/>
          <w:sz w:val="32"/>
          <w:szCs w:val="32"/>
        </w:rPr>
        <w:t>三、事业收入：</w:t>
      </w:r>
      <w:r>
        <w:rPr>
          <w:rFonts w:ascii="仿宋_GB2312" w:eastAsia="仿宋_GB2312"/>
          <w:sz w:val="32"/>
          <w:szCs w:val="32"/>
        </w:rPr>
        <w:t>指事业单位开展专业业务活动及其辅助活动所取得的收入。</w:t>
      </w:r>
    </w:p>
    <w:p w14:paraId="7865A35D" w14:textId="77777777" w:rsidR="00D5466B" w:rsidRDefault="00000000">
      <w:pPr>
        <w:widowControl/>
        <w:ind w:firstLineChars="200" w:firstLine="643"/>
        <w:jc w:val="left"/>
        <w:rPr>
          <w:rFonts w:ascii="仿宋_GB2312" w:eastAsia="仿宋_GB2312"/>
          <w:sz w:val="32"/>
          <w:szCs w:val="32"/>
        </w:rPr>
      </w:pPr>
      <w:r>
        <w:rPr>
          <w:rFonts w:ascii="仿宋_GB2312" w:eastAsia="仿宋_GB2312"/>
          <w:b/>
          <w:sz w:val="32"/>
          <w:szCs w:val="32"/>
        </w:rPr>
        <w:t>四、经营收入：</w:t>
      </w:r>
      <w:r>
        <w:rPr>
          <w:rFonts w:ascii="仿宋_GB2312" w:eastAsia="仿宋_GB2312"/>
          <w:sz w:val="32"/>
          <w:szCs w:val="32"/>
        </w:rPr>
        <w:t>指事业单位在专业业务活动及其辅助活动之外开展非独立核算经营活动取得的收入。</w:t>
      </w:r>
    </w:p>
    <w:p w14:paraId="55B8E10F" w14:textId="77777777" w:rsidR="00D5466B" w:rsidRDefault="00000000">
      <w:pPr>
        <w:widowControl/>
        <w:ind w:firstLineChars="200" w:firstLine="643"/>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sz w:val="32"/>
          <w:szCs w:val="32"/>
        </w:rPr>
        <w:t>指事业单位附属的独立核算单位按有关规定上缴的收入。</w:t>
      </w:r>
    </w:p>
    <w:p w14:paraId="18F32A71" w14:textId="77777777" w:rsidR="00D5466B" w:rsidRDefault="00000000">
      <w:pPr>
        <w:widowControl/>
        <w:ind w:firstLineChars="200" w:firstLine="643"/>
        <w:jc w:val="left"/>
        <w:rPr>
          <w:rFonts w:ascii="仿宋_GB2312" w:eastAsia="仿宋_GB2312"/>
          <w:sz w:val="32"/>
          <w:szCs w:val="32"/>
        </w:rPr>
      </w:pPr>
      <w:r>
        <w:rPr>
          <w:rFonts w:ascii="仿宋_GB2312" w:eastAsia="仿宋_GB2312"/>
          <w:b/>
          <w:sz w:val="32"/>
          <w:szCs w:val="32"/>
        </w:rPr>
        <w:t>六、其他收入：</w:t>
      </w:r>
      <w:r>
        <w:rPr>
          <w:rFonts w:ascii="仿宋_GB2312" w:eastAsia="仿宋_GB2312"/>
          <w:sz w:val="32"/>
          <w:szCs w:val="32"/>
        </w:rPr>
        <w:t>指除上述</w:t>
      </w:r>
      <w:r>
        <w:rPr>
          <w:rFonts w:ascii="仿宋_GB2312" w:eastAsia="仿宋_GB2312"/>
          <w:sz w:val="32"/>
          <w:szCs w:val="32"/>
        </w:rPr>
        <w:t>“</w:t>
      </w:r>
      <w:r>
        <w:rPr>
          <w:rFonts w:ascii="仿宋_GB2312" w:eastAsia="仿宋_GB2312"/>
          <w:sz w:val="32"/>
          <w:szCs w:val="32"/>
        </w:rPr>
        <w:t>财政拨款收入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事业收入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经营收入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附属单位上缴收入</w:t>
      </w:r>
      <w:r>
        <w:rPr>
          <w:rFonts w:ascii="仿宋_GB2312" w:eastAsia="仿宋_GB2312"/>
          <w:sz w:val="32"/>
          <w:szCs w:val="32"/>
        </w:rPr>
        <w:t>”</w:t>
      </w:r>
      <w:r>
        <w:rPr>
          <w:rFonts w:ascii="仿宋_GB2312" w:eastAsia="仿宋_GB2312"/>
          <w:sz w:val="32"/>
          <w:szCs w:val="32"/>
        </w:rPr>
        <w:t>等之外取得的收入。</w:t>
      </w:r>
    </w:p>
    <w:p w14:paraId="41B0E634" w14:textId="77777777" w:rsidR="00D5466B" w:rsidRDefault="00000000">
      <w:pPr>
        <w:widowControl/>
        <w:ind w:firstLineChars="200" w:firstLine="643"/>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7D1593DB" w14:textId="77777777" w:rsidR="00D5466B" w:rsidRDefault="00000000">
      <w:pPr>
        <w:widowControl/>
        <w:ind w:firstLineChars="200" w:firstLine="643"/>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ED8663D" w14:textId="77777777" w:rsidR="00D5466B" w:rsidRDefault="00000000">
      <w:pPr>
        <w:widowControl/>
        <w:ind w:firstLineChars="200" w:firstLine="643"/>
        <w:jc w:val="left"/>
        <w:rPr>
          <w:rFonts w:ascii="仿宋_GB2312" w:eastAsia="仿宋_GB2312"/>
          <w:sz w:val="32"/>
          <w:szCs w:val="32"/>
        </w:rPr>
      </w:pPr>
      <w:r>
        <w:rPr>
          <w:rFonts w:ascii="仿宋_GB2312" w:eastAsia="仿宋_GB2312"/>
          <w:b/>
          <w:sz w:val="32"/>
          <w:szCs w:val="32"/>
        </w:rPr>
        <w:t>九、基本支出：</w:t>
      </w:r>
      <w:r>
        <w:rPr>
          <w:rFonts w:ascii="仿宋_GB2312" w:eastAsia="仿宋_GB2312"/>
          <w:sz w:val="32"/>
          <w:szCs w:val="32"/>
        </w:rPr>
        <w:t>指为保障机构正常运转、完成日常工作任务而发生的人员支出和公用支出。</w:t>
      </w:r>
    </w:p>
    <w:p w14:paraId="7B7A6567" w14:textId="77777777" w:rsidR="00D5466B" w:rsidRDefault="00000000">
      <w:pPr>
        <w:widowControl/>
        <w:ind w:firstLineChars="200" w:firstLine="643"/>
        <w:jc w:val="left"/>
        <w:rPr>
          <w:rFonts w:ascii="仿宋_GB2312" w:eastAsia="仿宋_GB2312"/>
          <w:sz w:val="32"/>
          <w:szCs w:val="32"/>
        </w:rPr>
      </w:pPr>
      <w:r>
        <w:rPr>
          <w:rFonts w:ascii="仿宋_GB2312" w:eastAsia="仿宋_GB2312"/>
          <w:b/>
          <w:sz w:val="32"/>
          <w:szCs w:val="32"/>
        </w:rPr>
        <w:t>十、项目支出：</w:t>
      </w:r>
      <w:r>
        <w:rPr>
          <w:rFonts w:ascii="仿宋_GB2312" w:eastAsia="仿宋_GB2312"/>
          <w:sz w:val="32"/>
          <w:szCs w:val="32"/>
        </w:rPr>
        <w:t>指在基本支出之外为完成特定行政任务和事业发展目标所发生的支出。</w:t>
      </w:r>
    </w:p>
    <w:p w14:paraId="7B07CEBB" w14:textId="77777777" w:rsidR="00D5466B" w:rsidRDefault="00000000">
      <w:pPr>
        <w:widowControl/>
        <w:ind w:firstLineChars="200" w:firstLine="643"/>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sz w:val="32"/>
          <w:szCs w:val="32"/>
        </w:rPr>
        <w:t>指事业单位在专业业务活动及其辅助活动之外开展非独立核算经营活动发生的支出。</w:t>
      </w:r>
    </w:p>
    <w:p w14:paraId="62095579" w14:textId="77777777" w:rsidR="00D5466B" w:rsidRDefault="00000000">
      <w:pPr>
        <w:widowControl/>
        <w:ind w:firstLineChars="200" w:firstLine="643"/>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sz w:val="32"/>
          <w:szCs w:val="32"/>
        </w:rPr>
        <w:t>指事业单位发生的用非财政预算资金对附属单位的补助支出。</w:t>
      </w:r>
    </w:p>
    <w:p w14:paraId="11CE5702" w14:textId="77777777" w:rsidR="00D5466B" w:rsidRDefault="00000000">
      <w:pPr>
        <w:widowControl/>
        <w:ind w:firstLineChars="200" w:firstLine="643"/>
        <w:jc w:val="left"/>
        <w:rPr>
          <w:rFonts w:ascii="仿宋_GB2312" w:eastAsia="仿宋_GB2312"/>
          <w:sz w:val="32"/>
          <w:szCs w:val="32"/>
        </w:rPr>
      </w:pPr>
      <w:r>
        <w:rPr>
          <w:rFonts w:ascii="仿宋_GB2312" w:eastAsia="仿宋_GB2312"/>
          <w:b/>
          <w:sz w:val="32"/>
          <w:szCs w:val="32"/>
        </w:rPr>
        <w:t>十三、</w:t>
      </w:r>
      <w:r>
        <w:rPr>
          <w:rFonts w:ascii="仿宋_GB2312" w:eastAsia="仿宋_GB2312"/>
          <w:b/>
          <w:sz w:val="32"/>
          <w:szCs w:val="32"/>
        </w:rPr>
        <w:t>“</w:t>
      </w:r>
      <w:r>
        <w:rPr>
          <w:rFonts w:ascii="仿宋_GB2312" w:eastAsia="仿宋_GB2312"/>
          <w:b/>
          <w:sz w:val="32"/>
          <w:szCs w:val="32"/>
        </w:rPr>
        <w:t>三公</w:t>
      </w:r>
      <w:r>
        <w:rPr>
          <w:rFonts w:ascii="仿宋_GB2312" w:eastAsia="仿宋_GB2312"/>
          <w:b/>
          <w:sz w:val="32"/>
          <w:szCs w:val="32"/>
        </w:rPr>
        <w:t>”</w:t>
      </w:r>
      <w:r>
        <w:rPr>
          <w:rFonts w:ascii="仿宋_GB2312" w:eastAsia="仿宋_GB2312"/>
          <w:b/>
          <w:sz w:val="32"/>
          <w:szCs w:val="32"/>
        </w:rPr>
        <w:t>经费：</w:t>
      </w:r>
      <w:r>
        <w:rPr>
          <w:rFonts w:ascii="仿宋_GB2312" w:eastAsia="仿宋_GB2312"/>
          <w:sz w:val="32"/>
          <w:szCs w:val="32"/>
        </w:rPr>
        <w:t>指用财政拨款安排的因公出国（境）费、公务用车购置及运行费和公务接待费。其中，因公出国</w:t>
      </w:r>
      <w:r>
        <w:rPr>
          <w:rFonts w:ascii="仿宋_GB2312" w:eastAsia="仿宋_GB2312"/>
          <w:sz w:val="32"/>
          <w:szCs w:val="32"/>
        </w:rPr>
        <w:lastRenderedPageBreak/>
        <w:t>（境）</w:t>
      </w:r>
      <w:proofErr w:type="gramStart"/>
      <w:r>
        <w:rPr>
          <w:rFonts w:ascii="仿宋_GB2312" w:eastAsia="仿宋_GB2312"/>
          <w:sz w:val="32"/>
          <w:szCs w:val="32"/>
        </w:rPr>
        <w:t>费反映</w:t>
      </w:r>
      <w:proofErr w:type="gramEnd"/>
      <w:r>
        <w:rPr>
          <w:rFonts w:ascii="仿宋_GB2312" w:eastAsia="仿宋_GB2312"/>
          <w:sz w:val="32"/>
          <w:szCs w:val="32"/>
        </w:rPr>
        <w:t>单位公务出国（境）的国际旅费、国外城市间交通费、住宿费、伙食费、培训费、公杂费等支出；公务用车购置反映公务用车购置支出（</w:t>
      </w:r>
      <w:proofErr w:type="gramStart"/>
      <w:r>
        <w:rPr>
          <w:rFonts w:ascii="仿宋_GB2312" w:eastAsia="仿宋_GB2312"/>
          <w:sz w:val="32"/>
          <w:szCs w:val="32"/>
        </w:rPr>
        <w:t>含车辆</w:t>
      </w:r>
      <w:proofErr w:type="gramEnd"/>
      <w:r>
        <w:rPr>
          <w:rFonts w:ascii="仿宋_GB2312" w:eastAsia="仿宋_GB2312"/>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rPr>
        <w:t>费反映</w:t>
      </w:r>
      <w:proofErr w:type="gramEnd"/>
      <w:r>
        <w:rPr>
          <w:rFonts w:ascii="仿宋_GB2312" w:eastAsia="仿宋_GB2312"/>
          <w:sz w:val="32"/>
          <w:szCs w:val="32"/>
        </w:rPr>
        <w:t>单位按规定开支的各类公务接待（含外宾接待）费用。</w:t>
      </w:r>
    </w:p>
    <w:p w14:paraId="1F59982B" w14:textId="77777777" w:rsidR="00D5466B" w:rsidRDefault="00000000">
      <w:pPr>
        <w:widowControl/>
        <w:ind w:firstLineChars="200" w:firstLine="643"/>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sz w:val="32"/>
          <w:szCs w:val="32"/>
        </w:rPr>
        <w:t>行政单位和参照公务员法管理的事业单位财政拨款基本支出中的公用经费支出。</w:t>
      </w:r>
    </w:p>
    <w:p w14:paraId="165B604D" w14:textId="77777777" w:rsidR="00D5466B" w:rsidRDefault="00000000">
      <w:pPr>
        <w:widowControl/>
      </w:pPr>
      <w:r>
        <w:rPr>
          <w:sz w:val="0"/>
          <w:szCs w:val="0"/>
        </w:rPr>
        <w:br w:type="page"/>
      </w:r>
    </w:p>
    <w:p w14:paraId="2B6F9E6A" w14:textId="77777777" w:rsidR="00D5466B" w:rsidRDefault="00000000">
      <w:pPr>
        <w:widowControl/>
        <w:jc w:val="center"/>
        <w:outlineLvl w:val="0"/>
        <w:rPr>
          <w:rFonts w:ascii="黑体" w:eastAsia="黑体"/>
          <w:sz w:val="32"/>
          <w:szCs w:val="32"/>
        </w:rPr>
      </w:pPr>
      <w:r>
        <w:rPr>
          <w:rFonts w:ascii="黑体" w:eastAsia="黑体"/>
          <w:sz w:val="32"/>
          <w:szCs w:val="32"/>
        </w:rPr>
        <w:t>第四部分 部门决算报表（见附表）</w:t>
      </w:r>
    </w:p>
    <w:p w14:paraId="3C79F2EA" w14:textId="77777777" w:rsidR="00D5466B"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一、《收入支出决算总表》</w:t>
      </w:r>
    </w:p>
    <w:p w14:paraId="71037C3B" w14:textId="77777777" w:rsidR="00D5466B"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二、《收入决算表》</w:t>
      </w:r>
    </w:p>
    <w:p w14:paraId="7461E89F" w14:textId="77777777" w:rsidR="00D5466B"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三、《支出决算表》</w:t>
      </w:r>
    </w:p>
    <w:p w14:paraId="4F632D5B" w14:textId="77777777" w:rsidR="00D5466B"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四、《财政拨款收入支出决算总表》</w:t>
      </w:r>
    </w:p>
    <w:p w14:paraId="3D8AFD1C" w14:textId="77777777" w:rsidR="00D5466B"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五、《一般公共预算财政拨款支出决算表》</w:t>
      </w:r>
    </w:p>
    <w:p w14:paraId="4C29DE10" w14:textId="77777777" w:rsidR="00D5466B"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六、《一般公共预算财政拨款基本支出决算表》</w:t>
      </w:r>
    </w:p>
    <w:p w14:paraId="5C8CD9CD" w14:textId="77777777" w:rsidR="00D5466B"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七、《政府性基金预算财政拨款收入支出决算表》</w:t>
      </w:r>
    </w:p>
    <w:p w14:paraId="1AA2B7E9" w14:textId="77777777" w:rsidR="00D5466B"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八、《国有资本经营预算财政拨款收入支出决算表》</w:t>
      </w:r>
    </w:p>
    <w:p w14:paraId="05D083EA" w14:textId="77777777" w:rsidR="00D5466B"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经费支出决算表》</w:t>
      </w:r>
    </w:p>
    <w:sectPr w:rsidR="00D5466B">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DF743F" w14:textId="77777777" w:rsidR="00C06F70" w:rsidRDefault="00C06F70" w:rsidP="00186465">
      <w:r>
        <w:separator/>
      </w:r>
    </w:p>
  </w:endnote>
  <w:endnote w:type="continuationSeparator" w:id="0">
    <w:p w14:paraId="32E029E3" w14:textId="77777777" w:rsidR="00C06F70" w:rsidRDefault="00C06F70" w:rsidP="001864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CE3632" w14:textId="77777777" w:rsidR="00C06F70" w:rsidRDefault="00C06F70" w:rsidP="00186465">
      <w:r>
        <w:separator/>
      </w:r>
    </w:p>
  </w:footnote>
  <w:footnote w:type="continuationSeparator" w:id="0">
    <w:p w14:paraId="6DA60654" w14:textId="77777777" w:rsidR="00C06F70" w:rsidRDefault="00C06F70" w:rsidP="001864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useFELayout/>
    <w:splitPgBreakAndParaMark/>
    <w:compatSetting w:name="compatibilityMode" w:uri="http://schemas.microsoft.com/office/word" w:val="12"/>
    <w:compatSetting w:name="useWord2013TrackBottomHyphenation" w:uri="http://schemas.microsoft.com/office/word" w:val="1"/>
  </w:compat>
  <w:rsids>
    <w:rsidRoot w:val="00D5466B"/>
    <w:rsid w:val="00186465"/>
    <w:rsid w:val="001E71EE"/>
    <w:rsid w:val="006270AA"/>
    <w:rsid w:val="00740D1D"/>
    <w:rsid w:val="00791A00"/>
    <w:rsid w:val="009E600C"/>
    <w:rsid w:val="00C06F70"/>
    <w:rsid w:val="00D5466B"/>
    <w:rsid w:val="5D411E3A"/>
    <w:rsid w:val="6FFD4B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BE2A01"/>
  <w15:docId w15:val="{20175EF7-1FA5-4B70-AFF4-EF017BED3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86465"/>
    <w:pPr>
      <w:tabs>
        <w:tab w:val="center" w:pos="4153"/>
        <w:tab w:val="right" w:pos="8306"/>
      </w:tabs>
      <w:snapToGrid w:val="0"/>
      <w:jc w:val="center"/>
    </w:pPr>
    <w:rPr>
      <w:sz w:val="18"/>
      <w:szCs w:val="18"/>
    </w:rPr>
  </w:style>
  <w:style w:type="character" w:customStyle="1" w:styleId="a4">
    <w:name w:val="页眉 字符"/>
    <w:basedOn w:val="a0"/>
    <w:link w:val="a3"/>
    <w:rsid w:val="00186465"/>
    <w:rPr>
      <w:sz w:val="18"/>
      <w:szCs w:val="18"/>
    </w:rPr>
  </w:style>
  <w:style w:type="paragraph" w:styleId="a5">
    <w:name w:val="footer"/>
    <w:basedOn w:val="a"/>
    <w:link w:val="a6"/>
    <w:rsid w:val="00186465"/>
    <w:pPr>
      <w:tabs>
        <w:tab w:val="center" w:pos="4153"/>
        <w:tab w:val="right" w:pos="8306"/>
      </w:tabs>
      <w:snapToGrid w:val="0"/>
      <w:jc w:val="left"/>
    </w:pPr>
    <w:rPr>
      <w:sz w:val="18"/>
      <w:szCs w:val="18"/>
    </w:rPr>
  </w:style>
  <w:style w:type="character" w:customStyle="1" w:styleId="a6">
    <w:name w:val="页脚 字符"/>
    <w:basedOn w:val="a0"/>
    <w:link w:val="a5"/>
    <w:rsid w:val="0018646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15</Pages>
  <Words>4000</Words>
  <Characters>4401</Characters>
  <Application>Microsoft Office Word</Application>
  <DocSecurity>0</DocSecurity>
  <Lines>258</Lines>
  <Paragraphs>204</Paragraphs>
  <ScaleCrop>false</ScaleCrop>
  <Company/>
  <LinksUpToDate>false</LinksUpToDate>
  <CharactersWithSpaces>8197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回上.LAPTOP-7R4U860U</dc:creator>
  <cp:lastModifiedBy>晓 程</cp:lastModifiedBy>
  <cp:revision>3</cp:revision>
  <dcterms:created xsi:type="dcterms:W3CDTF">2025-09-29T02:58:00Z</dcterms:created>
  <dcterms:modified xsi:type="dcterms:W3CDTF">2025-10-15T04:56:00Z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eyJoZGlkIjoiMzEwNTM5NzYwMDRjMzkwZTVkZjY2ODkwMGIxNGU0OTUiLCJ1c2VySWQiOiIyNzg1NzY4MTEifQ==</vt:lpwstr>
  </property>
  <property fmtid="{D5CDD505-2E9C-101B-9397-08002B2CF9AE}" pid="4" name="ICV">
    <vt:lpwstr>56395372679E4C0ABAA248ABFFD2C080_12</vt:lpwstr>
  </property>
</Properties>
</file>