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6730B">
      <w:pPr>
        <w:spacing w:after="0" w:line="240" w:lineRule="auto"/>
        <w:rPr>
          <w:rFonts w:ascii="宋体" w:eastAsia="宋体"/>
          <w:sz w:val="32"/>
          <w:szCs w:val="32"/>
        </w:rPr>
      </w:pPr>
    </w:p>
    <w:p w14:paraId="7D485152">
      <w:pPr>
        <w:spacing w:after="0" w:line="240" w:lineRule="auto"/>
        <w:rPr>
          <w:rFonts w:ascii="宋体" w:eastAsia="宋体"/>
          <w:sz w:val="44"/>
          <w:szCs w:val="44"/>
        </w:rPr>
      </w:pPr>
    </w:p>
    <w:p w14:paraId="5A64BF4F">
      <w:pPr>
        <w:spacing w:after="0" w:line="240" w:lineRule="auto"/>
        <w:rPr>
          <w:rFonts w:ascii="宋体" w:eastAsia="宋体"/>
          <w:sz w:val="44"/>
          <w:szCs w:val="44"/>
        </w:rPr>
      </w:pPr>
    </w:p>
    <w:p w14:paraId="660C11BD">
      <w:pPr>
        <w:spacing w:after="0" w:line="240" w:lineRule="auto"/>
        <w:rPr>
          <w:rFonts w:ascii="宋体" w:eastAsia="宋体"/>
          <w:sz w:val="44"/>
          <w:szCs w:val="44"/>
        </w:rPr>
      </w:pPr>
    </w:p>
    <w:p w14:paraId="781169E8">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乌鲁木齐市米东区工商业联合会（商会）</w:t>
      </w:r>
    </w:p>
    <w:p w14:paraId="4F18D8D9">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743E882">
      <w:pPr>
        <w:rPr>
          <w:lang w:eastAsia="zh-CN"/>
        </w:rPr>
      </w:pPr>
      <w:r>
        <w:rPr>
          <w:sz w:val="0"/>
          <w:szCs w:val="0"/>
          <w:lang w:eastAsia="zh-CN"/>
        </w:rPr>
        <w:br w:type="page"/>
      </w:r>
    </w:p>
    <w:p w14:paraId="533B7760">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2B5F87E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AED5D39">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F1DFEF1">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CCA35F9">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48563C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C52A13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8FF8A7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E705FC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8185AD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961F7B7">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E693339">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4DEE267">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5A07B4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8A7632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892FC9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9F14CF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922F308">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CD23612">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7714B45">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061844A">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81CC5C7">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2DC344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4CEE24A">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FCBD779">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A16055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9D79FE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01EAE8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41A0E5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6A4FA4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221FAD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C9FDDE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C1170D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422B43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2692A40">
      <w:pPr>
        <w:rPr>
          <w:lang w:eastAsia="zh-CN"/>
        </w:rPr>
      </w:pPr>
      <w:r>
        <w:rPr>
          <w:sz w:val="0"/>
          <w:szCs w:val="0"/>
          <w:lang w:eastAsia="zh-CN"/>
        </w:rPr>
        <w:br w:type="page"/>
      </w:r>
    </w:p>
    <w:p w14:paraId="4786CBF7">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194BA02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054C588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.贯彻执行中央、自治区和我市有关工商联工作的方针政策和法律法规；编制工商联工作规划并组织实施。</w:t>
      </w:r>
    </w:p>
    <w:p w14:paraId="5CEC204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.依据《中国工商业联合会章程》，贯彻执行区工商联执委会、常委会决议。</w:t>
      </w:r>
    </w:p>
    <w:p w14:paraId="699E642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3.加强和改进民营经济人士思想政治工作，团结、服务、引导、教育民营经济人士爱国、敬业、诚信、守法、贡献，培养拥护</w:t>
      </w:r>
      <w:r>
        <w:rPr>
          <w:rFonts w:hint="eastAsia" w:ascii="仿宋_GB2312" w:eastAsia="仿宋_GB2312"/>
          <w:sz w:val="32"/>
          <w:szCs w:val="32"/>
          <w:lang w:eastAsia="zh-CN"/>
        </w:rPr>
        <w:t>党的领导</w:t>
      </w:r>
      <w:r>
        <w:rPr>
          <w:rFonts w:ascii="仿宋_GB2312" w:eastAsia="仿宋_GB2312"/>
          <w:sz w:val="32"/>
          <w:szCs w:val="32"/>
          <w:lang w:eastAsia="zh-CN"/>
        </w:rPr>
        <w:t>、走中国特色社会主义道路的民营经济人士队伍，宣传表彰先进典型。</w:t>
      </w:r>
    </w:p>
    <w:p w14:paraId="7C76419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.参与政治协商，做好民主监督、参政议政有关工作；参与制定我区有关政策并贯彻执行，向区委、区人民政府提出相关意见和建议；做好民营经济代表人士政治安排推荐及参与政治生活、社会事务有关工作。</w:t>
      </w:r>
    </w:p>
    <w:p w14:paraId="5FBFABA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5.协助政府管理和服务民营经济；为民营企业提供信息、法律、融资、技术、人才等方面的服务；组织开展与国内外工商界的联系、交流，推动经贸交流和协作。</w:t>
      </w:r>
    </w:p>
    <w:p w14:paraId="5729FA1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.促进行业协会商会政革发展，指导和推动商会组织完善法人治理结构、规范内部管理、依照法律和章程开展活动。</w:t>
      </w:r>
    </w:p>
    <w:p w14:paraId="006B3F7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.参与协调劳动关系，促进社会和谐稳定；会同有关部门推动劳动关系协调机制建设，研究解决劳动关系中的重大问题和调处劳动争议。</w:t>
      </w:r>
    </w:p>
    <w:p w14:paraId="2D6D565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.反映民营企业和民营经济人士利益诉求，维护其合法权益。</w:t>
      </w:r>
    </w:p>
    <w:p w14:paraId="56956F3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.组织和引导民营企业承担社会责任，热心公益事业，投身光彩事业。</w:t>
      </w:r>
    </w:p>
    <w:p w14:paraId="3DD7834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0.协助有关部门开展民营经济组织党建工作。</w:t>
      </w:r>
    </w:p>
    <w:p w14:paraId="0FD32BA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333F8E9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乌鲁木齐市米东区工商业联合会（商会）2024年度，实有人数11人，其中：在职人员3人，较上年无变化；离休人员0人，较上年无变化；退休人员8人，较上年无变化。</w:t>
      </w:r>
    </w:p>
    <w:p w14:paraId="284E5C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乌鲁木齐市米东区工商业联合会（商会）无下属预算单位，下设3个科室，分别是：党组书记办公室、秘书长办公室、办公室。</w:t>
      </w:r>
    </w:p>
    <w:p w14:paraId="612C2C5D">
      <w:pPr>
        <w:rPr>
          <w:lang w:eastAsia="zh-CN"/>
        </w:rPr>
      </w:pPr>
      <w:r>
        <w:rPr>
          <w:sz w:val="0"/>
          <w:szCs w:val="0"/>
          <w:lang w:eastAsia="zh-CN"/>
        </w:rPr>
        <w:br w:type="page"/>
      </w:r>
    </w:p>
    <w:p w14:paraId="76AEC6BF">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2A0B7AD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15750B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2024年度收入总计72.89万元，其中：本年收入合计71.89万元，使用非财政拨款结余（含专用结余）0.00万元，年初结转和结余1.00万元。</w:t>
      </w:r>
    </w:p>
    <w:p w14:paraId="4657AA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2024年度支出总计72.89万元，其中：本年支出合计72.66万元，结余分配0.00万元，年末结转和结余0.23万元。</w:t>
      </w:r>
    </w:p>
    <w:p w14:paraId="2C3A0EC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收入支出总体与上年相比，减少14.82万元，下降16.90%，主要原因是：</w:t>
      </w:r>
      <w:r>
        <w:rPr>
          <w:rFonts w:hint="eastAsia" w:ascii="仿宋_GB2312" w:eastAsia="仿宋_GB2312"/>
          <w:sz w:val="32"/>
          <w:szCs w:val="32"/>
          <w:lang w:eastAsia="zh-CN"/>
        </w:rPr>
        <w:t>单位本年办公费、差旅费、福利费等公用经费减少</w:t>
      </w:r>
      <w:r>
        <w:rPr>
          <w:rFonts w:ascii="仿宋_GB2312" w:eastAsia="仿宋_GB2312"/>
          <w:sz w:val="32"/>
          <w:szCs w:val="32"/>
          <w:lang w:eastAsia="zh-CN"/>
        </w:rPr>
        <w:t>。</w:t>
      </w:r>
    </w:p>
    <w:p w14:paraId="4A54A5E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2C6E6E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本年收入71.89万元，其中：财政拨款收入66.50万元,占92.50%；上级补助收入0.00万元,占0.00%；事业收入0.00万元，占0.00%；经营收入0.00万元,占0.00%；附属单位上缴收入0.00万元，占0.00%；其他收入5.39万元，占7.50%。</w:t>
      </w:r>
    </w:p>
    <w:p w14:paraId="2394284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5DA452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本年支出72.66万元，其中：基本支出72.66万元，占100.00%；项目支出0.00万元，占0.00%；上缴上级支出0.00万元，占0.00%；经营支出0.00万元，占0.00%；对附属单位补助支出0.00万元，占0.00%。</w:t>
      </w:r>
    </w:p>
    <w:p w14:paraId="219C7BD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B4856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2024年度财政拨款收入总计67.50万元，其中：年初财政拨款结转和结余1.00万元，本年财政拨款收入66.50万元。财政拨款支出总计67.50万元，其中：年末财政拨款结转和结余0.23万元，本年财政拨款支出67.27万元。</w:t>
      </w:r>
    </w:p>
    <w:p w14:paraId="712593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财政拨款收入支出总体与上年相比，减少20.21万元，下降23.04%，主要原因是：</w:t>
      </w:r>
      <w:r>
        <w:rPr>
          <w:rFonts w:hint="eastAsia" w:ascii="仿宋_GB2312" w:eastAsia="仿宋_GB2312"/>
          <w:sz w:val="32"/>
          <w:szCs w:val="32"/>
          <w:lang w:eastAsia="zh-CN"/>
        </w:rPr>
        <w:t>单位本年办公费、差旅费、福利费等公用经费减少</w:t>
      </w:r>
      <w:r>
        <w:rPr>
          <w:rFonts w:ascii="仿宋_GB2312" w:eastAsia="仿宋_GB2312"/>
          <w:sz w:val="32"/>
          <w:szCs w:val="32"/>
          <w:lang w:eastAsia="zh-CN"/>
        </w:rPr>
        <w:t>。与年初预算相比，年初预算数70.98万元，决算数67.50万元，预决算差异率-4.90%，主要原因是：</w:t>
      </w:r>
      <w:r>
        <w:rPr>
          <w:rFonts w:hint="eastAsia" w:ascii="仿宋_GB2312" w:eastAsia="仿宋_GB2312"/>
          <w:sz w:val="32"/>
          <w:szCs w:val="32"/>
          <w:lang w:eastAsia="zh-CN"/>
        </w:rPr>
        <w:t>较预算减少人员工资、津贴补贴、奖金等经费</w:t>
      </w:r>
      <w:r>
        <w:rPr>
          <w:rFonts w:ascii="仿宋_GB2312" w:eastAsia="仿宋_GB2312"/>
          <w:sz w:val="32"/>
          <w:szCs w:val="32"/>
          <w:lang w:eastAsia="zh-CN"/>
        </w:rPr>
        <w:t>。</w:t>
      </w:r>
    </w:p>
    <w:p w14:paraId="49A07ED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D2FC4B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C9A97E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2024年度一般公共预算财政拨款支出67.27万元，占本年支出合计的92.58%。与上年相比，减少12.33万元，下降15.49%，主要原因是：</w:t>
      </w:r>
      <w:r>
        <w:rPr>
          <w:rFonts w:hint="eastAsia" w:ascii="仿宋_GB2312" w:eastAsia="仿宋_GB2312"/>
          <w:sz w:val="32"/>
          <w:szCs w:val="32"/>
          <w:lang w:eastAsia="zh-CN"/>
        </w:rPr>
        <w:t>单位本年办公费、差旅费、福利费等公用经费减少</w:t>
      </w:r>
      <w:r>
        <w:rPr>
          <w:rFonts w:ascii="仿宋_GB2312" w:eastAsia="仿宋_GB2312"/>
          <w:sz w:val="32"/>
          <w:szCs w:val="32"/>
          <w:lang w:eastAsia="zh-CN"/>
        </w:rPr>
        <w:t>。与年初预算相比，年初预算数70.98万元，决算数67.27万元，预决算差异率-5.23%，主要原因是：</w:t>
      </w:r>
      <w:r>
        <w:rPr>
          <w:rFonts w:hint="eastAsia" w:ascii="仿宋_GB2312" w:eastAsia="仿宋_GB2312"/>
          <w:sz w:val="32"/>
          <w:szCs w:val="32"/>
          <w:lang w:eastAsia="zh-CN"/>
        </w:rPr>
        <w:t>较预算减少人员工资、津贴补贴、奖金等经费</w:t>
      </w:r>
      <w:r>
        <w:rPr>
          <w:rFonts w:ascii="仿宋_GB2312" w:eastAsia="仿宋_GB2312"/>
          <w:sz w:val="32"/>
          <w:szCs w:val="32"/>
          <w:lang w:eastAsia="zh-CN"/>
        </w:rPr>
        <w:t>。</w:t>
      </w:r>
    </w:p>
    <w:p w14:paraId="71C2DA6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5B40841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.一般公共服务支出（类）51.81万元，占77.02%。</w:t>
      </w:r>
    </w:p>
    <w:p w14:paraId="55176F4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.社会保障和就业支出（类）6.32万元，占9.39%。</w:t>
      </w:r>
    </w:p>
    <w:p w14:paraId="7F15786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.卫生健康支出（类）3.97万元，占5.90%。</w:t>
      </w:r>
    </w:p>
    <w:p w14:paraId="75B8A6F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.住房保障支出（类）5.17万元，占7.69%。</w:t>
      </w:r>
    </w:p>
    <w:p w14:paraId="47EA175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7A8E34B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1、一般公共服务支出（类）民主党派及工商联事务（款）行政运行（项）：支出决算数为51.81万元，比上年决算减少21.60万元，下降29.42%，主要原因是：</w:t>
      </w:r>
      <w:r>
        <w:rPr>
          <w:rFonts w:hint="eastAsia" w:ascii="仿宋_GB2312" w:eastAsia="仿宋_GB2312"/>
          <w:sz w:val="32"/>
          <w:szCs w:val="32"/>
          <w:lang w:eastAsia="zh-CN"/>
        </w:rPr>
        <w:t>单位本年新进人员职级低于</w:t>
      </w:r>
      <w:r>
        <w:rPr>
          <w:rFonts w:hint="eastAsia" w:ascii="仿宋_GB2312" w:eastAsia="仿宋_GB2312"/>
          <w:sz w:val="32"/>
          <w:szCs w:val="32"/>
          <w:lang w:val="en-US" w:eastAsia="zh-CN"/>
        </w:rPr>
        <w:t>调出</w:t>
      </w:r>
      <w:r>
        <w:rPr>
          <w:rFonts w:hint="eastAsia" w:ascii="仿宋_GB2312" w:eastAsia="仿宋_GB2312"/>
          <w:sz w:val="32"/>
          <w:szCs w:val="32"/>
          <w:lang w:eastAsia="zh-CN"/>
        </w:rPr>
        <w:t>人员，导致人员工资、津贴补贴、奖金等经费减少。</w:t>
      </w:r>
    </w:p>
    <w:p w14:paraId="3C88BDE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2、社会保障和就业支出（类）行政事业单位养老支出（款）机关事业单位基本养老保险缴费支出（项）：支出决算数为6.32万元，比上年决算增加0.13万元，增长2.10%，主要原因是：</w:t>
      </w:r>
      <w:r>
        <w:rPr>
          <w:rFonts w:hint="eastAsia" w:ascii="仿宋_GB2312" w:eastAsia="仿宋_GB2312"/>
          <w:sz w:val="32"/>
          <w:szCs w:val="32"/>
          <w:lang w:eastAsia="zh-CN"/>
        </w:rPr>
        <w:t>单位本年社保基数调增，人员养老保险缴费增加</w:t>
      </w:r>
      <w:r>
        <w:rPr>
          <w:rFonts w:ascii="仿宋_GB2312" w:eastAsia="仿宋_GB2312"/>
          <w:sz w:val="32"/>
          <w:szCs w:val="32"/>
          <w:lang w:eastAsia="zh-CN"/>
        </w:rPr>
        <w:t>。</w:t>
      </w:r>
    </w:p>
    <w:p w14:paraId="64E9F89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3、卫生健康支出（类）行政事业单位医疗（款）行政单位医疗（项）：支出决算数为3.28万元，比上年决算增加3.28万元，增长100.00%，主要原因是：</w:t>
      </w:r>
      <w:r>
        <w:rPr>
          <w:rFonts w:hint="eastAsia" w:ascii="仿宋_GB2312" w:eastAsia="仿宋_GB2312"/>
          <w:sz w:val="32"/>
          <w:szCs w:val="32"/>
          <w:lang w:eastAsia="zh-CN"/>
        </w:rPr>
        <w:t>单位本年社保基数调增，人员医疗保险缴费增加。</w:t>
      </w:r>
    </w:p>
    <w:p w14:paraId="7EF2C97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4、卫生健康支出（类）行政事业单位医疗（款）公务员医疗补助（项）：支出决算数为0.69万元，比上年决算增加0.69万元，增长100.00%，主要原因是：</w:t>
      </w:r>
      <w:r>
        <w:rPr>
          <w:rFonts w:hint="eastAsia" w:ascii="仿宋_GB2312" w:eastAsia="仿宋_GB2312"/>
          <w:sz w:val="32"/>
          <w:szCs w:val="32"/>
          <w:lang w:eastAsia="zh-CN"/>
        </w:rPr>
        <w:t>单位本年社保基数调增，人员医疗保险缴费增加。</w:t>
      </w:r>
    </w:p>
    <w:p w14:paraId="4327C9C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5、住房保障支出（类）住房改革支出（款）住房公积金（项）：支出决算数为5.17万元，比上年决算增加5.17万元，增长100.00%，主要原因是：</w:t>
      </w:r>
      <w:r>
        <w:rPr>
          <w:rFonts w:hint="eastAsia" w:ascii="仿宋_GB2312" w:eastAsia="仿宋_GB2312"/>
          <w:sz w:val="32"/>
          <w:szCs w:val="32"/>
          <w:lang w:eastAsia="zh-CN"/>
        </w:rPr>
        <w:t>单位本年公积金缴费基数调增，人员公积金缴费增加</w:t>
      </w:r>
      <w:r>
        <w:rPr>
          <w:rFonts w:ascii="仿宋_GB2312" w:eastAsia="仿宋_GB2312"/>
          <w:sz w:val="32"/>
          <w:szCs w:val="32"/>
          <w:lang w:eastAsia="zh-CN"/>
        </w:rPr>
        <w:t>。</w:t>
      </w:r>
    </w:p>
    <w:p w14:paraId="687582C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F270D2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67.27万元，其中：人员经费60.42万元，包括：基本工资、津贴补贴、奖金、机关事业单位基本养老保险缴费、职工基本医疗保险缴费、公务员医疗补助缴费、其他社会保障缴费、住房公积金和生活补助。</w:t>
      </w:r>
    </w:p>
    <w:p w14:paraId="183114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公用经费6.85万元，包括：办公费、差旅费、委托业务费、工会经费、福利费和公务用车运行维护费。</w:t>
      </w:r>
    </w:p>
    <w:p w14:paraId="2DF1D8A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21263C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68A979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DE674F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D21096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5772BC0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2024年度财政拨款“三公”经费支出2.27万元，比上年减少0.11万元，下降4.62%，主要原因是：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；公务用车购置及运行维护费支出2.27万元，占100.00%，比上年减少0.11万元，下降4.62%，主要原因是：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7A49CA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119B3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4216FE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公务用车购置及运行维护费2.27万元，其中：公务用车购置费0.00万元，公务用车运行维护费2.27万元。公务用车运行维护费开支内容包括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073907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31CFCFF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与全年预算相比，财政拨款“三公”经费支出全年预算数2.27万元，决算数2.27万元，预决算差异率0.00%，主要原因是：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；公务用车运行维护费全年预算数2.27万元，决算数2.27万元，预决算差异率0.00%，主要原因是：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0C692B1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39A5EED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DC8626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2024年度乌鲁木齐市米东区工商业联合会（商会）单位（行政单位和参照公务员法管理事业单位）机关运行经费支出6.85万元，比上年减少2.12万元，下降23.63%，主要原因是：单位本年</w:t>
      </w:r>
      <w:r>
        <w:rPr>
          <w:rFonts w:hint="eastAsia" w:ascii="仿宋_GB2312" w:eastAsia="仿宋_GB2312"/>
          <w:sz w:val="32"/>
          <w:szCs w:val="32"/>
          <w:lang w:eastAsia="zh-CN"/>
        </w:rPr>
        <w:t>办公费、差旅费、</w:t>
      </w:r>
      <w:r>
        <w:rPr>
          <w:rFonts w:ascii="仿宋_GB2312" w:eastAsia="仿宋_GB2312"/>
          <w:sz w:val="32"/>
          <w:szCs w:val="32"/>
          <w:lang w:eastAsia="zh-CN"/>
        </w:rPr>
        <w:t>公务用车运行维护费</w:t>
      </w:r>
      <w:r>
        <w:rPr>
          <w:rFonts w:hint="eastAsia" w:ascii="仿宋_GB2312" w:eastAsia="仿宋_GB2312"/>
          <w:sz w:val="32"/>
          <w:szCs w:val="32"/>
          <w:lang w:eastAsia="zh-CN"/>
        </w:rPr>
        <w:t>减少</w:t>
      </w:r>
      <w:r>
        <w:rPr>
          <w:rFonts w:ascii="仿宋_GB2312" w:eastAsia="仿宋_GB2312"/>
          <w:sz w:val="32"/>
          <w:szCs w:val="32"/>
          <w:lang w:eastAsia="zh-CN"/>
        </w:rPr>
        <w:t>。</w:t>
      </w:r>
    </w:p>
    <w:p w14:paraId="7B74016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2C65B8A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569FD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E382D6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2C3297E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9.80万元，其中：副部（省）级及以上领导用车0辆、主要负责人用车0辆、机要通信用车0辆、应急保障用车0辆、执法执勤用车0辆、特种专业技术用车0辆、离退休干部服务用车0辆、其他用车1辆，其他用车主要是：业务用车;单价100万元（含）以上设备（不含车辆）0台（套）。</w:t>
      </w:r>
    </w:p>
    <w:p w14:paraId="2BFAE17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56B6A3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根据预算绩效管理要求，本单位2024年度预算绩效管理形成整体支出绩效自评表1个，全年预算总额72.89万元，实际执行总额72.66万元；预算绩效评价项目0个，全年预算数</w:t>
      </w:r>
      <w:r>
        <w:rPr>
          <w:rFonts w:hint="eastAsia" w:ascii="仿宋_GB2312" w:eastAsia="仿宋_GB2312"/>
          <w:sz w:val="32"/>
          <w:szCs w:val="32"/>
          <w:lang w:eastAsia="zh-CN"/>
        </w:rPr>
        <w:t>0</w:t>
      </w:r>
      <w:r>
        <w:rPr>
          <w:rFonts w:ascii="仿宋_GB2312" w:eastAsia="仿宋_GB2312"/>
          <w:sz w:val="32"/>
          <w:szCs w:val="32"/>
          <w:lang w:eastAsia="zh-CN"/>
        </w:rPr>
        <w:t>.00万元，全年执行数0.00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部门职能不明确，单位人员较少，个别工作分工不清晰，且财务人员培训和绩效考核制度不够完善，考核方案部分内容和人员名单更新滞后。对绩效目标的制定缺乏长效性，多为短期任务完成，</w:t>
      </w:r>
      <w:r>
        <w:rPr>
          <w:rFonts w:hint="eastAsia" w:ascii="仿宋_GB2312" w:eastAsia="仿宋_GB2312"/>
          <w:sz w:val="32"/>
          <w:szCs w:val="32"/>
          <w:lang w:eastAsia="zh-CN"/>
        </w:rPr>
        <w:t>忽视</w:t>
      </w:r>
      <w:r>
        <w:rPr>
          <w:rFonts w:ascii="仿宋_GB2312" w:eastAsia="仿宋_GB2312"/>
          <w:sz w:val="32"/>
          <w:szCs w:val="32"/>
          <w:lang w:eastAsia="zh-CN"/>
        </w:rPr>
        <w:t>长期价值创造；二是企业培训力度不够。召开专题讲座、座谈会等主题不够丰富，参与的范围不够广泛。举办的专题讲座和培训多以法律法规、税务知识培训为主，未能紧密结合企业战略转型与业务发展方向，为针对不同企业、人员类型进行差异化制定，对企业的个性化需求缺乏定制化主题；三是会员企业参政议政质量不高，多依赖自身经营数据，缺乏系统性的行业分析与社会调研数据支撑。企业内部缺乏政策研究专业团队，对法律法规、产业政策的理解存在偏差，部分提案因与现行政策冲突或重复而难以被采纳。非公企业参政议政成果转化率较低，多数建议停留在答复环节，未能有效推动政策落地。下一步改进措施：一是科学制定年度绩效目标。结合单位职能</w:t>
      </w:r>
      <w:r>
        <w:rPr>
          <w:rFonts w:hint="eastAsia" w:ascii="仿宋_GB2312" w:eastAsia="仿宋_GB2312"/>
          <w:sz w:val="32"/>
          <w:szCs w:val="32"/>
          <w:lang w:eastAsia="zh-CN"/>
        </w:rPr>
        <w:t>，</w:t>
      </w:r>
      <w:r>
        <w:rPr>
          <w:rFonts w:ascii="仿宋_GB2312" w:eastAsia="仿宋_GB2312"/>
          <w:sz w:val="32"/>
          <w:szCs w:val="32"/>
          <w:lang w:eastAsia="zh-CN"/>
        </w:rPr>
        <w:t>年度工作重点，细化量化可操作</w:t>
      </w:r>
      <w:r>
        <w:rPr>
          <w:rFonts w:hint="eastAsia" w:ascii="仿宋_GB2312" w:eastAsia="仿宋_GB2312"/>
          <w:sz w:val="32"/>
          <w:szCs w:val="32"/>
          <w:lang w:eastAsia="zh-CN"/>
        </w:rPr>
        <w:t>，</w:t>
      </w:r>
      <w:r>
        <w:rPr>
          <w:rFonts w:ascii="仿宋_GB2312" w:eastAsia="仿宋_GB2312"/>
          <w:sz w:val="32"/>
          <w:szCs w:val="32"/>
          <w:lang w:eastAsia="zh-CN"/>
        </w:rPr>
        <w:t>可考核的绩效目标。结合上一年度预算执行情况及本年度预算收支变化因素，根据部门具体绩效目标，科学编制本年度预算，力求精准，尽量减少</w:t>
      </w:r>
      <w:r>
        <w:rPr>
          <w:rFonts w:hint="eastAsia" w:ascii="仿宋_GB2312" w:eastAsia="仿宋_GB2312"/>
          <w:sz w:val="32"/>
          <w:szCs w:val="32"/>
          <w:lang w:eastAsia="zh-CN"/>
        </w:rPr>
        <w:t>调整</w:t>
      </w:r>
      <w:r>
        <w:rPr>
          <w:rFonts w:ascii="仿宋_GB2312" w:eastAsia="仿宋_GB2312"/>
          <w:sz w:val="32"/>
          <w:szCs w:val="32"/>
          <w:lang w:eastAsia="zh-CN"/>
        </w:rPr>
        <w:t>项目和追加，保持预算执行的严肃性；二是根据非公经济人士需要，开展理想信念、理论培训、政策培训、科技培训、管理培训、法规培训，增强企业家发现机会、整合资源、创造价值、回馈社会的能力。加大对优秀企业家的宣传力度，并通过区融媒体中心对优秀企业家先进事迹进行广泛宣传，为米东区经济高质量发展提供精神动力；三是发挥工商联（总商会）界别人大代表、政协委员、专家学者、市场人士、行业协会、中介机构等专业力量作用，积极引导非公经济人士参与构建政府、企业和社会常态化研讨交流机制，为政府重大政策提出意见建议。具体附部门整体支出绩效自评表。</w:t>
      </w:r>
    </w:p>
    <w:p w14:paraId="6A13F75B">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37AB7FB4">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94EEF3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75B1AFC4">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43AD342">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FC78E7B">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乌鲁木齐市米东区工商业联合会（商会）</w:t>
            </w:r>
          </w:p>
        </w:tc>
      </w:tr>
      <w:tr w14:paraId="3AB67D4C">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CB0DD0D">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81D1675">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EF3856F">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F52C1A0">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44DAE9D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1D49F1B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8C9CE3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0F8252A">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C061585">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F1999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09CF1B2">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FF0FEF9">
            <w:pPr>
              <w:jc w:val="center"/>
              <w:rPr>
                <w:rFonts w:hint="eastAsia" w:ascii="宋体" w:hAnsi="宋体" w:eastAsia="宋体" w:cs="宋体"/>
                <w:sz w:val="18"/>
                <w:szCs w:val="18"/>
              </w:rPr>
            </w:pPr>
            <w:r>
              <w:rPr>
                <w:rFonts w:hint="eastAsia" w:ascii="宋体" w:hAnsi="宋体" w:eastAsia="宋体" w:cs="宋体"/>
                <w:sz w:val="18"/>
                <w:szCs w:val="18"/>
              </w:rPr>
              <w:t>70.98</w:t>
            </w:r>
          </w:p>
        </w:tc>
        <w:tc>
          <w:tcPr>
            <w:tcW w:w="1276" w:type="dxa"/>
            <w:tcBorders>
              <w:top w:val="nil"/>
              <w:left w:val="nil"/>
              <w:bottom w:val="single" w:color="auto" w:sz="4" w:space="0"/>
              <w:right w:val="single" w:color="auto" w:sz="4" w:space="0"/>
            </w:tcBorders>
            <w:vAlign w:val="center"/>
          </w:tcPr>
          <w:p w14:paraId="1B7270F9">
            <w:pPr>
              <w:jc w:val="center"/>
              <w:rPr>
                <w:rFonts w:hint="eastAsia" w:ascii="宋体" w:hAnsi="宋体" w:eastAsia="宋体" w:cs="宋体"/>
                <w:sz w:val="18"/>
                <w:szCs w:val="18"/>
              </w:rPr>
            </w:pPr>
            <w:r>
              <w:rPr>
                <w:rFonts w:hint="eastAsia" w:ascii="宋体" w:hAnsi="宋体" w:eastAsia="宋体" w:cs="宋体"/>
                <w:sz w:val="18"/>
                <w:szCs w:val="18"/>
              </w:rPr>
              <w:t>72.89</w:t>
            </w:r>
          </w:p>
        </w:tc>
        <w:tc>
          <w:tcPr>
            <w:tcW w:w="1701" w:type="dxa"/>
            <w:tcBorders>
              <w:top w:val="nil"/>
              <w:left w:val="nil"/>
              <w:bottom w:val="single" w:color="auto" w:sz="4" w:space="0"/>
              <w:right w:val="single" w:color="auto" w:sz="4" w:space="0"/>
            </w:tcBorders>
            <w:vAlign w:val="center"/>
          </w:tcPr>
          <w:p w14:paraId="1064C41F">
            <w:pPr>
              <w:jc w:val="center"/>
              <w:rPr>
                <w:rFonts w:hint="eastAsia" w:ascii="宋体" w:hAnsi="宋体" w:eastAsia="宋体" w:cs="宋体"/>
                <w:sz w:val="18"/>
                <w:szCs w:val="18"/>
              </w:rPr>
            </w:pPr>
            <w:r>
              <w:rPr>
                <w:rFonts w:hint="eastAsia" w:ascii="宋体" w:hAnsi="宋体" w:eastAsia="宋体" w:cs="宋体"/>
                <w:sz w:val="18"/>
                <w:szCs w:val="18"/>
              </w:rPr>
              <w:t>72.66</w:t>
            </w:r>
          </w:p>
        </w:tc>
        <w:tc>
          <w:tcPr>
            <w:tcW w:w="1134" w:type="dxa"/>
            <w:tcBorders>
              <w:top w:val="nil"/>
              <w:left w:val="nil"/>
              <w:bottom w:val="single" w:color="auto" w:sz="4" w:space="0"/>
              <w:right w:val="single" w:color="auto" w:sz="4" w:space="0"/>
            </w:tcBorders>
            <w:vAlign w:val="center"/>
          </w:tcPr>
          <w:p w14:paraId="04C48D9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3779EEA">
            <w:pPr>
              <w:jc w:val="center"/>
              <w:rPr>
                <w:rFonts w:hint="eastAsia" w:ascii="宋体" w:hAnsi="宋体" w:eastAsia="宋体" w:cs="宋体"/>
                <w:sz w:val="18"/>
                <w:szCs w:val="18"/>
              </w:rPr>
            </w:pPr>
            <w:r>
              <w:rPr>
                <w:rFonts w:hint="eastAsia" w:ascii="宋体" w:hAnsi="宋体" w:eastAsia="宋体" w:cs="宋体"/>
                <w:sz w:val="18"/>
                <w:szCs w:val="18"/>
              </w:rPr>
              <w:t>99.68%</w:t>
            </w:r>
          </w:p>
        </w:tc>
        <w:tc>
          <w:tcPr>
            <w:tcW w:w="720" w:type="dxa"/>
            <w:tcBorders>
              <w:top w:val="nil"/>
              <w:left w:val="nil"/>
              <w:bottom w:val="single" w:color="auto" w:sz="4" w:space="0"/>
              <w:right w:val="single" w:color="auto" w:sz="4" w:space="0"/>
            </w:tcBorders>
            <w:vAlign w:val="center"/>
          </w:tcPr>
          <w:p w14:paraId="1F182311">
            <w:pPr>
              <w:jc w:val="center"/>
              <w:rPr>
                <w:rFonts w:hint="eastAsia" w:ascii="宋体" w:hAnsi="宋体" w:eastAsia="宋体" w:cs="宋体"/>
                <w:sz w:val="18"/>
                <w:szCs w:val="18"/>
              </w:rPr>
            </w:pPr>
            <w:r>
              <w:rPr>
                <w:rFonts w:hint="eastAsia" w:ascii="宋体" w:hAnsi="宋体" w:eastAsia="宋体" w:cs="宋体"/>
                <w:sz w:val="18"/>
                <w:szCs w:val="18"/>
              </w:rPr>
              <w:t>10</w:t>
            </w:r>
          </w:p>
        </w:tc>
      </w:tr>
      <w:tr w14:paraId="58CA19AD">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074811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087EC1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979582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F374DD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27B23F7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C39BCED">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E11C43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AA2209E">
            <w:pPr>
              <w:jc w:val="center"/>
              <w:rPr>
                <w:rFonts w:hint="eastAsia" w:ascii="宋体" w:hAnsi="宋体" w:eastAsia="宋体" w:cs="宋体"/>
                <w:sz w:val="18"/>
                <w:szCs w:val="18"/>
              </w:rPr>
            </w:pPr>
            <w:r>
              <w:rPr>
                <w:rFonts w:hint="eastAsia" w:ascii="宋体" w:hAnsi="宋体" w:eastAsia="宋体"/>
                <w:sz w:val="18"/>
                <w:szCs w:val="18"/>
              </w:rPr>
              <w:t>-</w:t>
            </w:r>
          </w:p>
        </w:tc>
      </w:tr>
      <w:tr w14:paraId="3E72D693">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47D83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B3F868F">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F19F317">
            <w:pPr>
              <w:jc w:val="center"/>
              <w:rPr>
                <w:rFonts w:hint="eastAsia" w:ascii="宋体" w:hAnsi="宋体" w:eastAsia="宋体" w:cs="宋体"/>
                <w:sz w:val="18"/>
                <w:szCs w:val="18"/>
              </w:rPr>
            </w:pPr>
            <w:r>
              <w:rPr>
                <w:rFonts w:hint="eastAsia" w:ascii="宋体" w:hAnsi="宋体" w:eastAsia="宋体" w:cs="宋体"/>
                <w:sz w:val="18"/>
                <w:szCs w:val="18"/>
              </w:rPr>
              <w:t>70.98</w:t>
            </w:r>
          </w:p>
        </w:tc>
        <w:tc>
          <w:tcPr>
            <w:tcW w:w="1276" w:type="dxa"/>
            <w:tcBorders>
              <w:top w:val="nil"/>
              <w:left w:val="nil"/>
              <w:bottom w:val="single" w:color="auto" w:sz="4" w:space="0"/>
              <w:right w:val="single" w:color="auto" w:sz="4" w:space="0"/>
            </w:tcBorders>
            <w:vAlign w:val="center"/>
          </w:tcPr>
          <w:p w14:paraId="018F9CB7">
            <w:pPr>
              <w:jc w:val="center"/>
              <w:rPr>
                <w:rFonts w:hint="eastAsia" w:ascii="宋体" w:hAnsi="宋体" w:eastAsia="宋体" w:cs="宋体"/>
                <w:sz w:val="18"/>
                <w:szCs w:val="18"/>
              </w:rPr>
            </w:pPr>
            <w:r>
              <w:rPr>
                <w:rFonts w:hint="eastAsia" w:ascii="宋体" w:hAnsi="宋体" w:eastAsia="宋体" w:cs="宋体"/>
                <w:sz w:val="18"/>
                <w:szCs w:val="18"/>
              </w:rPr>
              <w:t>72.89</w:t>
            </w:r>
          </w:p>
        </w:tc>
        <w:tc>
          <w:tcPr>
            <w:tcW w:w="1701" w:type="dxa"/>
            <w:tcBorders>
              <w:top w:val="nil"/>
              <w:left w:val="nil"/>
              <w:bottom w:val="single" w:color="auto" w:sz="4" w:space="0"/>
              <w:right w:val="single" w:color="auto" w:sz="4" w:space="0"/>
            </w:tcBorders>
            <w:vAlign w:val="center"/>
          </w:tcPr>
          <w:p w14:paraId="7D7BC668">
            <w:pPr>
              <w:jc w:val="center"/>
              <w:rPr>
                <w:rFonts w:hint="eastAsia" w:ascii="宋体" w:hAnsi="宋体" w:eastAsia="宋体" w:cs="宋体"/>
                <w:sz w:val="18"/>
                <w:szCs w:val="18"/>
              </w:rPr>
            </w:pPr>
            <w:r>
              <w:rPr>
                <w:rFonts w:hint="eastAsia" w:ascii="宋体" w:hAnsi="宋体" w:eastAsia="宋体" w:cs="宋体"/>
                <w:sz w:val="18"/>
                <w:szCs w:val="18"/>
              </w:rPr>
              <w:t>72.66</w:t>
            </w:r>
          </w:p>
        </w:tc>
        <w:tc>
          <w:tcPr>
            <w:tcW w:w="1134" w:type="dxa"/>
            <w:tcBorders>
              <w:top w:val="nil"/>
              <w:left w:val="nil"/>
              <w:bottom w:val="single" w:color="auto" w:sz="4" w:space="0"/>
              <w:right w:val="single" w:color="auto" w:sz="4" w:space="0"/>
            </w:tcBorders>
            <w:vAlign w:val="center"/>
          </w:tcPr>
          <w:p w14:paraId="1077914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60C00D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58A1C77">
            <w:pPr>
              <w:jc w:val="center"/>
              <w:rPr>
                <w:rFonts w:hint="eastAsia" w:ascii="宋体" w:hAnsi="宋体" w:eastAsia="宋体" w:cs="宋体"/>
                <w:sz w:val="18"/>
                <w:szCs w:val="18"/>
              </w:rPr>
            </w:pPr>
            <w:r>
              <w:rPr>
                <w:rFonts w:hint="eastAsia" w:ascii="宋体" w:hAnsi="宋体" w:eastAsia="宋体"/>
                <w:sz w:val="18"/>
                <w:szCs w:val="18"/>
              </w:rPr>
              <w:t>-</w:t>
            </w:r>
          </w:p>
        </w:tc>
      </w:tr>
      <w:tr w14:paraId="36A8E74F">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69E9AF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DAC0692">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6B84C6C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5FCAEC4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06D64E5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688E39B">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C909663">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1E62F14">
            <w:pPr>
              <w:jc w:val="center"/>
              <w:rPr>
                <w:rFonts w:hint="eastAsia" w:ascii="宋体" w:hAnsi="宋体" w:eastAsia="宋体" w:cs="宋体"/>
                <w:sz w:val="18"/>
                <w:szCs w:val="18"/>
              </w:rPr>
            </w:pPr>
            <w:r>
              <w:rPr>
                <w:rFonts w:hint="eastAsia" w:ascii="宋体" w:hAnsi="宋体" w:eastAsia="宋体" w:cs="宋体"/>
                <w:sz w:val="18"/>
                <w:szCs w:val="18"/>
              </w:rPr>
              <w:t>-</w:t>
            </w:r>
          </w:p>
        </w:tc>
      </w:tr>
      <w:tr w14:paraId="27E61620">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8BEA1C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450641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B1BE326">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BF3E68D">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0EBA410">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B01DCDF">
            <w:pPr>
              <w:rPr>
                <w:rFonts w:hint="eastAsia" w:ascii="宋体" w:hAnsi="宋体" w:eastAsia="宋体" w:cs="宋体"/>
                <w:sz w:val="18"/>
                <w:szCs w:val="18"/>
                <w:lang w:eastAsia="zh-CN"/>
              </w:rPr>
            </w:pPr>
            <w:r>
              <w:rPr>
                <w:rFonts w:hint="eastAsia" w:ascii="宋体" w:hAnsi="宋体" w:eastAsia="宋体" w:cs="宋体"/>
                <w:sz w:val="18"/>
                <w:szCs w:val="18"/>
                <w:lang w:eastAsia="zh-CN"/>
              </w:rPr>
              <w:t>工商联的主要职责：（一）贯彻执行中央、自治区和我市有关工商联工作的方针政策和法律法规；编制工商联工作规划并组织实施。（二）依据《中华全国工商业联合会章程》，贯彻执行区工商联执委会、常委会决议。（三）加强和改进非公有制经济人士思想政治工作，团结、服务、引导、教育非公有制经济人士爱国、敬业、诚信、守法、贡献，培养拥护觉的领导、走中国特色社会主义道路的非公有制经济人士队伍，宣传表彰先进典型。（四）参与政治协商，做好民主监督、参政议政有关工作；参与制定我区有关政策并贯彻执行，向区委、区人民政府提出相关意见和建议；做好非公有制经济代表人士政治安排推荐及参与政治生活、社会事务有关工作。（五）协助政府管理和服务非公有制经济；为非公有制企业提供信息、法律、融资、技术、人才等方面的服务；组织开展与国内外工商界的联系、交流，推动经贸交流和协作。（六）促进行业协会商会政革发展，指导和推动商会组织完善法人治理结构、规范内部管理、依照法律和章程开展活动。（七）参与协调劳动关系，促进社会和谐稳定；会同有关部门推动劳动关系协调机制建设，研究解决劳动关系中的重大问题和调处劳动争议。（八）</w:t>
            </w:r>
            <w:bookmarkStart w:id="0" w:name="_GoBack"/>
            <w:bookmarkEnd w:id="0"/>
            <w:r>
              <w:rPr>
                <w:rFonts w:hint="eastAsia" w:ascii="宋体" w:hAnsi="宋体" w:eastAsia="宋体" w:cs="宋体"/>
                <w:sz w:val="18"/>
                <w:szCs w:val="18"/>
                <w:lang w:eastAsia="zh-CN"/>
              </w:rPr>
              <w:t>反映非公有制企业和非公有制经济人士利益诉求，维护其合法权益。（九）组织和引导非公有制企业承担社会责任，热心公益事业，投身光彩事业。（十）协助有关部门开展非公有制经济组织党建工作。（十一）承办区委、区人民政府交办的其他事项。重点工作任务：（一）加强会员队伍建设积极发展非公有制企业和非公经济人士入会。努力发展战略性新兴产业、先进制造业、现代服务业企业入会；积极吸纳成长性好、发展潜力大的非公企业入会；重点发展政治素质高、热爱工商联（总商会）事业、社会责任心强、在行业内影响力大的非公经济人士及行业商（协）会入会。全年发展会员20个以上。（二）促进民营经济健康发展1.坚持开展调研走访活动。深入非公企业及非公经济代表人士之中联络感情、沟通思路、广交朋友，发挥桥梁纽带作用，积极向企业宣传党和政府支持非公有制经济发展的优惠政策和市场信息，深入了解企业发展情况，全面了解和掌握非公有制经济人士的困难、建议和诉求，千方百计帮助企业克服困难，树立战胜困难的信心，为会员企业提供“妈妈式”服务。全年走访会员企业不少于100家（次）。2.强化政治理论学习宣传工作。通过组织主题宣讲、专题讲座以及关注“学习强国”相关信息等形式，深入学习宣传党的二十大精神、习近平总书记关于新疆工作重要讲话重要指示精神以及优化营商环境相关政策，坚定非公企业发展信心，引导非公企业健康发展和非公经济人士健康成长。3.构建政企常态化交流机制。不定期召开政银企三方联席会议，进一步加强与银行的合作力度，搭建好政府服务企业平台，最大限度地满足企业不同层次的融资需求，努力帮助解决企业融资难和融资贵的问题。全年组织召开政银企座谈会不少于2次。4.加强与相关部门之间联络协调。加强与法院、检察院、司法、税务和人社、工会等部门的沟通、协调，联合或单独举办专题培训等活动，积极向企业和非公经济人士宣传解读党和政府支持民营经济发展的政策和有关法律法规知识，协调劳动关系，维护民营企业和非公经济人士的合法权益，为民营经济发展保驾护航。坚持政策惠企，邀请税务、市场监督管理、司法等部门有关人员，举办惠企政策和有关法律法规知识专题讲座。全年组织各类讲座、培训不少于4次。5.引导会员企业积极参与自贸试验区建设。积极引导主营业务突出、专业能力强、研发创新能力强、具有发展潜力的会员企业融入自贸试验区。并一如既往地做好对中小企业的政策宣传和服务工作。（三）积极引导民营企业履行社会责任利用“米东区零距离”等新媒体平台大力宣传民营企业的发展成就和民营企业家的典型事迹，发挥典型示范带动作用。积极引导会员企业和非公经济人士自觉把企业自身的发展与国家的发展结合起来，把个人富裕与全体人民的共同富裕结合起来，弘扬中华传统美德，自觉投身光彩事业、“万企兴万村”、扶贫帮困、对口和田帮扶、捐资助学、志愿服务等各项公益慈善事业，富而思源，主动承担社会责任。</w:t>
            </w:r>
          </w:p>
        </w:tc>
        <w:tc>
          <w:tcPr>
            <w:tcW w:w="4547" w:type="dxa"/>
            <w:gridSpan w:val="4"/>
            <w:tcBorders>
              <w:top w:val="single" w:color="auto" w:sz="4" w:space="0"/>
              <w:left w:val="nil"/>
              <w:bottom w:val="single" w:color="auto" w:sz="4" w:space="0"/>
              <w:right w:val="single" w:color="auto" w:sz="4" w:space="0"/>
            </w:tcBorders>
          </w:tcPr>
          <w:p w14:paraId="01830F70">
            <w:pPr>
              <w:rPr>
                <w:rFonts w:hint="eastAsia" w:ascii="宋体" w:hAnsi="宋体" w:eastAsia="宋体" w:cs="宋体"/>
                <w:sz w:val="18"/>
                <w:szCs w:val="18"/>
                <w:lang w:eastAsia="zh-CN"/>
              </w:rPr>
            </w:pPr>
            <w:r>
              <w:rPr>
                <w:rFonts w:hint="eastAsia" w:ascii="宋体" w:hAnsi="宋体" w:eastAsia="宋体" w:cs="宋体"/>
                <w:sz w:val="18"/>
                <w:szCs w:val="18"/>
                <w:lang w:eastAsia="zh-CN"/>
              </w:rPr>
              <w:t>一是坚持开展调研走访活动。全年走访会员企业145家（次）。通过深入企业走访、面对面宣传、发放宣传资料和工商联微信工作群推送等形式，积极向企业宣传党和政府支持非公有制经济发展的政策和市场信息，深入了解企业发展情况，了解并尽可能帮助企业解决在生产经营、投资发展、原材料供应、用工、融资等方面存在的问题和困难，为企业提供“妈妈式”服务。二是组织部分企业与新疆中小企业协会联合举办一场交流座谈会。双方重点围绕如何提振企业发展信心，促进当地经济发展进行了深入交流研讨。三是与米东区自贸办、中国（新疆）自贸区乌鲁木齐片区米东区国际贸易孵化基地联合举办自贸区米东功能区国际产业贸易创新发展交流座谈会。向与会企业介绍自贸区基本情况、产业布局、相关政策和自贸区米东区孵化基地相关服务功能，动员企业参与自贸区建设。米东区商务局、自贸办、自贸区米东区孵化基地和31家企业45人参加了此次交流座谈。四是配合乌鲁木齐市和米东区人力资源和社会保障局举办了米东区2024年春风行动暨就业援助月专场招聘活动。有95家企业和2000余人参加招聘活动。五是为进一步畅通检企沟通联络渠道，与米东区检察院联合成立“检企联络服务站”，优化法治化营商环境，更好服务保障民营经济健康发展。六是与米东区人社局联合举办了一场推进劳动人事争议多元化调处，构建和谐劳动关系法律知识专题讲座，共有39家企业47人参加了此次讲座。七是联合乌鲁木齐市德贝塔企业管理服务有限公司邀请财税专家举办了一场《公司法》知识专题讲座。就修订后的《公司法》重要变化点进行梳理与分析，同时重点围绕企业应注意的税务风险等进行了详细的讲解，深入剖析公司法重要变化和企业应对之策。共有46家企业73人参加了此次专题讲座。八是组织有40多家企业参加的两次银企对接交流活动，为企业搭建与银行合作交流平台。九是组织10名工商界政协委员走访新疆玛森食品科技有限公司，并进行了交流座谈，共商企业发展良策。十是与米东区税务局联合制定《2024年助力小微经营主体发展“春雨润苗”专项行动实施方案》，推进各项税务政策和创新服务举措及时惠及小微经营主体，为小微经营主体发展创造优质环境。十一是大力弘扬企业家精神，通过融媒体等多种宣传渠道，加大对先进企业和优秀企业家宣传力度。新疆东方金盛实业集团有限公司、新疆阳光小丫劳务派遣有限公司、新疆哎呦喂食品有限公司被新疆维吾尔自治区残疾人福利基金会和乌鲁木齐市米东区残疾人联合会授予“扶残助残爱心企业”称号。新疆金派利尔食品有限公司被新疆维吾尔自治区商务厅授予“新疆老字号”荣誉称号。会员王宏、李杰冰、杜钰被自治区授予“优秀中国特色社会主义事业建设者”称号。会员张希瑞和彭文华被评为“最美米东人”。</w:t>
            </w:r>
          </w:p>
        </w:tc>
      </w:tr>
      <w:tr w14:paraId="0E3CC14A">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6E05ECD">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8A1D0EE">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2D8EC4B">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6EDA4B5">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05D474B8">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428E7CD4">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6F579D8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0F42BC4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08CA204">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BCFE5C9">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1AF28D0">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7BD7068">
            <w:pPr>
              <w:jc w:val="center"/>
              <w:rPr>
                <w:rFonts w:hint="eastAsia" w:ascii="宋体" w:hAnsi="宋体" w:eastAsia="宋体" w:cs="宋体"/>
                <w:sz w:val="18"/>
                <w:szCs w:val="18"/>
              </w:rPr>
            </w:pPr>
            <w:r>
              <w:rPr>
                <w:rFonts w:hint="eastAsia" w:ascii="宋体" w:hAnsi="宋体" w:eastAsia="宋体" w:cs="宋体"/>
                <w:sz w:val="18"/>
                <w:szCs w:val="18"/>
              </w:rPr>
              <w:t>全年发展会员数</w:t>
            </w:r>
          </w:p>
        </w:tc>
        <w:tc>
          <w:tcPr>
            <w:tcW w:w="1276" w:type="dxa"/>
            <w:tcBorders>
              <w:top w:val="nil"/>
              <w:left w:val="nil"/>
              <w:bottom w:val="single" w:color="auto" w:sz="4" w:space="0"/>
              <w:right w:val="single" w:color="auto" w:sz="4" w:space="0"/>
            </w:tcBorders>
            <w:noWrap/>
            <w:vAlign w:val="center"/>
          </w:tcPr>
          <w:p w14:paraId="798E0C23">
            <w:pPr>
              <w:jc w:val="center"/>
              <w:rPr>
                <w:rFonts w:hint="eastAsia" w:ascii="宋体" w:hAnsi="宋体" w:eastAsia="宋体" w:cs="宋体"/>
                <w:sz w:val="18"/>
                <w:szCs w:val="18"/>
              </w:rPr>
            </w:pPr>
            <w:r>
              <w:rPr>
                <w:rFonts w:hint="eastAsia" w:ascii="宋体" w:hAnsi="宋体" w:eastAsia="宋体" w:cs="宋体"/>
                <w:sz w:val="18"/>
                <w:szCs w:val="18"/>
              </w:rPr>
              <w:t>&gt;=20个</w:t>
            </w:r>
          </w:p>
        </w:tc>
        <w:tc>
          <w:tcPr>
            <w:tcW w:w="1701" w:type="dxa"/>
            <w:tcBorders>
              <w:top w:val="nil"/>
              <w:left w:val="nil"/>
              <w:bottom w:val="single" w:color="auto" w:sz="4" w:space="0"/>
              <w:right w:val="single" w:color="auto" w:sz="4" w:space="0"/>
            </w:tcBorders>
            <w:noWrap/>
            <w:vAlign w:val="center"/>
          </w:tcPr>
          <w:p w14:paraId="5974A10F">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米东区工商联（总商会）2024年重点工作  米工商联字【2023】7号</w:t>
            </w:r>
          </w:p>
        </w:tc>
        <w:tc>
          <w:tcPr>
            <w:tcW w:w="1134" w:type="dxa"/>
            <w:tcBorders>
              <w:top w:val="nil"/>
              <w:left w:val="nil"/>
              <w:bottom w:val="single" w:color="auto" w:sz="4" w:space="0"/>
              <w:right w:val="single" w:color="auto" w:sz="4" w:space="0"/>
            </w:tcBorders>
            <w:noWrap/>
            <w:vAlign w:val="center"/>
          </w:tcPr>
          <w:p w14:paraId="6A53B083">
            <w:pPr>
              <w:jc w:val="center"/>
              <w:rPr>
                <w:rFonts w:hint="eastAsia" w:ascii="宋体" w:hAnsi="宋体" w:eastAsia="宋体" w:cs="宋体"/>
                <w:sz w:val="18"/>
                <w:szCs w:val="18"/>
              </w:rPr>
            </w:pPr>
            <w:r>
              <w:rPr>
                <w:rFonts w:hint="eastAsia" w:ascii="宋体" w:hAnsi="宋体" w:eastAsia="宋体" w:cs="宋体"/>
                <w:sz w:val="18"/>
                <w:szCs w:val="18"/>
              </w:rPr>
              <w:t>48</w:t>
            </w:r>
          </w:p>
        </w:tc>
        <w:tc>
          <w:tcPr>
            <w:tcW w:w="992" w:type="dxa"/>
            <w:tcBorders>
              <w:top w:val="nil"/>
              <w:left w:val="nil"/>
              <w:bottom w:val="single" w:color="auto" w:sz="4" w:space="0"/>
              <w:right w:val="single" w:color="auto" w:sz="4" w:space="0"/>
            </w:tcBorders>
            <w:noWrap/>
            <w:vAlign w:val="center"/>
          </w:tcPr>
          <w:p w14:paraId="27A7794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EE4F4B5">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6D5F825">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7E303A42">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B37E8C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AE98B88">
            <w:pPr>
              <w:jc w:val="center"/>
              <w:rPr>
                <w:rFonts w:hint="eastAsia" w:ascii="宋体" w:hAnsi="宋体" w:eastAsia="宋体" w:cs="宋体"/>
                <w:sz w:val="18"/>
                <w:szCs w:val="18"/>
              </w:rPr>
            </w:pPr>
            <w:r>
              <w:rPr>
                <w:rFonts w:hint="eastAsia" w:ascii="宋体" w:hAnsi="宋体" w:eastAsia="宋体" w:cs="宋体"/>
                <w:sz w:val="18"/>
                <w:szCs w:val="18"/>
              </w:rPr>
              <w:t>走访会员企业次数</w:t>
            </w:r>
          </w:p>
        </w:tc>
        <w:tc>
          <w:tcPr>
            <w:tcW w:w="1276" w:type="dxa"/>
            <w:tcBorders>
              <w:top w:val="nil"/>
              <w:left w:val="nil"/>
              <w:bottom w:val="single" w:color="auto" w:sz="4" w:space="0"/>
              <w:right w:val="single" w:color="auto" w:sz="4" w:space="0"/>
            </w:tcBorders>
            <w:noWrap/>
            <w:vAlign w:val="center"/>
          </w:tcPr>
          <w:p w14:paraId="7C9AC28F">
            <w:pPr>
              <w:jc w:val="center"/>
              <w:rPr>
                <w:rFonts w:hint="eastAsia" w:ascii="宋体" w:hAnsi="宋体" w:eastAsia="宋体" w:cs="宋体"/>
                <w:sz w:val="18"/>
                <w:szCs w:val="18"/>
              </w:rPr>
            </w:pPr>
            <w:r>
              <w:rPr>
                <w:rFonts w:hint="eastAsia" w:ascii="宋体" w:hAnsi="宋体" w:eastAsia="宋体" w:cs="宋体"/>
                <w:sz w:val="18"/>
                <w:szCs w:val="18"/>
              </w:rPr>
              <w:t>&gt;=100家（次）</w:t>
            </w:r>
          </w:p>
        </w:tc>
        <w:tc>
          <w:tcPr>
            <w:tcW w:w="1701" w:type="dxa"/>
            <w:tcBorders>
              <w:top w:val="nil"/>
              <w:left w:val="nil"/>
              <w:bottom w:val="single" w:color="auto" w:sz="4" w:space="0"/>
              <w:right w:val="single" w:color="auto" w:sz="4" w:space="0"/>
            </w:tcBorders>
            <w:noWrap/>
            <w:vAlign w:val="center"/>
          </w:tcPr>
          <w:p w14:paraId="5826E634">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米东区工商联（总商会）2024年重点工作 米工商联字【2023】7号</w:t>
            </w:r>
          </w:p>
        </w:tc>
        <w:tc>
          <w:tcPr>
            <w:tcW w:w="1134" w:type="dxa"/>
            <w:tcBorders>
              <w:top w:val="nil"/>
              <w:left w:val="nil"/>
              <w:bottom w:val="single" w:color="auto" w:sz="4" w:space="0"/>
              <w:right w:val="single" w:color="auto" w:sz="4" w:space="0"/>
            </w:tcBorders>
            <w:noWrap/>
            <w:vAlign w:val="center"/>
          </w:tcPr>
          <w:p w14:paraId="675A3546">
            <w:pPr>
              <w:jc w:val="center"/>
              <w:rPr>
                <w:rFonts w:hint="eastAsia" w:ascii="宋体" w:hAnsi="宋体" w:eastAsia="宋体" w:cs="宋体"/>
                <w:sz w:val="18"/>
                <w:szCs w:val="18"/>
              </w:rPr>
            </w:pPr>
            <w:r>
              <w:rPr>
                <w:rFonts w:hint="eastAsia" w:ascii="宋体" w:hAnsi="宋体" w:eastAsia="宋体" w:cs="宋体"/>
                <w:sz w:val="18"/>
                <w:szCs w:val="18"/>
              </w:rPr>
              <w:t>145次</w:t>
            </w:r>
          </w:p>
        </w:tc>
        <w:tc>
          <w:tcPr>
            <w:tcW w:w="992" w:type="dxa"/>
            <w:tcBorders>
              <w:top w:val="nil"/>
              <w:left w:val="nil"/>
              <w:bottom w:val="single" w:color="auto" w:sz="4" w:space="0"/>
              <w:right w:val="single" w:color="auto" w:sz="4" w:space="0"/>
            </w:tcBorders>
            <w:noWrap/>
            <w:vAlign w:val="center"/>
          </w:tcPr>
          <w:p w14:paraId="0ABABD3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8F980FB">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432CDF0">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99D90E9">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CCD22F1">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44C271C2">
            <w:pPr>
              <w:jc w:val="center"/>
              <w:rPr>
                <w:rFonts w:hint="eastAsia" w:ascii="宋体" w:hAnsi="宋体" w:eastAsia="宋体" w:cs="宋体"/>
                <w:sz w:val="18"/>
                <w:szCs w:val="18"/>
              </w:rPr>
            </w:pPr>
            <w:r>
              <w:rPr>
                <w:rFonts w:hint="eastAsia" w:ascii="宋体" w:hAnsi="宋体" w:eastAsia="宋体" w:cs="宋体"/>
                <w:sz w:val="18"/>
                <w:szCs w:val="18"/>
              </w:rPr>
              <w:t>举办讲座、培训次数</w:t>
            </w:r>
          </w:p>
        </w:tc>
        <w:tc>
          <w:tcPr>
            <w:tcW w:w="1276" w:type="dxa"/>
            <w:tcBorders>
              <w:top w:val="single" w:color="auto" w:sz="4" w:space="0"/>
              <w:left w:val="nil"/>
              <w:bottom w:val="single" w:color="auto" w:sz="4" w:space="0"/>
              <w:right w:val="single" w:color="auto" w:sz="4" w:space="0"/>
            </w:tcBorders>
            <w:noWrap/>
            <w:vAlign w:val="center"/>
          </w:tcPr>
          <w:p w14:paraId="72930321">
            <w:pPr>
              <w:jc w:val="center"/>
              <w:rPr>
                <w:rFonts w:hint="eastAsia" w:ascii="宋体" w:hAnsi="宋体" w:eastAsia="宋体" w:cs="宋体"/>
                <w:sz w:val="18"/>
                <w:szCs w:val="18"/>
              </w:rPr>
            </w:pPr>
            <w:r>
              <w:rPr>
                <w:rFonts w:hint="eastAsia" w:ascii="宋体" w:hAnsi="宋体" w:eastAsia="宋体" w:cs="宋体"/>
                <w:sz w:val="18"/>
                <w:szCs w:val="18"/>
              </w:rPr>
              <w:t>&gt;=4次</w:t>
            </w:r>
          </w:p>
        </w:tc>
        <w:tc>
          <w:tcPr>
            <w:tcW w:w="1701" w:type="dxa"/>
            <w:tcBorders>
              <w:top w:val="single" w:color="auto" w:sz="4" w:space="0"/>
              <w:left w:val="nil"/>
              <w:bottom w:val="single" w:color="auto" w:sz="4" w:space="0"/>
              <w:right w:val="single" w:color="auto" w:sz="4" w:space="0"/>
            </w:tcBorders>
            <w:noWrap/>
            <w:vAlign w:val="center"/>
          </w:tcPr>
          <w:p w14:paraId="0CEBF929">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米东区工商联（总商会）2024年重点工作 米工商联字【2023】7号</w:t>
            </w:r>
          </w:p>
        </w:tc>
        <w:tc>
          <w:tcPr>
            <w:tcW w:w="1134" w:type="dxa"/>
            <w:tcBorders>
              <w:top w:val="single" w:color="auto" w:sz="4" w:space="0"/>
              <w:left w:val="nil"/>
              <w:bottom w:val="single" w:color="auto" w:sz="4" w:space="0"/>
              <w:right w:val="single" w:color="auto" w:sz="4" w:space="0"/>
            </w:tcBorders>
            <w:noWrap/>
            <w:vAlign w:val="center"/>
          </w:tcPr>
          <w:p w14:paraId="53C24A39">
            <w:pPr>
              <w:jc w:val="center"/>
              <w:rPr>
                <w:rFonts w:hint="eastAsia" w:ascii="宋体" w:hAnsi="宋体" w:eastAsia="宋体" w:cs="宋体"/>
                <w:sz w:val="18"/>
                <w:szCs w:val="18"/>
              </w:rPr>
            </w:pPr>
            <w:r>
              <w:rPr>
                <w:rFonts w:hint="eastAsia" w:ascii="宋体" w:hAnsi="宋体" w:eastAsia="宋体" w:cs="宋体"/>
                <w:sz w:val="18"/>
                <w:szCs w:val="18"/>
              </w:rPr>
              <w:t>6次</w:t>
            </w:r>
          </w:p>
        </w:tc>
        <w:tc>
          <w:tcPr>
            <w:tcW w:w="992" w:type="dxa"/>
            <w:tcBorders>
              <w:top w:val="single" w:color="auto" w:sz="4" w:space="0"/>
              <w:left w:val="nil"/>
              <w:bottom w:val="single" w:color="auto" w:sz="4" w:space="0"/>
              <w:right w:val="single" w:color="auto" w:sz="4" w:space="0"/>
            </w:tcBorders>
            <w:noWrap/>
            <w:vAlign w:val="center"/>
          </w:tcPr>
          <w:p w14:paraId="5FA64C9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09D6100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2F4E252">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C135CC2">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6DDA5FF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DA01FE7">
            <w:pPr>
              <w:jc w:val="center"/>
              <w:rPr>
                <w:rFonts w:hint="eastAsia" w:ascii="宋体" w:hAnsi="宋体" w:eastAsia="宋体" w:cs="宋体"/>
                <w:sz w:val="18"/>
                <w:szCs w:val="18"/>
              </w:rPr>
            </w:pPr>
            <w:r>
              <w:rPr>
                <w:rFonts w:hint="eastAsia" w:ascii="宋体" w:hAnsi="宋体" w:eastAsia="宋体" w:cs="宋体"/>
                <w:sz w:val="18"/>
                <w:szCs w:val="18"/>
              </w:rPr>
              <w:t>100</w:t>
            </w:r>
          </w:p>
        </w:tc>
      </w:tr>
    </w:tbl>
    <w:p w14:paraId="779B31F0">
      <w:pPr>
        <w:spacing w:after="0" w:line="240" w:lineRule="auto"/>
        <w:ind w:firstLine="640" w:firstLineChars="200"/>
        <w:jc w:val="both"/>
        <w:rPr>
          <w:rFonts w:ascii="仿宋_GB2312" w:eastAsia="仿宋_GB2312"/>
          <w:sz w:val="32"/>
          <w:szCs w:val="32"/>
          <w:lang w:eastAsia="zh-CN"/>
        </w:rPr>
      </w:pPr>
    </w:p>
    <w:p w14:paraId="17D7AF5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486E467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499317DB">
      <w:pPr>
        <w:spacing w:after="0" w:line="240" w:lineRule="auto"/>
        <w:ind w:firstLine="640" w:firstLineChars="200"/>
        <w:rPr>
          <w:rFonts w:ascii="仿宋_GB2312" w:eastAsia="仿宋_GB2312"/>
          <w:sz w:val="32"/>
          <w:szCs w:val="32"/>
          <w:lang w:eastAsia="zh-CN"/>
        </w:rPr>
      </w:pPr>
    </w:p>
    <w:p w14:paraId="2B06FC5C">
      <w:pPr>
        <w:rPr>
          <w:lang w:eastAsia="zh-CN"/>
        </w:rPr>
      </w:pPr>
      <w:r>
        <w:rPr>
          <w:sz w:val="0"/>
          <w:szCs w:val="0"/>
          <w:lang w:eastAsia="zh-CN"/>
        </w:rPr>
        <w:br w:type="page"/>
      </w:r>
    </w:p>
    <w:p w14:paraId="460C1A0E">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5950739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E70106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C32D6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55CC40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2D9D36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98F13F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0FDE1D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6CED42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AD68C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298A1B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481792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612589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8DD56F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5E583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469F917">
      <w:pPr>
        <w:rPr>
          <w:lang w:eastAsia="zh-CN"/>
        </w:rPr>
      </w:pPr>
      <w:r>
        <w:rPr>
          <w:sz w:val="0"/>
          <w:szCs w:val="0"/>
          <w:lang w:eastAsia="zh-CN"/>
        </w:rPr>
        <w:br w:type="page"/>
      </w:r>
    </w:p>
    <w:p w14:paraId="40859E0E">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610D497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5C9286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120227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8D7967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1B3F52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FD17DB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2CFA79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35C75A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D1BBF2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032C95"/>
    <w:rsid w:val="00032C95"/>
    <w:rsid w:val="00124C1E"/>
    <w:rsid w:val="001C24DD"/>
    <w:rsid w:val="003C0651"/>
    <w:rsid w:val="00413088"/>
    <w:rsid w:val="00437DAC"/>
    <w:rsid w:val="006B0EF0"/>
    <w:rsid w:val="00755C0B"/>
    <w:rsid w:val="009C689A"/>
    <w:rsid w:val="00A75555"/>
    <w:rsid w:val="00C02DED"/>
    <w:rsid w:val="00DD7590"/>
    <w:rsid w:val="00E66966"/>
    <w:rsid w:val="00E66F36"/>
    <w:rsid w:val="00EF5F9D"/>
    <w:rsid w:val="00F126B6"/>
    <w:rsid w:val="00F75421"/>
    <w:rsid w:val="00FB3F44"/>
    <w:rsid w:val="17A72A70"/>
    <w:rsid w:val="22CB2B45"/>
    <w:rsid w:val="44E15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9318</Words>
  <Characters>9967</Characters>
  <Lines>292</Lines>
  <Paragraphs>208</Paragraphs>
  <TotalTime>69</TotalTime>
  <ScaleCrop>false</ScaleCrop>
  <LinksUpToDate>false</LinksUpToDate>
  <CharactersWithSpaces>9981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2025-09-29T03:29:00Z</dcterms:created>
  <dc:creator>ldan</dc:creator>
  <cp:lastModifiedBy>W.w</cp:lastModifiedBy>
  <dcterms:modified xsi:type="dcterms:W3CDTF">2025-10-14T08:54:47Z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AE27528181A34FE0A8823F47F38DAE01_12</vt:lpwstr>
  </property>
</Properties>
</file>