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620C">
      <w:pPr>
        <w:widowControl/>
        <w:spacing w:before="0" w:beforeLines="0" w:beforeAutospacing="0" w:after="0" w:afterLines="0" w:afterAutospacing="0" w:line="240" w:lineRule="auto"/>
        <w:jc w:val="left"/>
        <w:rPr>
          <w:rFonts w:ascii="宋体" w:eastAsia="宋体"/>
          <w:sz w:val="32"/>
          <w:szCs w:val="32"/>
        </w:rPr>
      </w:pPr>
    </w:p>
    <w:p w14:paraId="43FD3EBE">
      <w:pPr>
        <w:widowControl/>
        <w:spacing w:before="0" w:beforeLines="0" w:beforeAutospacing="0" w:after="0" w:afterLines="0" w:afterAutospacing="0" w:line="240" w:lineRule="auto"/>
        <w:jc w:val="left"/>
        <w:rPr>
          <w:rFonts w:ascii="宋体" w:eastAsia="宋体"/>
          <w:sz w:val="44"/>
          <w:szCs w:val="44"/>
        </w:rPr>
      </w:pPr>
    </w:p>
    <w:p w14:paraId="1718C919">
      <w:pPr>
        <w:widowControl/>
        <w:spacing w:before="0" w:beforeLines="0" w:beforeAutospacing="0" w:after="0" w:afterLines="0" w:afterAutospacing="0" w:line="240" w:lineRule="auto"/>
        <w:jc w:val="left"/>
        <w:rPr>
          <w:rFonts w:ascii="宋体" w:eastAsia="宋体"/>
          <w:sz w:val="44"/>
          <w:szCs w:val="44"/>
        </w:rPr>
      </w:pPr>
    </w:p>
    <w:p w14:paraId="51C16F46">
      <w:pPr>
        <w:widowControl/>
        <w:spacing w:before="0" w:beforeLines="0" w:beforeAutospacing="0" w:after="0" w:afterLines="0" w:afterAutospacing="0" w:line="240" w:lineRule="auto"/>
        <w:jc w:val="left"/>
        <w:rPr>
          <w:rFonts w:ascii="宋体" w:eastAsia="宋体"/>
          <w:sz w:val="44"/>
          <w:szCs w:val="44"/>
        </w:rPr>
      </w:pPr>
    </w:p>
    <w:p w14:paraId="7FD35B91">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乌鲁木齐市米东区羊毛工镇政府</w:t>
      </w:r>
    </w:p>
    <w:p w14:paraId="0D93FB00">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756FF44D">
      <w:pPr>
        <w:widowControl/>
      </w:pPr>
      <w:r>
        <w:rPr>
          <w:b w:val="0"/>
          <w:sz w:val="0"/>
          <w:szCs w:val="0"/>
        </w:rPr>
        <w:br w:type="page"/>
      </w:r>
    </w:p>
    <w:p w14:paraId="60B2A4ED">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52E24D8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5BB9138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53AFF89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360E06A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2001586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029410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755BB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AD0059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221C23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7B18AE0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F01949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0B09C66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2A942F3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68394AD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3863F9E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10CD98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0CEFEE6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579107F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3C9791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E457C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4130CF0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F84A0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2D8BE4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5DE799D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2B1BBB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66BFB23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100773A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683FCE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330ED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36D23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34735CF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66138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03EA757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66A6F55A">
      <w:pPr>
        <w:widowControl/>
      </w:pPr>
      <w:r>
        <w:rPr>
          <w:b w:val="0"/>
          <w:sz w:val="0"/>
          <w:szCs w:val="0"/>
        </w:rPr>
        <w:br w:type="page"/>
      </w:r>
    </w:p>
    <w:p w14:paraId="52CF9D1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6E6CA5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191EBC0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贯彻执行国家和自治区、乌鲁木齐市有关财政、税收、行政事业单位国有资产管理的法规、制度和方针政策；组织拟定财政、财务、会计管理、行政事业单位国有资产管理等方面的规章、办法，并监督实施。</w:t>
      </w:r>
    </w:p>
    <w:p w14:paraId="17C37C2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2.承担我镇各项财政收支管理责任；负责编制乡镇本级预决算草案并组织执行；受镇人民政府委托向镇人民代表大会报告区本级和我镇预算及其执行情况，向镇人大常委会报告决算；组织实施专项资金绩效考核工作；组织制定经费开支标准、定额，负责财政预决算工作。</w:t>
      </w:r>
    </w:p>
    <w:p w14:paraId="354D569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3.根据预算安排，拟定财政税收收入计划，并组织实施、管理和监督；负责政府非税收入和政府性基金管理；监管财政票据。</w:t>
      </w:r>
    </w:p>
    <w:p w14:paraId="5CC55E74">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4.组织实施国库管理和国库集中收付制度，按规定开展本级国库现金管理工作，管理监督各部门国库资金缴拨使用；负责制定我镇政府采购制度并监督管理；管理财政统一发放工资工作。</w:t>
      </w:r>
    </w:p>
    <w:p w14:paraId="1D488CEF">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5.负责制定我镇行政事业单位国有资产管理规章制度，按规定管理行政事业单位国有资产，拟定和执行需要全区统一规定的开支标准和支出政策。</w:t>
      </w:r>
    </w:p>
    <w:p w14:paraId="3A8ABF5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6.负责做好政府债务管理，合理安排偿债资金预算。</w:t>
      </w:r>
    </w:p>
    <w:p w14:paraId="1EBAB76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7.参与制定我镇基本建设财务管理制度，负责政府性投资项目财政资金管理工作；承担有关政策性补贴和专项储备资金财政管理工作。</w:t>
      </w:r>
    </w:p>
    <w:p w14:paraId="65183D67">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8.会同有关部门管理镇财政社会保障和就业及医疗卫生资金管理工作，会同有关部门研究制定社会保障资金有关的财务管理制度。</w:t>
      </w:r>
    </w:p>
    <w:p w14:paraId="7A59B2FE">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9.管理和指导我镇会计工作，规范会计行为；组织执行国家统一的会计制度和自治区相关补充规定。</w:t>
      </w:r>
    </w:p>
    <w:p w14:paraId="3388991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10.监督检查财税法规、政策的执行情况，反映财政收支管理中的重大问题，提出加强财政管理的政策建议。</w:t>
      </w:r>
    </w:p>
    <w:p w14:paraId="69CABB7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11.承办上级人民政府交办的其他事项。</w:t>
      </w:r>
    </w:p>
    <w:p w14:paraId="5668D58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4FAFB7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乌鲁木齐市米东区羊毛工镇政府2024年度，实有人数106人，其中：在职人员81人，增加1人；离休人员0人，较上年无变化；退休人员25人，增加7人。</w:t>
      </w:r>
    </w:p>
    <w:p w14:paraId="3625145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乌鲁木齐市米东区羊毛工镇政府无下属预算单位，下设7个</w:t>
      </w:r>
      <w:r>
        <w:rPr>
          <w:rFonts w:hint="eastAsia" w:ascii="仿宋_GB2312" w:eastAsia="仿宋_GB2312"/>
          <w:b w:val="0"/>
          <w:sz w:val="32"/>
          <w:szCs w:val="32"/>
          <w:lang w:val="en-US" w:eastAsia="zh-CN"/>
        </w:rPr>
        <w:t>科室</w:t>
      </w:r>
      <w:r>
        <w:rPr>
          <w:rFonts w:ascii="仿宋_GB2312" w:eastAsia="仿宋_GB2312"/>
          <w:b w:val="0"/>
          <w:sz w:val="32"/>
          <w:szCs w:val="32"/>
        </w:rPr>
        <w:t>，分别是：社会保障（民政）服务中心（退役军人服务站）、农业（畜牧业）发展服务中心、村镇规划建设发展中心（生态环境工作站）、文体广电旅游服务中心、农村合作经济（统计）发展中心（财政所）、防疫专员办公室（公共卫生服务指导中心）、综治中心（网格化服务中心）。</w:t>
      </w:r>
    </w:p>
    <w:p w14:paraId="425B6606">
      <w:pPr>
        <w:widowControl/>
      </w:pPr>
      <w:r>
        <w:rPr>
          <w:b w:val="0"/>
          <w:sz w:val="0"/>
          <w:szCs w:val="0"/>
        </w:rPr>
        <w:br w:type="page"/>
      </w:r>
    </w:p>
    <w:p w14:paraId="7A02407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778777A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2491B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2024年度收入总计2,016.21万元，其中：本年收入合计2,016.21万元，使用非财政拨款结余（含专用结余）0.00万元，年初结转和结余0.00万元。</w:t>
      </w:r>
    </w:p>
    <w:p w14:paraId="0BFC2BB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2024年度支出总计2,016.21万元，其中：本年支出合计2,015.21万元，结余分配0.00万元，年末结转和结余1.00万元。</w:t>
      </w:r>
    </w:p>
    <w:p w14:paraId="0023FE7B">
      <w:pPr>
        <w:widowControl/>
        <w:spacing w:before="0" w:beforeLines="0" w:beforeAutospacing="0" w:after="0" w:afterLines="0" w:afterAutospacing="0" w:line="240" w:lineRule="auto"/>
        <w:ind w:firstLine="640" w:firstLineChars="200"/>
        <w:jc w:val="left"/>
        <w:outlineLvl w:val="1"/>
        <w:rPr>
          <w:rFonts w:hint="eastAsia" w:ascii="仿宋_GB2312" w:eastAsia="仿宋_GB2312"/>
          <w:b w:val="0"/>
          <w:sz w:val="32"/>
          <w:szCs w:val="32"/>
          <w:lang w:val="en-US" w:eastAsia="zh-CN"/>
        </w:rPr>
      </w:pPr>
      <w:r>
        <w:rPr>
          <w:rFonts w:ascii="仿宋_GB2312" w:eastAsia="仿宋_GB2312"/>
          <w:b w:val="0"/>
          <w:sz w:val="32"/>
          <w:szCs w:val="32"/>
        </w:rPr>
        <w:t>收入支出总体与上年相比，减少507.91万元，下降20.12%，主要原因是：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减少；本年单位新疆地方农牧区投递员专项补贴资金、处置病虫害工作经费等项目经费减少。</w:t>
      </w:r>
    </w:p>
    <w:p w14:paraId="5EF2833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09EC783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本年收入2,016.21万元，其中：财政拨款收入2,016.21万元,占100.00%；上级补助收入0.00万元,占0.00%；事业收入0.00万元，占0.00%；经营收入0.00万元,占0.00%；附属单位上缴收入0.00万元，占0.00%；其他收入0.00万元，占0.00%。</w:t>
      </w:r>
    </w:p>
    <w:p w14:paraId="17F9666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66EF0A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本年支出2,015.21万元，其中：基本支出1,649.80万元，占81.87%；项目支出365.41万元，占18.13%；上缴上级支出0.00万元，占0.00%；经营支出0.00万元，占0.00%；对附属单位补助支出0.00万元，占0.00%。</w:t>
      </w:r>
    </w:p>
    <w:p w14:paraId="1B5EC6C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34512E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2,016.21万元，其中：年初财政拨款结转和结余0.00万元，本年财政拨款收入2,016.21万元。财政拨款支出总计2,016.21万元，其中：年末财政拨款结转和结余1.00万元，本年财政拨款支出2,015.21万元。</w:t>
      </w:r>
    </w:p>
    <w:p w14:paraId="50A3175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财政拨款收入支出总体与上年相比，减少507.91万元，下降20.12%，主要原因是：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减少；本年单位新疆地方农牧区投递员专项补贴资金、处置病虫害工作经费等项目经费减少。</w:t>
      </w:r>
      <w:r>
        <w:rPr>
          <w:rFonts w:ascii="仿宋_GB2312" w:eastAsia="仿宋_GB2312"/>
          <w:b w:val="0"/>
          <w:sz w:val="32"/>
          <w:szCs w:val="32"/>
        </w:rPr>
        <w:t>与年初预算相比，年初预算数4,156.86万元，决算数2,016.21万元，预决算差异率-51.50%，主要原因是：</w:t>
      </w:r>
      <w:r>
        <w:rPr>
          <w:rFonts w:hint="eastAsia" w:ascii="仿宋_GB2312" w:eastAsia="仿宋_GB2312"/>
          <w:b w:val="0"/>
          <w:sz w:val="32"/>
          <w:szCs w:val="32"/>
          <w:lang w:val="en-US" w:eastAsia="zh-CN"/>
        </w:rPr>
        <w:t>年中</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w:t>
      </w:r>
      <w:r>
        <w:rPr>
          <w:rFonts w:ascii="仿宋_GB2312" w:eastAsia="仿宋_GB2312"/>
          <w:b w:val="0"/>
          <w:sz w:val="32"/>
          <w:szCs w:val="32"/>
        </w:rPr>
        <w:t>年初预算</w:t>
      </w:r>
      <w:r>
        <w:rPr>
          <w:rFonts w:hint="eastAsia" w:ascii="仿宋_GB2312" w:eastAsia="仿宋_GB2312"/>
          <w:b w:val="0"/>
          <w:sz w:val="32"/>
          <w:szCs w:val="32"/>
          <w:lang w:val="en-US" w:eastAsia="zh-CN"/>
        </w:rPr>
        <w:t>减少；本年单位办公经费、印刷费等较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6E9E2D9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56D2BE3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37E904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2024年度一般公共预算财政拨款支出2,015.21万元，占本年支出合计的100.00%。与上年相比，减少508.91万元，下降20.16%，主要原因是：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减少；本年单位新疆地方农牧区投递员专项补贴资金、处置病虫害工作经费等项目经费减少</w:t>
      </w:r>
      <w:r>
        <w:rPr>
          <w:rFonts w:ascii="仿宋_GB2312" w:eastAsia="仿宋_GB2312"/>
          <w:b w:val="0"/>
          <w:sz w:val="32"/>
          <w:szCs w:val="32"/>
        </w:rPr>
        <w:t>。与年初预算相比，年初预算数4,156.86万元，决算数2,015.21万元，预决算差异率-51.52%，主要原因是：</w:t>
      </w:r>
      <w:r>
        <w:rPr>
          <w:rFonts w:hint="eastAsia" w:ascii="仿宋_GB2312" w:eastAsia="仿宋_GB2312"/>
          <w:b w:val="0"/>
          <w:sz w:val="32"/>
          <w:szCs w:val="32"/>
          <w:lang w:val="en-US" w:eastAsia="zh-CN"/>
        </w:rPr>
        <w:t>年中</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w:t>
      </w:r>
      <w:r>
        <w:rPr>
          <w:rFonts w:ascii="仿宋_GB2312" w:eastAsia="仿宋_GB2312"/>
          <w:b w:val="0"/>
          <w:sz w:val="32"/>
          <w:szCs w:val="32"/>
        </w:rPr>
        <w:t>年初预算</w:t>
      </w:r>
      <w:r>
        <w:rPr>
          <w:rFonts w:hint="eastAsia" w:ascii="仿宋_GB2312" w:eastAsia="仿宋_GB2312"/>
          <w:b w:val="0"/>
          <w:sz w:val="32"/>
          <w:szCs w:val="32"/>
          <w:lang w:val="en-US" w:eastAsia="zh-CN"/>
        </w:rPr>
        <w:t>减少；本年单位办公经费、印刷费等较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61F4604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1291094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一般公共服务支出（类）769.35万元，占38.18%。</w:t>
      </w:r>
    </w:p>
    <w:p w14:paraId="418031C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社会保障和就业支出（类）169.20万元，占8.40%。</w:t>
      </w:r>
    </w:p>
    <w:p w14:paraId="63EFA87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卫生健康支出（类）147.83万元，占7.34%。</w:t>
      </w:r>
    </w:p>
    <w:p w14:paraId="3027564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农林水支出（类）928.71万元，占46.09%。</w:t>
      </w:r>
    </w:p>
    <w:p w14:paraId="139DCB5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交通运输支出（类）0.12万元，占0.01%。</w:t>
      </w:r>
    </w:p>
    <w:p w14:paraId="240A725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5554AEAD">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val="en-US" w:eastAsia="zh-CN"/>
        </w:rPr>
      </w:pPr>
      <w:r>
        <w:rPr>
          <w:rFonts w:ascii="仿宋_GB2312" w:eastAsia="仿宋_GB2312"/>
          <w:b w:val="0"/>
          <w:sz w:val="32"/>
          <w:szCs w:val="32"/>
        </w:rPr>
        <w:t>1、一般公共服务支出（类）政府办公厅（室）及相关机构事务（款）行政运行（项）：支出决算数为763.75万元，比上年决算减少684.52万元，下降47.26%，主要原因是：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减少；本年单位办公经费、印刷费等经费减少。</w:t>
      </w:r>
    </w:p>
    <w:p w14:paraId="14A9558A">
      <w:pPr>
        <w:widowControl/>
        <w:spacing w:before="0" w:beforeLines="0" w:beforeAutospacing="0" w:after="0" w:afterLines="0" w:afterAutospacing="0" w:line="240" w:lineRule="auto"/>
        <w:ind w:firstLine="640" w:firstLineChars="200"/>
        <w:rPr>
          <w:rFonts w:hint="default" w:ascii="仿宋_GB2312" w:eastAsia="仿宋_GB2312"/>
          <w:b w:val="0"/>
          <w:sz w:val="32"/>
          <w:szCs w:val="32"/>
          <w:lang w:val="en-US" w:eastAsia="zh-CN"/>
        </w:rPr>
      </w:pPr>
      <w:r>
        <w:rPr>
          <w:rFonts w:ascii="仿宋_GB2312" w:eastAsia="仿宋_GB2312"/>
          <w:b w:val="0"/>
          <w:sz w:val="32"/>
          <w:szCs w:val="32"/>
        </w:rPr>
        <w:t>2、一般公共服务支出（类）组织事务（款）其他组织事务支出（项）：支出决算数为5.60万元，比上年决算增加3.50万元，增长166.67%，主要原因是：</w:t>
      </w:r>
      <w:r>
        <w:rPr>
          <w:rFonts w:hint="eastAsia" w:ascii="仿宋_GB2312" w:eastAsia="仿宋_GB2312"/>
          <w:b w:val="0"/>
          <w:sz w:val="32"/>
          <w:szCs w:val="32"/>
          <w:lang w:val="en-US" w:eastAsia="zh-CN"/>
        </w:rPr>
        <w:t>本年单位选调生到村任职工作经费较上年增加。</w:t>
      </w:r>
    </w:p>
    <w:p w14:paraId="4EC13DA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3、社会保障和就业支出（类）行政事业单位养老支出（款）机关事业单位基本养老保险缴费支出（项）：支出决算数为169.20万元，比上年决算增加65.31万元，增长62.86%，主要原因是：</w:t>
      </w:r>
      <w:bookmarkStart w:id="0" w:name="_Hlk208414579"/>
      <w:r>
        <w:rPr>
          <w:rFonts w:hint="eastAsia" w:ascii="仿宋_GB2312" w:eastAsia="仿宋_GB2312"/>
          <w:b w:val="0"/>
          <w:sz w:val="32"/>
          <w:szCs w:val="32"/>
          <w:lang w:val="zh-CN" w:eastAsia="zh-CN"/>
        </w:rPr>
        <w:t>社保缴费基数调增，人员养老保险缴费增加</w:t>
      </w:r>
      <w:bookmarkEnd w:id="0"/>
      <w:r>
        <w:rPr>
          <w:rFonts w:ascii="仿宋_GB2312" w:eastAsia="仿宋_GB2312"/>
          <w:b w:val="0"/>
          <w:sz w:val="32"/>
          <w:szCs w:val="32"/>
        </w:rPr>
        <w:t>。</w:t>
      </w:r>
    </w:p>
    <w:p w14:paraId="56E4D14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4、卫生健康支出（类）公共卫生（款）突发公共卫生事件应急处置（项）：支出决算数为102.33万元，比上年决算增加102.33万元，增长100.00%，主要原因是：</w:t>
      </w:r>
      <w:r>
        <w:rPr>
          <w:rFonts w:hint="eastAsia" w:ascii="仿宋_GB2312" w:eastAsia="仿宋_GB2312"/>
          <w:b w:val="0"/>
          <w:sz w:val="32"/>
          <w:szCs w:val="32"/>
          <w:lang w:val="en-US" w:eastAsia="zh-CN"/>
        </w:rPr>
        <w:t>本年单位重大传染病</w:t>
      </w:r>
      <w:r>
        <w:rPr>
          <w:rFonts w:ascii="仿宋_GB2312" w:eastAsia="仿宋_GB2312"/>
          <w:b w:val="0"/>
          <w:sz w:val="32"/>
          <w:szCs w:val="32"/>
        </w:rPr>
        <w:t>防控</w:t>
      </w:r>
      <w:r>
        <w:rPr>
          <w:rFonts w:hint="eastAsia" w:ascii="仿宋_GB2312" w:eastAsia="仿宋_GB2312"/>
          <w:b w:val="0"/>
          <w:sz w:val="32"/>
          <w:szCs w:val="32"/>
          <w:lang w:val="en-US" w:eastAsia="zh-CN"/>
        </w:rPr>
        <w:t>经费</w:t>
      </w:r>
      <w:r>
        <w:rPr>
          <w:rFonts w:ascii="仿宋_GB2312" w:eastAsia="仿宋_GB2312"/>
          <w:b w:val="0"/>
          <w:sz w:val="32"/>
          <w:szCs w:val="32"/>
        </w:rPr>
        <w:t>增加。</w:t>
      </w:r>
    </w:p>
    <w:p w14:paraId="7B36E4F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5、卫生健康支出（类）计划生育事务（款）计划生育服务（项）：支出决算数为45.49万元，比上年决算减少8.49万元，下降15.73%，主要原因是：</w:t>
      </w:r>
      <w:r>
        <w:rPr>
          <w:rFonts w:hint="eastAsia" w:ascii="仿宋_GB2312" w:eastAsia="仿宋_GB2312"/>
          <w:b w:val="0"/>
          <w:sz w:val="32"/>
          <w:szCs w:val="32"/>
          <w:lang w:val="en-US" w:eastAsia="zh-CN"/>
        </w:rPr>
        <w:t>本年单位水电费、印刷费等经费减少。</w:t>
      </w:r>
    </w:p>
    <w:p w14:paraId="27DAFEF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6、农林水支出（类）农业农村（款）行政运行（项）：支出决算数为0.00万元，比上年决算减少15.16万元，下降100.00%，主要原因是：</w:t>
      </w:r>
      <w:r>
        <w:rPr>
          <w:rFonts w:hint="eastAsia" w:ascii="仿宋_GB2312" w:eastAsia="仿宋_GB2312"/>
          <w:b w:val="0"/>
          <w:sz w:val="32"/>
          <w:szCs w:val="32"/>
          <w:lang w:val="en-US" w:eastAsia="zh-CN"/>
        </w:rPr>
        <w:t>单位</w:t>
      </w:r>
      <w:r>
        <w:rPr>
          <w:rFonts w:hint="eastAsia" w:ascii="仿宋_GB2312" w:eastAsia="仿宋_GB2312"/>
          <w:b w:val="0"/>
          <w:sz w:val="32"/>
          <w:szCs w:val="32"/>
        </w:rPr>
        <w:t>本年</w:t>
      </w:r>
      <w:r>
        <w:rPr>
          <w:rFonts w:hint="eastAsia" w:ascii="仿宋_GB2312" w:eastAsia="仿宋_GB2312"/>
          <w:b w:val="0"/>
          <w:sz w:val="32"/>
          <w:szCs w:val="32"/>
          <w:lang w:val="en-US" w:eastAsia="zh-CN"/>
        </w:rPr>
        <w:t>长</w:t>
      </w:r>
      <w:r>
        <w:rPr>
          <w:rFonts w:hint="eastAsia" w:ascii="仿宋_GB2312" w:eastAsia="仿宋_GB2312"/>
          <w:b w:val="0"/>
          <w:sz w:val="32"/>
          <w:szCs w:val="32"/>
        </w:rPr>
        <w:t>聘用人员</w:t>
      </w:r>
      <w:r>
        <w:rPr>
          <w:rFonts w:hint="eastAsia" w:ascii="仿宋_GB2312" w:eastAsia="仿宋_GB2312"/>
          <w:b w:val="0"/>
          <w:sz w:val="32"/>
          <w:szCs w:val="32"/>
          <w:lang w:val="en-US" w:eastAsia="zh-CN"/>
        </w:rPr>
        <w:t>减少</w:t>
      </w:r>
      <w:r>
        <w:rPr>
          <w:rFonts w:hint="eastAsia" w:ascii="仿宋_GB2312" w:eastAsia="仿宋_GB2312"/>
          <w:b w:val="0"/>
          <w:sz w:val="32"/>
          <w:szCs w:val="32"/>
        </w:rPr>
        <w:t>，</w:t>
      </w:r>
      <w:r>
        <w:rPr>
          <w:rFonts w:hint="eastAsia" w:ascii="仿宋_GB2312" w:eastAsia="仿宋_GB2312"/>
          <w:b w:val="0"/>
          <w:sz w:val="32"/>
          <w:szCs w:val="32"/>
          <w:lang w:val="en-US" w:eastAsia="zh-CN"/>
        </w:rPr>
        <w:t>长</w:t>
      </w:r>
      <w:r>
        <w:rPr>
          <w:rFonts w:hint="eastAsia" w:ascii="仿宋_GB2312" w:eastAsia="仿宋_GB2312"/>
          <w:b w:val="0"/>
          <w:sz w:val="32"/>
          <w:szCs w:val="32"/>
        </w:rPr>
        <w:t>聘人员工资</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社保</w:t>
      </w:r>
      <w:r>
        <w:rPr>
          <w:rFonts w:hint="eastAsia" w:ascii="仿宋_GB2312" w:eastAsia="仿宋_GB2312"/>
          <w:b w:val="0"/>
          <w:sz w:val="32"/>
          <w:szCs w:val="32"/>
        </w:rPr>
        <w:t>等经费</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466245A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7、农林水支出（类）农业农村（款）事业运行（项）：支出决算数为667.43万元，比上年决算减少37.85万元，下降5.37%，主要原因是：</w:t>
      </w:r>
      <w:r>
        <w:rPr>
          <w:rFonts w:hint="eastAsia" w:ascii="仿宋_GB2312" w:eastAsia="仿宋_GB2312"/>
          <w:b w:val="0"/>
          <w:sz w:val="32"/>
          <w:szCs w:val="32"/>
          <w:lang w:val="en-US" w:eastAsia="zh-CN"/>
        </w:rPr>
        <w:t>本年单位水电费、印刷费等经费减少。</w:t>
      </w:r>
    </w:p>
    <w:p w14:paraId="5A6FB5F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8、农林水支出（类）农业农村（款）病虫害控制（项）：支出决算数为0.00万元，比上年决算减少54.44万元，下降100.00%，主要原因是：</w:t>
      </w:r>
      <w:r>
        <w:rPr>
          <w:rFonts w:hint="eastAsia" w:ascii="仿宋_GB2312" w:eastAsia="仿宋_GB2312"/>
          <w:b w:val="0"/>
          <w:sz w:val="32"/>
          <w:szCs w:val="32"/>
          <w:lang w:val="en-US" w:eastAsia="zh-CN"/>
        </w:rPr>
        <w:t>本年单位减少陕西工村农户农作物病虫害防治受损补偿、处置病虫害工作经费等项目经费</w:t>
      </w:r>
      <w:r>
        <w:rPr>
          <w:rFonts w:ascii="仿宋_GB2312" w:eastAsia="仿宋_GB2312"/>
          <w:b w:val="0"/>
          <w:sz w:val="32"/>
          <w:szCs w:val="32"/>
        </w:rPr>
        <w:t>。</w:t>
      </w:r>
    </w:p>
    <w:p w14:paraId="01B66056">
      <w:pPr>
        <w:widowControl/>
        <w:spacing w:before="0" w:beforeLines="0" w:beforeAutospacing="0" w:after="0" w:afterLines="0" w:afterAutospacing="0" w:line="240" w:lineRule="auto"/>
        <w:ind w:firstLine="640" w:firstLineChars="200"/>
        <w:rPr>
          <w:rFonts w:hint="default" w:ascii="仿宋_GB2312" w:eastAsia="仿宋_GB2312"/>
          <w:b w:val="0"/>
          <w:sz w:val="32"/>
          <w:szCs w:val="32"/>
          <w:lang w:val="en-US" w:eastAsia="zh-CN"/>
        </w:rPr>
      </w:pPr>
      <w:r>
        <w:rPr>
          <w:rFonts w:ascii="仿宋_GB2312" w:eastAsia="仿宋_GB2312"/>
          <w:b w:val="0"/>
          <w:sz w:val="32"/>
          <w:szCs w:val="32"/>
        </w:rPr>
        <w:t>9、农林水支出（类）农业农村（款）对高校毕业生到基层任职补助（项）：支出决算数为1.00万元，比上年决算增加1.00万元，增长100.00%，主要原因是：</w:t>
      </w:r>
      <w:r>
        <w:rPr>
          <w:rFonts w:hint="eastAsia" w:ascii="仿宋_GB2312" w:eastAsia="仿宋_GB2312"/>
          <w:b w:val="0"/>
          <w:sz w:val="32"/>
          <w:szCs w:val="32"/>
          <w:lang w:val="en-US" w:eastAsia="zh-CN"/>
        </w:rPr>
        <w:t>本年各社区办公经费较上年增加。</w:t>
      </w:r>
    </w:p>
    <w:p w14:paraId="51EB9D6B">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10、农林水支出（类）农村综合改革（款）对村级公益事业建设的补助（项）：支出决算数为260.28万元，比上年决算增加119.52万元，增长84.91%，主要原因是：</w:t>
      </w:r>
      <w:r>
        <w:rPr>
          <w:rFonts w:hint="eastAsia" w:ascii="仿宋_GB2312" w:eastAsia="仿宋_GB2312"/>
          <w:b w:val="0"/>
          <w:sz w:val="32"/>
          <w:szCs w:val="32"/>
          <w:lang w:val="en-US" w:eastAsia="zh-CN"/>
        </w:rPr>
        <w:t>本年单位增加农村公益事业修缮项目、雷家塘农村公益事业项目等项目经费。</w:t>
      </w:r>
    </w:p>
    <w:p w14:paraId="7D5AF2F5">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11、交通运输支出（类）邮政业支出（款）邮政普遍服务与特殊服务（项）：支出决算数为0.12万元，比上年决算减少0.12万元，下降50.00%，主要原因是：</w:t>
      </w:r>
      <w:r>
        <w:rPr>
          <w:rFonts w:hint="eastAsia" w:ascii="仿宋_GB2312" w:eastAsia="仿宋_GB2312"/>
          <w:b w:val="0"/>
          <w:sz w:val="32"/>
          <w:szCs w:val="32"/>
          <w:lang w:val="en-US" w:eastAsia="zh-CN"/>
        </w:rPr>
        <w:t>本年单位减少新疆地方农牧区投递员专项补贴资金。</w:t>
      </w:r>
    </w:p>
    <w:p w14:paraId="007D497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3A09B6B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1,649.80万元，其中：人员经费1,438.36万元，包括：基本工资、津贴补贴、奖金、绩效工资、机关事业单位基本养老保险缴费、职业年金缴费、职工基本医疗保险缴费、公务员医疗补助缴费、其他社会保障缴费、住房公积金、其他工资福利支出和生活补助。</w:t>
      </w:r>
    </w:p>
    <w:p w14:paraId="1EECDF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公用经费211.43万元，包括：办公费、电费、取暖费、劳务费、工会经费、福利费、公务用车运行维护费、其他交通费用和其他商品和服务支出。</w:t>
      </w:r>
    </w:p>
    <w:p w14:paraId="31C7FC9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0D2F77E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750223D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5027FFA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4A870A1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45316D4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2024年度财政拨款“三公”经费支出13.35万元，比上年减少34.12万元，下降71.88%，主要原因是：</w:t>
      </w:r>
      <w:r>
        <w:rPr>
          <w:rFonts w:hint="eastAsia" w:ascii="仿宋_GB2312" w:eastAsia="仿宋_GB2312"/>
          <w:b w:val="0"/>
          <w:sz w:val="32"/>
          <w:szCs w:val="32"/>
          <w:lang w:eastAsia="zh-CN"/>
        </w:rPr>
        <w:t>减少车辆出行，车辆维修费、燃油费等较上年减少</w:t>
      </w:r>
      <w:r>
        <w:rPr>
          <w:rFonts w:ascii="仿宋_GB2312" w:eastAsia="仿宋_GB2312"/>
          <w:b w:val="0"/>
          <w:sz w:val="32"/>
          <w:szCs w:val="32"/>
        </w:rPr>
        <w:t>。其中：因公出国（境）费支出0.00万元,占0.00%，与上年相比无变化，主要原因是：</w:t>
      </w:r>
      <w:bookmarkStart w:id="1" w:name="_Hlk207114081"/>
      <w:r>
        <w:rPr>
          <w:rFonts w:hint="eastAsia" w:ascii="仿宋_GB2312" w:eastAsia="仿宋_GB2312"/>
          <w:b w:val="0"/>
          <w:sz w:val="32"/>
          <w:szCs w:val="32"/>
          <w:lang w:eastAsia="zh-CN"/>
        </w:rPr>
        <w:t>我单位上年度与本年度均无</w:t>
      </w:r>
      <w:bookmarkEnd w:id="1"/>
      <w:r>
        <w:rPr>
          <w:rFonts w:hint="eastAsia" w:ascii="仿宋_GB2312" w:eastAsia="仿宋_GB2312"/>
          <w:b w:val="0"/>
          <w:sz w:val="32"/>
          <w:szCs w:val="32"/>
          <w:lang w:eastAsia="zh-CN"/>
        </w:rPr>
        <w:t>此项经费</w:t>
      </w:r>
      <w:r>
        <w:rPr>
          <w:rFonts w:ascii="仿宋_GB2312" w:eastAsia="仿宋_GB2312"/>
          <w:b w:val="0"/>
          <w:sz w:val="32"/>
          <w:szCs w:val="32"/>
        </w:rPr>
        <w:t>；公务用车购置及运行维护费支出13.35万元，占100.00%，比上年减少34.12万元，下降71.88%，主要原因是：</w:t>
      </w:r>
      <w:r>
        <w:rPr>
          <w:rFonts w:hint="eastAsia" w:ascii="仿宋_GB2312" w:eastAsia="仿宋_GB2312"/>
          <w:b w:val="0"/>
          <w:sz w:val="32"/>
          <w:szCs w:val="32"/>
          <w:lang w:eastAsia="zh-CN"/>
        </w:rPr>
        <w:t>减少车辆出行，车辆维修费、燃油费等较上年减少</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w:t>
      </w:r>
    </w:p>
    <w:p w14:paraId="5E6722BF">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573D2E7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单位</w:t>
      </w:r>
      <w:r>
        <w:rPr>
          <w:rFonts w:ascii="仿宋_GB2312" w:eastAsia="仿宋_GB2312"/>
          <w:b w:val="0"/>
          <w:sz w:val="32"/>
          <w:szCs w:val="32"/>
        </w:rPr>
        <w:t>无因公出国（境）费。单位全年安排的因公出国（境）团组0个，因公出国（境）0人次。</w:t>
      </w:r>
    </w:p>
    <w:p w14:paraId="1E2AA0C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公务用车购置及运行维护费13.35万元，其中：公务用车购置费0.00万元，公务用车运行维护费13.35万元。公务用车运行维护费开支内容包括</w:t>
      </w:r>
      <w:r>
        <w:rPr>
          <w:rFonts w:hint="eastAsia" w:ascii="仿宋_GB2312" w:eastAsia="仿宋_GB2312"/>
          <w:b w:val="0"/>
          <w:sz w:val="32"/>
          <w:szCs w:val="32"/>
          <w:lang w:eastAsia="zh-CN"/>
        </w:rPr>
        <w:t>公务用车维修维护费、燃油费、保险费、过路费等</w:t>
      </w:r>
      <w:r>
        <w:rPr>
          <w:rFonts w:ascii="仿宋_GB2312" w:eastAsia="仿宋_GB2312"/>
          <w:b w:val="0"/>
          <w:sz w:val="32"/>
          <w:szCs w:val="32"/>
        </w:rPr>
        <w:t>。公务用车购置数0辆，公务用车保有量24辆。国有资产占用情况中固定资产车辆24辆，与公务用车保有量差异原因是：</w:t>
      </w:r>
      <w:r>
        <w:rPr>
          <w:rFonts w:hint="eastAsia" w:ascii="仿宋_GB2312" w:eastAsia="仿宋_GB2312"/>
          <w:b w:val="0"/>
          <w:sz w:val="32"/>
          <w:szCs w:val="32"/>
          <w:lang w:eastAsia="zh-CN"/>
        </w:rPr>
        <w:t>本单位固定资产车辆与公务用车保有量一致无差异</w:t>
      </w:r>
      <w:r>
        <w:rPr>
          <w:rFonts w:ascii="仿宋_GB2312" w:eastAsia="仿宋_GB2312"/>
          <w:b w:val="0"/>
          <w:sz w:val="32"/>
          <w:szCs w:val="32"/>
        </w:rPr>
        <w:t>。</w:t>
      </w:r>
    </w:p>
    <w:p w14:paraId="3636F62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单位</w:t>
      </w:r>
      <w:r>
        <w:rPr>
          <w:rFonts w:ascii="仿宋_GB2312" w:eastAsia="仿宋_GB2312"/>
          <w:b w:val="0"/>
          <w:sz w:val="32"/>
          <w:szCs w:val="32"/>
        </w:rPr>
        <w:t>无公务接待费。单位全年安排的国内公务接待0批次，0人次。</w:t>
      </w:r>
    </w:p>
    <w:p w14:paraId="74C602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与全年预算相比，财政拨款“三公”经费支出全年预算数13.35万元，决算数13.35万元，预决算差异率0.00%，主要原因是：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；公务用车运行维护费全年预算数13.35万元，决算数13.35万元，预决算差异率0.00%，主要原因是：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089F017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7E5C8B3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4A813A73">
      <w:pPr>
        <w:widowControl/>
        <w:spacing w:before="0" w:beforeLines="0" w:beforeAutospacing="0" w:after="0" w:afterLines="0" w:afterAutospacing="0" w:line="240" w:lineRule="auto"/>
        <w:ind w:firstLine="640" w:firstLineChars="200"/>
        <w:jc w:val="both"/>
        <w:rPr>
          <w:rFonts w:hint="default" w:ascii="仿宋_GB2312" w:eastAsia="仿宋_GB2312"/>
          <w:sz w:val="32"/>
          <w:szCs w:val="32"/>
          <w:lang w:val="en-US" w:eastAsia="zh-CN"/>
        </w:rPr>
      </w:pPr>
      <w:r>
        <w:rPr>
          <w:rFonts w:ascii="仿宋_GB2312" w:eastAsia="仿宋_GB2312"/>
          <w:b w:val="0"/>
          <w:sz w:val="32"/>
          <w:szCs w:val="32"/>
        </w:rPr>
        <w:t>2024年度乌鲁木齐市米东区羊毛工镇政府单位（行政单位和参照公务员法管理事业单位）机关运行经费支出211.43万元，比上年减少114.47万元，下降35.12%，主要原因是：</w:t>
      </w:r>
      <w:r>
        <w:rPr>
          <w:rFonts w:hint="eastAsia" w:ascii="仿宋_GB2312" w:eastAsia="仿宋_GB2312"/>
          <w:b w:val="0"/>
          <w:sz w:val="32"/>
          <w:szCs w:val="32"/>
          <w:lang w:val="en-US" w:eastAsia="zh-CN"/>
        </w:rPr>
        <w:t>我单位本年</w:t>
      </w:r>
      <w:r>
        <w:rPr>
          <w:rFonts w:ascii="仿宋_GB2312" w:eastAsia="仿宋_GB2312"/>
          <w:b w:val="0"/>
          <w:sz w:val="32"/>
          <w:szCs w:val="32"/>
        </w:rPr>
        <w:t>电费、取暖费、劳务费</w:t>
      </w:r>
      <w:r>
        <w:rPr>
          <w:rFonts w:hint="eastAsia" w:ascii="仿宋_GB2312" w:eastAsia="仿宋_GB2312"/>
          <w:b w:val="0"/>
          <w:sz w:val="32"/>
          <w:szCs w:val="32"/>
          <w:lang w:val="en-US" w:eastAsia="zh-CN"/>
        </w:rPr>
        <w:t>较上年减少。</w:t>
      </w:r>
    </w:p>
    <w:p w14:paraId="6C6B831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25BC181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2024年度政府采购支出总额4.62万元，其中：政府采购货物支出3.36万元、政府采购工程支出0.00</w:t>
      </w:r>
      <w:bookmarkStart w:id="3" w:name="_GoBack"/>
      <w:bookmarkEnd w:id="3"/>
      <w:r>
        <w:rPr>
          <w:rFonts w:ascii="仿宋_GB2312" w:eastAsia="仿宋_GB2312"/>
          <w:b w:val="0"/>
          <w:sz w:val="32"/>
          <w:szCs w:val="32"/>
        </w:rPr>
        <w:t>万元、政府采购服务支出1.26万元。</w:t>
      </w:r>
    </w:p>
    <w:p w14:paraId="5004A3F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授予中小企业合同金额4.62万元，占政府采购支出总额的100.00%，其中：授予小微企业合同金额4.62万元，占政府采购支出总额的100.00%。</w:t>
      </w:r>
    </w:p>
    <w:p w14:paraId="5DA1BEA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7DF17D5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3,336.36平方米，价值316.00万元。车辆24辆，价值425.04万元，其中：副部（省）级及以上领导用车0辆、主要负责人用车0辆、机要通信用车0辆、应急保障用车0辆、执法执勤用车1辆、特种专业技术用车3辆、离退休干部服务用车0辆、其他用车20辆，其他用车主要是：</w:t>
      </w:r>
      <w:r>
        <w:rPr>
          <w:rFonts w:hint="eastAsia" w:ascii="仿宋_GB2312" w:eastAsia="仿宋_GB2312"/>
          <w:b w:val="0"/>
          <w:sz w:val="32"/>
          <w:szCs w:val="32"/>
          <w:lang w:val="en-US" w:eastAsia="zh-CN"/>
        </w:rPr>
        <w:t>业务用车</w:t>
      </w:r>
      <w:r>
        <w:rPr>
          <w:rFonts w:ascii="仿宋_GB2312" w:eastAsia="仿宋_GB2312"/>
          <w:b w:val="0"/>
          <w:sz w:val="32"/>
          <w:szCs w:val="32"/>
        </w:rPr>
        <w:t>;单价100万元（含）以上设备（不含车辆）0台（套）。</w:t>
      </w:r>
    </w:p>
    <w:p w14:paraId="77656F7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71B20BBA">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w:t>
      </w:r>
      <w:r>
        <w:rPr>
          <w:rFonts w:hint="eastAsia" w:ascii="仿宋_GB2312" w:eastAsia="仿宋_GB2312"/>
          <w:b w:val="0"/>
          <w:sz w:val="32"/>
          <w:szCs w:val="32"/>
          <w:lang w:eastAsia="zh-CN"/>
        </w:rPr>
        <w:t>2,016.21</w:t>
      </w:r>
      <w:r>
        <w:rPr>
          <w:rFonts w:ascii="仿宋_GB2312" w:eastAsia="仿宋_GB2312"/>
          <w:b w:val="0"/>
          <w:sz w:val="32"/>
          <w:szCs w:val="32"/>
        </w:rPr>
        <w:t>万元，实际执行总额</w:t>
      </w:r>
      <w:r>
        <w:rPr>
          <w:rFonts w:hint="eastAsia" w:ascii="仿宋_GB2312" w:eastAsia="仿宋_GB2312"/>
          <w:b w:val="0"/>
          <w:sz w:val="32"/>
          <w:szCs w:val="32"/>
          <w:lang w:eastAsia="zh-CN"/>
        </w:rPr>
        <w:t>2,015.21</w:t>
      </w:r>
      <w:r>
        <w:rPr>
          <w:rFonts w:ascii="仿宋_GB2312" w:eastAsia="仿宋_GB2312"/>
          <w:b w:val="0"/>
          <w:sz w:val="32"/>
          <w:szCs w:val="32"/>
        </w:rPr>
        <w:t>万元；预算绩效评价项目</w:t>
      </w:r>
      <w:r>
        <w:rPr>
          <w:rFonts w:hint="eastAsia" w:ascii="仿宋_GB2312" w:eastAsia="仿宋_GB2312"/>
          <w:b w:val="0"/>
          <w:sz w:val="32"/>
          <w:szCs w:val="32"/>
          <w:lang w:val="en-US" w:eastAsia="zh-CN"/>
        </w:rPr>
        <w:t>4</w:t>
      </w:r>
      <w:r>
        <w:rPr>
          <w:rFonts w:ascii="仿宋_GB2312" w:eastAsia="仿宋_GB2312"/>
          <w:b w:val="0"/>
          <w:sz w:val="32"/>
          <w:szCs w:val="32"/>
        </w:rPr>
        <w:t>个，全年预算数</w:t>
      </w:r>
      <w:r>
        <w:rPr>
          <w:rFonts w:hint="eastAsia" w:ascii="仿宋_GB2312" w:eastAsia="仿宋_GB2312"/>
          <w:b w:val="0"/>
          <w:sz w:val="32"/>
          <w:szCs w:val="32"/>
        </w:rPr>
        <w:t>329.91</w:t>
      </w:r>
      <w:r>
        <w:rPr>
          <w:rFonts w:ascii="仿宋_GB2312" w:eastAsia="仿宋_GB2312"/>
          <w:b w:val="0"/>
          <w:sz w:val="32"/>
          <w:szCs w:val="32"/>
        </w:rPr>
        <w:t>万元，全年执行数</w:t>
      </w:r>
      <w:r>
        <w:rPr>
          <w:rFonts w:hint="eastAsia" w:ascii="仿宋_GB2312" w:eastAsia="仿宋_GB2312"/>
          <w:b w:val="0"/>
          <w:sz w:val="32"/>
          <w:szCs w:val="32"/>
        </w:rPr>
        <w:t>329.91</w:t>
      </w:r>
      <w:r>
        <w:rPr>
          <w:rFonts w:ascii="仿宋_GB2312" w:eastAsia="仿宋_GB2312"/>
          <w:b w:val="0"/>
          <w:sz w:val="32"/>
          <w:szCs w:val="32"/>
        </w:rPr>
        <w:t>万元。</w:t>
      </w:r>
      <w:r>
        <w:rPr>
          <w:rFonts w:hint="eastAsia" w:ascii="仿宋_GB2312" w:eastAsia="仿宋_GB2312"/>
          <w:b w:val="0"/>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b w:val="0"/>
          <w:sz w:val="32"/>
          <w:szCs w:val="32"/>
        </w:rPr>
        <w:t>。具体附部门整体支出绩效自评表，项目支出绩效自评表和部门评价报告。</w:t>
      </w:r>
      <w:bookmarkStart w:id="2" w:name="_Hlk174962300"/>
    </w:p>
    <w:p w14:paraId="617665A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p w14:paraId="7C15FC5E">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A62A5C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6CB93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434707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乌鲁木齐市米东区羊毛工镇政府</w:t>
            </w:r>
          </w:p>
        </w:tc>
        <w:tc>
          <w:tcPr>
            <w:tcW w:w="284" w:type="dxa"/>
            <w:tcBorders>
              <w:top w:val="nil"/>
              <w:left w:val="nil"/>
              <w:bottom w:val="nil"/>
              <w:right w:val="nil"/>
            </w:tcBorders>
            <w:noWrap/>
            <w:vAlign w:val="center"/>
          </w:tcPr>
          <w:p w14:paraId="4DB275D7">
            <w:pPr>
              <w:widowControl/>
              <w:spacing w:after="0" w:line="240" w:lineRule="auto"/>
              <w:jc w:val="left"/>
              <w:rPr>
                <w:rFonts w:hint="eastAsia" w:ascii="宋体" w:hAnsi="宋体" w:eastAsia="宋体" w:cs="宋体"/>
                <w:b/>
                <w:bCs/>
                <w:kern w:val="0"/>
                <w:sz w:val="18"/>
                <w:szCs w:val="18"/>
                <w:lang w:eastAsia="zh-CN"/>
                <w14:ligatures w14:val="none"/>
              </w:rPr>
            </w:pPr>
          </w:p>
        </w:tc>
      </w:tr>
      <w:tr w14:paraId="3F1DE3F9">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1790B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312A363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215E961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26EF9BF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3E4502B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259F7B3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76B2DFE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7254AA4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051B2611">
            <w:pPr>
              <w:widowControl/>
              <w:spacing w:after="0" w:line="240" w:lineRule="auto"/>
              <w:jc w:val="center"/>
              <w:rPr>
                <w:rFonts w:hint="eastAsia" w:ascii="宋体" w:hAnsi="宋体" w:eastAsia="宋体" w:cs="宋体"/>
                <w:b/>
                <w:bCs/>
                <w:kern w:val="0"/>
                <w:sz w:val="18"/>
                <w:szCs w:val="18"/>
                <w:lang w:eastAsia="zh-CN"/>
                <w14:ligatures w14:val="none"/>
              </w:rPr>
            </w:pPr>
          </w:p>
        </w:tc>
      </w:tr>
      <w:tr w14:paraId="3C4FAF2A">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483DC1">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7F577DE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24AC04D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4,156.85</w:t>
            </w:r>
          </w:p>
        </w:tc>
        <w:tc>
          <w:tcPr>
            <w:tcW w:w="1276" w:type="dxa"/>
            <w:tcBorders>
              <w:top w:val="nil"/>
              <w:left w:val="nil"/>
              <w:bottom w:val="single" w:color="auto" w:sz="4" w:space="0"/>
              <w:right w:val="single" w:color="auto" w:sz="4" w:space="0"/>
            </w:tcBorders>
            <w:vAlign w:val="center"/>
          </w:tcPr>
          <w:p w14:paraId="5F56C16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2,016.21</w:t>
            </w:r>
          </w:p>
        </w:tc>
        <w:tc>
          <w:tcPr>
            <w:tcW w:w="1701" w:type="dxa"/>
            <w:tcBorders>
              <w:top w:val="nil"/>
              <w:left w:val="nil"/>
              <w:bottom w:val="single" w:color="auto" w:sz="4" w:space="0"/>
              <w:right w:val="single" w:color="auto" w:sz="4" w:space="0"/>
            </w:tcBorders>
            <w:vAlign w:val="center"/>
          </w:tcPr>
          <w:p w14:paraId="24D675C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2,015.21</w:t>
            </w:r>
          </w:p>
        </w:tc>
        <w:tc>
          <w:tcPr>
            <w:tcW w:w="1134" w:type="dxa"/>
            <w:tcBorders>
              <w:top w:val="nil"/>
              <w:left w:val="nil"/>
              <w:bottom w:val="single" w:color="auto" w:sz="4" w:space="0"/>
              <w:right w:val="single" w:color="auto" w:sz="4" w:space="0"/>
            </w:tcBorders>
            <w:vAlign w:val="center"/>
          </w:tcPr>
          <w:p w14:paraId="010C7E6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571E3F6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99.95%</w:t>
            </w:r>
          </w:p>
        </w:tc>
        <w:tc>
          <w:tcPr>
            <w:tcW w:w="720" w:type="dxa"/>
            <w:tcBorders>
              <w:top w:val="nil"/>
              <w:left w:val="nil"/>
              <w:bottom w:val="single" w:color="auto" w:sz="4" w:space="0"/>
              <w:right w:val="single" w:color="auto" w:sz="4" w:space="0"/>
            </w:tcBorders>
            <w:vAlign w:val="center"/>
          </w:tcPr>
          <w:p w14:paraId="0EECABA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w:t>
            </w:r>
          </w:p>
        </w:tc>
        <w:tc>
          <w:tcPr>
            <w:tcW w:w="284" w:type="dxa"/>
            <w:tcBorders>
              <w:top w:val="nil"/>
              <w:left w:val="nil"/>
              <w:bottom w:val="nil"/>
              <w:right w:val="nil"/>
            </w:tcBorders>
            <w:noWrap/>
            <w:vAlign w:val="center"/>
          </w:tcPr>
          <w:p w14:paraId="1F09215E">
            <w:pPr>
              <w:widowControl/>
              <w:spacing w:after="0" w:line="240" w:lineRule="auto"/>
              <w:jc w:val="center"/>
              <w:rPr>
                <w:rFonts w:hint="eastAsia" w:ascii="宋体" w:hAnsi="宋体" w:eastAsia="宋体" w:cs="宋体"/>
                <w:b/>
                <w:bCs/>
                <w:kern w:val="0"/>
                <w:sz w:val="18"/>
                <w:szCs w:val="18"/>
                <w:lang w:eastAsia="zh-CN"/>
                <w14:ligatures w14:val="none"/>
              </w:rPr>
            </w:pPr>
          </w:p>
        </w:tc>
      </w:tr>
      <w:tr w14:paraId="3CD1E582">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A784B9">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4ED50DB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6AF1680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200.00</w:t>
            </w:r>
          </w:p>
        </w:tc>
        <w:tc>
          <w:tcPr>
            <w:tcW w:w="1276" w:type="dxa"/>
            <w:tcBorders>
              <w:top w:val="nil"/>
              <w:left w:val="nil"/>
              <w:bottom w:val="single" w:color="auto" w:sz="4" w:space="0"/>
              <w:right w:val="single" w:color="auto" w:sz="4" w:space="0"/>
            </w:tcBorders>
            <w:vAlign w:val="center"/>
          </w:tcPr>
          <w:p w14:paraId="5CFADB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198.58</w:t>
            </w:r>
          </w:p>
        </w:tc>
        <w:tc>
          <w:tcPr>
            <w:tcW w:w="1701" w:type="dxa"/>
            <w:tcBorders>
              <w:top w:val="nil"/>
              <w:left w:val="nil"/>
              <w:bottom w:val="single" w:color="auto" w:sz="4" w:space="0"/>
              <w:right w:val="single" w:color="auto" w:sz="4" w:space="0"/>
            </w:tcBorders>
            <w:vAlign w:val="center"/>
          </w:tcPr>
          <w:p w14:paraId="5415213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198.58</w:t>
            </w:r>
          </w:p>
        </w:tc>
        <w:tc>
          <w:tcPr>
            <w:tcW w:w="1134" w:type="dxa"/>
            <w:tcBorders>
              <w:top w:val="nil"/>
              <w:left w:val="nil"/>
              <w:bottom w:val="single" w:color="auto" w:sz="4" w:space="0"/>
              <w:right w:val="single" w:color="auto" w:sz="4" w:space="0"/>
            </w:tcBorders>
            <w:vAlign w:val="center"/>
          </w:tcPr>
          <w:p w14:paraId="4E99927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7A26FF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CDCC6F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18059E3E">
            <w:pPr>
              <w:widowControl/>
              <w:spacing w:after="0" w:line="240" w:lineRule="auto"/>
              <w:jc w:val="center"/>
              <w:rPr>
                <w:rFonts w:hint="eastAsia" w:ascii="宋体" w:hAnsi="宋体" w:eastAsia="宋体" w:cs="宋体"/>
                <w:kern w:val="0"/>
                <w:sz w:val="18"/>
                <w:szCs w:val="18"/>
                <w:lang w:eastAsia="zh-CN"/>
                <w14:ligatures w14:val="none"/>
              </w:rPr>
            </w:pPr>
          </w:p>
        </w:tc>
      </w:tr>
      <w:tr w14:paraId="036B3C34">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17F7BB">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449F0C6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2BD32CC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3,815.22</w:t>
            </w:r>
          </w:p>
        </w:tc>
        <w:tc>
          <w:tcPr>
            <w:tcW w:w="1276" w:type="dxa"/>
            <w:tcBorders>
              <w:top w:val="nil"/>
              <w:left w:val="nil"/>
              <w:bottom w:val="single" w:color="auto" w:sz="4" w:space="0"/>
              <w:right w:val="single" w:color="auto" w:sz="4" w:space="0"/>
            </w:tcBorders>
            <w:vAlign w:val="center"/>
          </w:tcPr>
          <w:p w14:paraId="56F9934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1,686.30</w:t>
            </w:r>
          </w:p>
        </w:tc>
        <w:tc>
          <w:tcPr>
            <w:tcW w:w="1701" w:type="dxa"/>
            <w:tcBorders>
              <w:top w:val="nil"/>
              <w:left w:val="nil"/>
              <w:bottom w:val="single" w:color="auto" w:sz="4" w:space="0"/>
              <w:right w:val="single" w:color="auto" w:sz="4" w:space="0"/>
            </w:tcBorders>
            <w:vAlign w:val="center"/>
          </w:tcPr>
          <w:p w14:paraId="36AA928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1,685.30</w:t>
            </w:r>
          </w:p>
        </w:tc>
        <w:tc>
          <w:tcPr>
            <w:tcW w:w="1134" w:type="dxa"/>
            <w:tcBorders>
              <w:top w:val="nil"/>
              <w:left w:val="nil"/>
              <w:bottom w:val="single" w:color="auto" w:sz="4" w:space="0"/>
              <w:right w:val="single" w:color="auto" w:sz="4" w:space="0"/>
            </w:tcBorders>
            <w:vAlign w:val="center"/>
          </w:tcPr>
          <w:p w14:paraId="6383D23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4B57E5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534C0A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2D3E9BD4">
            <w:pPr>
              <w:widowControl/>
              <w:spacing w:after="0" w:line="240" w:lineRule="auto"/>
              <w:jc w:val="center"/>
              <w:rPr>
                <w:rFonts w:hint="eastAsia" w:ascii="宋体" w:hAnsi="宋体" w:eastAsia="宋体" w:cs="宋体"/>
                <w:kern w:val="0"/>
                <w:sz w:val="18"/>
                <w:szCs w:val="18"/>
                <w:lang w:eastAsia="zh-CN"/>
                <w14:ligatures w14:val="none"/>
              </w:rPr>
            </w:pPr>
          </w:p>
        </w:tc>
      </w:tr>
      <w:tr w14:paraId="72FB07D9">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3BBAD9">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29B7E0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04B95C3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141.63</w:t>
            </w:r>
          </w:p>
        </w:tc>
        <w:tc>
          <w:tcPr>
            <w:tcW w:w="1276" w:type="dxa"/>
            <w:tcBorders>
              <w:top w:val="nil"/>
              <w:left w:val="nil"/>
              <w:bottom w:val="single" w:color="auto" w:sz="4" w:space="0"/>
              <w:right w:val="single" w:color="auto" w:sz="4" w:space="0"/>
            </w:tcBorders>
            <w:vAlign w:val="center"/>
          </w:tcPr>
          <w:p w14:paraId="1F65F16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131.33</w:t>
            </w:r>
          </w:p>
        </w:tc>
        <w:tc>
          <w:tcPr>
            <w:tcW w:w="1701" w:type="dxa"/>
            <w:tcBorders>
              <w:top w:val="nil"/>
              <w:left w:val="nil"/>
              <w:bottom w:val="single" w:color="auto" w:sz="4" w:space="0"/>
              <w:right w:val="single" w:color="auto" w:sz="4" w:space="0"/>
            </w:tcBorders>
            <w:vAlign w:val="center"/>
          </w:tcPr>
          <w:p w14:paraId="1A9E30F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131.33</w:t>
            </w:r>
          </w:p>
        </w:tc>
        <w:tc>
          <w:tcPr>
            <w:tcW w:w="1134" w:type="dxa"/>
            <w:tcBorders>
              <w:top w:val="nil"/>
              <w:left w:val="nil"/>
              <w:bottom w:val="single" w:color="auto" w:sz="4" w:space="0"/>
              <w:right w:val="single" w:color="auto" w:sz="4" w:space="0"/>
            </w:tcBorders>
            <w:vAlign w:val="center"/>
          </w:tcPr>
          <w:p w14:paraId="7FB1FE4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6A8CDFE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6368F8D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5E70191C">
            <w:pPr>
              <w:widowControl/>
              <w:spacing w:after="0" w:line="240" w:lineRule="auto"/>
              <w:jc w:val="center"/>
              <w:rPr>
                <w:rFonts w:hint="eastAsia" w:ascii="宋体" w:hAnsi="宋体" w:eastAsia="宋体" w:cs="宋体"/>
                <w:kern w:val="0"/>
                <w:sz w:val="18"/>
                <w:szCs w:val="18"/>
                <w:lang w:eastAsia="zh-CN"/>
                <w14:ligatures w14:val="none"/>
              </w:rPr>
            </w:pPr>
          </w:p>
        </w:tc>
      </w:tr>
      <w:tr w14:paraId="62A4D6F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B7C742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20FD93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813096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462D8A9F">
            <w:pPr>
              <w:widowControl/>
              <w:spacing w:after="0" w:line="240" w:lineRule="auto"/>
              <w:jc w:val="left"/>
              <w:rPr>
                <w:rFonts w:hint="eastAsia" w:ascii="宋体" w:hAnsi="宋体" w:eastAsia="宋体" w:cs="宋体"/>
                <w:b/>
                <w:bCs/>
                <w:kern w:val="0"/>
                <w:sz w:val="18"/>
                <w:szCs w:val="18"/>
                <w:lang w:eastAsia="zh-CN"/>
                <w14:ligatures w14:val="none"/>
              </w:rPr>
            </w:pPr>
          </w:p>
        </w:tc>
      </w:tr>
      <w:tr w14:paraId="5787093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7924CD">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4CB2981C">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主要职能：1.加强党的领导、巩固基层政权.乡党委要充分发挥统揽全局的核心领导作用，突出维护稳定和经济发展职责，抓好党的路线、方针、政策的贯彻执行，深刻把握农村改革发展稳定大局；抓好基层党组织的思想、作风、廉政和组织建设，增强凝聚力和战斗力；抓好干部队伍建设，提高执政能力和水平；加强与群众的血肉联系，增强宗旨意识；加强对乡政府、群团组织的领导，巩固党在农村的执政地位。2.立足区域特色、推进经济发展.立足区域特色和经济社会发展实际，积极探索发展农村经济的有效形式，加快城市化进程，打造生态乡镇、城郊型乡镇。把经济工作的着力点放在营造良好发展环境、推动产业结构调整上来，提高经济发展的质量和水平。发展农民专业合作组织，落实强农惠农措施，加大典型扶持和示范引导力度，促进农村富余劳动力有序流动，尊重农民的生产经营自主权，不干预农民和企业的具体生产经营活动，增加农民收入。3.强化公共服务、着力改善民生加强农村基础设施建设和新型农村服务体系建设，推进“富民安居、富民兴牧”工程，抓好农田水利、农村道路和饮水安全等建设，全面推进农村人居环境改善。完善农村公共服务，为农牧民提供有效的科技、教育、文化、信息、卫生、医疗、劳动就业、社会保障、计划生育、应急管理、防灾减灾、农村低保、社会救助、社会治安等方面的服务，管好用好国家转移到农村的各种资金，为农村社会发展提供必要的保障，形成立体、多方位的服务“三农”体系，切实维护农牧民合法权益。4.加强社会管理、维护农村稳定创新工作机制，推行政务公开，拓宽服务渠道，改进服务方式。进一步承接好与群众生活息息相关的公共服务管理职能等经济社会管理工作。建立健全便民服务体系，积极推行为民服务全程代理制，通过“一站式”服务、办事代理等形式集中受理公共服务事项，方便群众办事。推进依法行政，严格依法履行职责。健全农村利益协调和矛盾纠纷调处机制，综合发挥人民调解、行政调解和司法调解的作用，及时化解农村各种利益矛盾和纠纷，妥善处理突发性、群体性事件，保障人民生命财产安全，确保农村社会稳定。5.推进基层民主、促进农村和谐要加强农村基层组织和党员干部队伍建设，改进思想观念和工作作风，提高执政能力和服务能力。完善各项管理制度，建立健全科学的政绩评价标准和考核体系。发展基层民主，建立民主决策、科学决策的程序和机制。依法指导村民自治，推动农村社区建设，促进社会组织健康发展，增强社会自治功能，促进人与人、人与自然、人与社会的和谐发展。主要任务（一）坚持党建引领，确保社会稳定。（二）建设标准化水稻种植基地、蔬菜示范基地。（三）规划建设一南一北两个农副产品加工园区。（四）建设完整的产业链，发展农旅产业。</w:t>
            </w:r>
          </w:p>
        </w:tc>
        <w:tc>
          <w:tcPr>
            <w:tcW w:w="4547" w:type="dxa"/>
            <w:gridSpan w:val="4"/>
            <w:tcBorders>
              <w:top w:val="single" w:color="auto" w:sz="4" w:space="0"/>
              <w:left w:val="nil"/>
              <w:bottom w:val="single" w:color="auto" w:sz="4" w:space="0"/>
              <w:right w:val="single" w:color="auto" w:sz="4" w:space="0"/>
            </w:tcBorders>
          </w:tcPr>
          <w:p w14:paraId="33448292">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大力实施乡村振兴战略，贯彻落实好党和国家在农村的各项方针政策和法律法规，做好农业、农村、农民工作。1.强基固本、凝心聚力，确保基层党建责任压实。提高政治站位，强化思想认识。锤炼党性修养，强化党纪教育。加强组织建设，提升党组织战斗力。2.警钟长鸣、警惕常在，确保社会大局和谐稳定。严格落实网格化服务管理工作。加强重点人员、重点场所、流动人口的服务与管理。人民调解赋能诉源治理。3.民族团结、宗教和睦，确保筑牢中华民族共同体意识。深入开展民族团结联谊活动。依法管理宗教活动和场所。把握舆论导向，严守意识形态阵地。4.安全第一、预防为主，确保群众生产生活有序。高度重视，组织措施到位。广泛宣传，提高防护意识。强化排查，加大整改力度。5.立足农业、促进融合，确保经济发展持续平稳。助力发展特色农业。推进人居环境改造提升。大力推进生态文明建设。6.改善民生、巩固发展，确保人民生活安居乐业。着力完善就业服务体系。持续提高社会保障水平。促进社会事业全面发展。7.风清气正、廉洁自律，确保政治生态良好洁净。强化思想引领。深入开展集中整治工作。推动政治监督常态化。完成主要任务：1.坚持党的领导，夯实基层政权。创新社会治理，维护农村稳定。2.建成米东区智慧育秧工厂示范区。3.建设蔬菜加工标准化厂房-干豇豆晾晒厂棚。4.打造水稻公园，绘制稻田画，开发水稻插秧、收割等农事体验活动，打造水稻产业休闲观光带。</w:t>
            </w:r>
          </w:p>
        </w:tc>
        <w:tc>
          <w:tcPr>
            <w:tcW w:w="284" w:type="dxa"/>
            <w:tcBorders>
              <w:top w:val="nil"/>
              <w:left w:val="nil"/>
              <w:bottom w:val="nil"/>
              <w:right w:val="nil"/>
            </w:tcBorders>
            <w:noWrap/>
            <w:vAlign w:val="center"/>
          </w:tcPr>
          <w:p w14:paraId="0566325F">
            <w:pPr>
              <w:widowControl/>
              <w:spacing w:after="0" w:line="240" w:lineRule="auto"/>
              <w:jc w:val="left"/>
              <w:rPr>
                <w:rFonts w:hint="eastAsia" w:ascii="宋体" w:hAnsi="宋体" w:eastAsia="宋体" w:cs="宋体"/>
                <w:kern w:val="0"/>
                <w:sz w:val="18"/>
                <w:szCs w:val="18"/>
                <w:lang w:eastAsia="zh-CN"/>
                <w14:ligatures w14:val="none"/>
              </w:rPr>
            </w:pPr>
          </w:p>
        </w:tc>
      </w:tr>
      <w:tr w14:paraId="42E0330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483D9B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6D00A8A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7EBEFBE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606ED45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561DCF6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6BB7312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66081A7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65874FE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229AAA6F">
            <w:pPr>
              <w:widowControl/>
              <w:spacing w:after="0" w:line="240" w:lineRule="auto"/>
              <w:jc w:val="left"/>
              <w:rPr>
                <w:rFonts w:hint="eastAsia" w:ascii="宋体" w:hAnsi="宋体" w:eastAsia="宋体" w:cs="宋体"/>
                <w:b/>
                <w:bCs/>
                <w:kern w:val="0"/>
                <w:sz w:val="18"/>
                <w:szCs w:val="18"/>
                <w:lang w:eastAsia="zh-CN"/>
                <w14:ligatures w14:val="none"/>
              </w:rPr>
            </w:pPr>
          </w:p>
        </w:tc>
      </w:tr>
      <w:tr w14:paraId="7016682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0A59F4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1996579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7A9BFB8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建设米东区智慧育秧工厂示范区</w:t>
            </w:r>
          </w:p>
        </w:tc>
        <w:tc>
          <w:tcPr>
            <w:tcW w:w="1276" w:type="dxa"/>
            <w:tcBorders>
              <w:top w:val="nil"/>
              <w:left w:val="nil"/>
              <w:bottom w:val="single" w:color="auto" w:sz="4" w:space="0"/>
              <w:right w:val="single" w:color="auto" w:sz="4" w:space="0"/>
            </w:tcBorders>
            <w:noWrap/>
            <w:vAlign w:val="center"/>
          </w:tcPr>
          <w:p w14:paraId="5987F6E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&gt;=5000平方米</w:t>
            </w:r>
          </w:p>
        </w:tc>
        <w:tc>
          <w:tcPr>
            <w:tcW w:w="1701" w:type="dxa"/>
            <w:tcBorders>
              <w:top w:val="nil"/>
              <w:left w:val="nil"/>
              <w:bottom w:val="single" w:color="auto" w:sz="4" w:space="0"/>
              <w:right w:val="single" w:color="auto" w:sz="4" w:space="0"/>
            </w:tcBorders>
            <w:noWrap/>
            <w:vAlign w:val="center"/>
          </w:tcPr>
          <w:p w14:paraId="263AA876">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羊毛工镇2024年重点工作计划</w:t>
            </w:r>
          </w:p>
        </w:tc>
        <w:tc>
          <w:tcPr>
            <w:tcW w:w="1134" w:type="dxa"/>
            <w:tcBorders>
              <w:top w:val="nil"/>
              <w:left w:val="nil"/>
              <w:bottom w:val="single" w:color="auto" w:sz="4" w:space="0"/>
              <w:right w:val="single" w:color="auto" w:sz="4" w:space="0"/>
            </w:tcBorders>
            <w:noWrap/>
            <w:vAlign w:val="center"/>
          </w:tcPr>
          <w:p w14:paraId="1A80E5B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8908.8平方米</w:t>
            </w:r>
          </w:p>
        </w:tc>
        <w:tc>
          <w:tcPr>
            <w:tcW w:w="992" w:type="dxa"/>
            <w:tcBorders>
              <w:top w:val="nil"/>
              <w:left w:val="nil"/>
              <w:bottom w:val="single" w:color="auto" w:sz="4" w:space="0"/>
              <w:right w:val="single" w:color="auto" w:sz="4" w:space="0"/>
            </w:tcBorders>
            <w:noWrap/>
            <w:vAlign w:val="center"/>
          </w:tcPr>
          <w:p w14:paraId="08AD0E6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4979084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46B2073">
            <w:pPr>
              <w:widowControl/>
              <w:spacing w:after="0" w:line="240" w:lineRule="auto"/>
              <w:jc w:val="center"/>
              <w:rPr>
                <w:rFonts w:hint="eastAsia" w:ascii="宋体" w:hAnsi="宋体" w:eastAsia="宋体" w:cs="宋体"/>
                <w:kern w:val="0"/>
                <w:sz w:val="18"/>
                <w:szCs w:val="18"/>
                <w:lang w:eastAsia="zh-CN"/>
                <w14:ligatures w14:val="none"/>
              </w:rPr>
            </w:pPr>
          </w:p>
        </w:tc>
      </w:tr>
      <w:tr w14:paraId="6C89EB0A">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60F3E54">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16922909">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58CB85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打造水稻公园面积</w:t>
            </w:r>
          </w:p>
        </w:tc>
        <w:tc>
          <w:tcPr>
            <w:tcW w:w="1276" w:type="dxa"/>
            <w:tcBorders>
              <w:top w:val="nil"/>
              <w:left w:val="nil"/>
              <w:bottom w:val="single" w:color="auto" w:sz="4" w:space="0"/>
              <w:right w:val="single" w:color="auto" w:sz="4" w:space="0"/>
            </w:tcBorders>
            <w:noWrap/>
            <w:vAlign w:val="center"/>
          </w:tcPr>
          <w:p w14:paraId="2AED9CE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&gt;=200亩</w:t>
            </w:r>
          </w:p>
        </w:tc>
        <w:tc>
          <w:tcPr>
            <w:tcW w:w="1701" w:type="dxa"/>
            <w:tcBorders>
              <w:top w:val="nil"/>
              <w:left w:val="nil"/>
              <w:bottom w:val="single" w:color="auto" w:sz="4" w:space="0"/>
              <w:right w:val="single" w:color="auto" w:sz="4" w:space="0"/>
            </w:tcBorders>
            <w:noWrap/>
            <w:vAlign w:val="center"/>
          </w:tcPr>
          <w:p w14:paraId="2B05813C">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羊毛工镇2024年重点工作计划</w:t>
            </w:r>
          </w:p>
        </w:tc>
        <w:tc>
          <w:tcPr>
            <w:tcW w:w="1134" w:type="dxa"/>
            <w:tcBorders>
              <w:top w:val="nil"/>
              <w:left w:val="nil"/>
              <w:bottom w:val="single" w:color="auto" w:sz="4" w:space="0"/>
              <w:right w:val="single" w:color="auto" w:sz="4" w:space="0"/>
            </w:tcBorders>
            <w:noWrap/>
            <w:vAlign w:val="center"/>
          </w:tcPr>
          <w:p w14:paraId="27ABA62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220亩</w:t>
            </w:r>
          </w:p>
        </w:tc>
        <w:tc>
          <w:tcPr>
            <w:tcW w:w="992" w:type="dxa"/>
            <w:tcBorders>
              <w:top w:val="nil"/>
              <w:left w:val="nil"/>
              <w:bottom w:val="single" w:color="auto" w:sz="4" w:space="0"/>
              <w:right w:val="single" w:color="auto" w:sz="4" w:space="0"/>
            </w:tcBorders>
            <w:noWrap/>
            <w:vAlign w:val="center"/>
          </w:tcPr>
          <w:p w14:paraId="1279503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10C7D0B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57A526F">
            <w:pPr>
              <w:widowControl/>
              <w:spacing w:after="0" w:line="240" w:lineRule="auto"/>
              <w:jc w:val="center"/>
              <w:rPr>
                <w:rFonts w:hint="eastAsia" w:ascii="宋体" w:hAnsi="宋体" w:eastAsia="宋体" w:cs="宋体"/>
                <w:kern w:val="0"/>
                <w:sz w:val="18"/>
                <w:szCs w:val="18"/>
                <w:lang w:eastAsia="zh-CN"/>
                <w14:ligatures w14:val="none"/>
              </w:rPr>
            </w:pPr>
          </w:p>
        </w:tc>
      </w:tr>
      <w:tr w14:paraId="4474609B">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2919E2A">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43771961">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single" w:color="auto" w:sz="4" w:space="0"/>
              <w:left w:val="nil"/>
              <w:bottom w:val="single" w:color="auto" w:sz="4" w:space="0"/>
              <w:right w:val="single" w:color="auto" w:sz="4" w:space="0"/>
            </w:tcBorders>
            <w:noWrap/>
            <w:vAlign w:val="center"/>
          </w:tcPr>
          <w:p w14:paraId="69F0155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建设蔬菜加工标准化厂房</w:t>
            </w:r>
          </w:p>
        </w:tc>
        <w:tc>
          <w:tcPr>
            <w:tcW w:w="1276" w:type="dxa"/>
            <w:tcBorders>
              <w:top w:val="single" w:color="auto" w:sz="4" w:space="0"/>
              <w:left w:val="nil"/>
              <w:bottom w:val="single" w:color="auto" w:sz="4" w:space="0"/>
              <w:right w:val="single" w:color="auto" w:sz="4" w:space="0"/>
            </w:tcBorders>
            <w:noWrap/>
            <w:vAlign w:val="center"/>
          </w:tcPr>
          <w:p w14:paraId="76BE163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&gt;=2000平方米</w:t>
            </w:r>
          </w:p>
        </w:tc>
        <w:tc>
          <w:tcPr>
            <w:tcW w:w="1701" w:type="dxa"/>
            <w:tcBorders>
              <w:top w:val="single" w:color="auto" w:sz="4" w:space="0"/>
              <w:left w:val="nil"/>
              <w:bottom w:val="single" w:color="auto" w:sz="4" w:space="0"/>
              <w:right w:val="single" w:color="auto" w:sz="4" w:space="0"/>
            </w:tcBorders>
            <w:noWrap/>
            <w:vAlign w:val="center"/>
          </w:tcPr>
          <w:p w14:paraId="380E5B8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羊毛工镇2024年重点工作计划</w:t>
            </w:r>
          </w:p>
        </w:tc>
        <w:tc>
          <w:tcPr>
            <w:tcW w:w="1134" w:type="dxa"/>
            <w:tcBorders>
              <w:top w:val="single" w:color="auto" w:sz="4" w:space="0"/>
              <w:left w:val="nil"/>
              <w:bottom w:val="single" w:color="auto" w:sz="4" w:space="0"/>
              <w:right w:val="single" w:color="auto" w:sz="4" w:space="0"/>
            </w:tcBorders>
            <w:noWrap/>
            <w:vAlign w:val="center"/>
          </w:tcPr>
          <w:p w14:paraId="41E4C5A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600平方米</w:t>
            </w:r>
          </w:p>
        </w:tc>
        <w:tc>
          <w:tcPr>
            <w:tcW w:w="992" w:type="dxa"/>
            <w:tcBorders>
              <w:top w:val="single" w:color="auto" w:sz="4" w:space="0"/>
              <w:left w:val="nil"/>
              <w:bottom w:val="single" w:color="auto" w:sz="4" w:space="0"/>
              <w:right w:val="single" w:color="auto" w:sz="4" w:space="0"/>
            </w:tcBorders>
            <w:noWrap/>
            <w:vAlign w:val="center"/>
          </w:tcPr>
          <w:p w14:paraId="770CAB0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single" w:color="auto" w:sz="4" w:space="0"/>
              <w:left w:val="nil"/>
              <w:bottom w:val="single" w:color="auto" w:sz="4" w:space="0"/>
              <w:right w:val="single" w:color="auto" w:sz="4" w:space="0"/>
            </w:tcBorders>
            <w:noWrap/>
            <w:vAlign w:val="center"/>
          </w:tcPr>
          <w:p w14:paraId="6C41E4B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w:t>
            </w:r>
          </w:p>
        </w:tc>
        <w:tc>
          <w:tcPr>
            <w:tcW w:w="284" w:type="dxa"/>
            <w:tcBorders>
              <w:top w:val="nil"/>
              <w:left w:val="nil"/>
              <w:bottom w:val="nil"/>
              <w:right w:val="nil"/>
            </w:tcBorders>
            <w:noWrap/>
            <w:vAlign w:val="center"/>
          </w:tcPr>
          <w:p w14:paraId="6B0966F7">
            <w:pPr>
              <w:widowControl/>
              <w:spacing w:after="0" w:line="240" w:lineRule="auto"/>
              <w:jc w:val="center"/>
              <w:rPr>
                <w:rFonts w:hint="eastAsia" w:ascii="宋体" w:hAnsi="宋体" w:eastAsia="宋体" w:cs="宋体"/>
                <w:kern w:val="0"/>
                <w:sz w:val="18"/>
                <w:szCs w:val="18"/>
                <w:lang w:eastAsia="zh-CN"/>
                <w14:ligatures w14:val="none"/>
              </w:rPr>
            </w:pPr>
          </w:p>
        </w:tc>
      </w:tr>
      <w:tr w14:paraId="3B60E16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814FD6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1485317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2633F0E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78.99</w:t>
            </w:r>
          </w:p>
        </w:tc>
        <w:tc>
          <w:tcPr>
            <w:tcW w:w="284" w:type="dxa"/>
            <w:tcBorders>
              <w:top w:val="nil"/>
              <w:left w:val="nil"/>
              <w:bottom w:val="nil"/>
              <w:right w:val="nil"/>
            </w:tcBorders>
            <w:noWrap/>
            <w:vAlign w:val="center"/>
          </w:tcPr>
          <w:p w14:paraId="0334384E">
            <w:pPr>
              <w:widowControl/>
              <w:spacing w:after="0" w:line="240" w:lineRule="auto"/>
              <w:jc w:val="center"/>
              <w:rPr>
                <w:rFonts w:hint="eastAsia" w:ascii="宋体" w:hAnsi="宋体" w:eastAsia="宋体" w:cs="宋体"/>
                <w:kern w:val="0"/>
                <w:sz w:val="18"/>
                <w:szCs w:val="18"/>
                <w:lang w:eastAsia="zh-CN"/>
                <w14:ligatures w14:val="none"/>
              </w:rPr>
            </w:pPr>
          </w:p>
        </w:tc>
      </w:tr>
    </w:tbl>
    <w:p w14:paraId="6CA61069">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486FB022">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E7115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05A3B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F88B9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乌财农【2023】84号2024年中央农村改革转移支付</w:t>
            </w:r>
          </w:p>
        </w:tc>
      </w:tr>
      <w:tr w14:paraId="3B52503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FB62F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1FCA0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61821B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50D9B8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423B1EF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D74A1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71727D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2ECD9E1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0626BBB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9EAC2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F86EB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13A0B8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07C7108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4D4CD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79CD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BC134C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A67E8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200.00</w:t>
            </w:r>
          </w:p>
        </w:tc>
        <w:tc>
          <w:tcPr>
            <w:tcW w:w="1125" w:type="dxa"/>
            <w:tcBorders>
              <w:top w:val="nil"/>
              <w:left w:val="nil"/>
              <w:bottom w:val="single" w:color="auto" w:sz="4" w:space="0"/>
              <w:right w:val="single" w:color="auto" w:sz="4" w:space="0"/>
            </w:tcBorders>
            <w:noWrap/>
            <w:vAlign w:val="center"/>
          </w:tcPr>
          <w:p w14:paraId="7347A9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275" w:type="dxa"/>
            <w:gridSpan w:val="2"/>
            <w:tcBorders>
              <w:top w:val="single" w:color="auto" w:sz="4" w:space="0"/>
              <w:left w:val="nil"/>
              <w:bottom w:val="single" w:color="auto" w:sz="4" w:space="0"/>
              <w:right w:val="single" w:color="000000" w:sz="4" w:space="0"/>
            </w:tcBorders>
            <w:noWrap/>
            <w:vAlign w:val="center"/>
          </w:tcPr>
          <w:p w14:paraId="53F282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134" w:type="dxa"/>
            <w:gridSpan w:val="2"/>
            <w:tcBorders>
              <w:top w:val="single" w:color="auto" w:sz="4" w:space="0"/>
              <w:left w:val="nil"/>
              <w:bottom w:val="single" w:color="auto" w:sz="4" w:space="0"/>
              <w:right w:val="single" w:color="auto" w:sz="4" w:space="0"/>
            </w:tcBorders>
            <w:vAlign w:val="center"/>
          </w:tcPr>
          <w:p w14:paraId="29AFD7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327C89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00F739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3E7F7B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3B14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DCAA09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5953E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200.00</w:t>
            </w:r>
          </w:p>
        </w:tc>
        <w:tc>
          <w:tcPr>
            <w:tcW w:w="1125" w:type="dxa"/>
            <w:tcBorders>
              <w:top w:val="nil"/>
              <w:left w:val="nil"/>
              <w:bottom w:val="single" w:color="auto" w:sz="4" w:space="0"/>
              <w:right w:val="single" w:color="auto" w:sz="4" w:space="0"/>
            </w:tcBorders>
            <w:noWrap/>
            <w:vAlign w:val="center"/>
          </w:tcPr>
          <w:p w14:paraId="65B319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275" w:type="dxa"/>
            <w:gridSpan w:val="2"/>
            <w:tcBorders>
              <w:top w:val="single" w:color="auto" w:sz="4" w:space="0"/>
              <w:left w:val="nil"/>
              <w:bottom w:val="single" w:color="auto" w:sz="4" w:space="0"/>
              <w:right w:val="single" w:color="000000" w:sz="4" w:space="0"/>
            </w:tcBorders>
            <w:noWrap/>
            <w:vAlign w:val="center"/>
          </w:tcPr>
          <w:p w14:paraId="63852C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134" w:type="dxa"/>
            <w:gridSpan w:val="2"/>
            <w:tcBorders>
              <w:top w:val="single" w:color="auto" w:sz="4" w:space="0"/>
              <w:left w:val="nil"/>
              <w:bottom w:val="single" w:color="auto" w:sz="4" w:space="0"/>
              <w:right w:val="single" w:color="auto" w:sz="4" w:space="0"/>
            </w:tcBorders>
            <w:vAlign w:val="center"/>
          </w:tcPr>
          <w:p w14:paraId="2C0728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6E3604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8BA43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C7DF6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CD48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018BAF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F4A03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4EED67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8D8F9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6D5084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FBE0F5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15280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AAC113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79E12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69169B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6AA79A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CD207B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AD71A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4DD8390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该项目主要建设内容为村庄主要道路两侧绿化带绿植栽种以及4个村庄改造。该项目建成后，改善村容村貌和人居环境，全面提升全村村庄绿化水平，改善村庄环境质量，提升农民幸福指数。</w:t>
            </w:r>
          </w:p>
        </w:tc>
        <w:tc>
          <w:tcPr>
            <w:tcW w:w="4677" w:type="dxa"/>
            <w:gridSpan w:val="7"/>
            <w:tcBorders>
              <w:top w:val="single" w:color="auto" w:sz="4" w:space="0"/>
              <w:left w:val="nil"/>
              <w:bottom w:val="single" w:color="auto" w:sz="4" w:space="0"/>
              <w:right w:val="single" w:color="000000" w:sz="4" w:space="0"/>
            </w:tcBorders>
          </w:tcPr>
          <w:p w14:paraId="2E79093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该项目为农村公益事业项目，由公共设施、基础设施、休闲场地、绿化美化四部分组成。立足村情实际，因地制宜、突出重点、全面推进，通过村庄的基础设施的提升完善，有效的改善农村环境面貌,推进美丽乡村建设。共完成铺设村庄花砖路面5221.5平方米，硬化公共场地913平方米，村内地平整10800平方米，木质拱桥2座，公共场地混凝土砖硬化1904.5平方米，树池16个。有效提升农民生活品质，改善村容村貌，建成布局合理、设施配套、环境优美、生态良好的新农村，提升村民幸福感和获得感。</w:t>
            </w:r>
          </w:p>
        </w:tc>
      </w:tr>
      <w:tr w14:paraId="6C4AF12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CCA08E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031710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767622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9281AA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A54FFA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DFC46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C5196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634C36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180432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04A409E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1B2A3A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219AA5B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228872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FAC87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2FAA6E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6730ACA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2390D8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00E139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69338C">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58EAB19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4019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174954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068E48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C3418B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村庄铺设花砖路面面积</w:t>
            </w:r>
          </w:p>
        </w:tc>
        <w:tc>
          <w:tcPr>
            <w:tcW w:w="1125" w:type="dxa"/>
            <w:tcBorders>
              <w:top w:val="nil"/>
              <w:left w:val="nil"/>
              <w:bottom w:val="single" w:color="auto" w:sz="4" w:space="0"/>
              <w:right w:val="single" w:color="auto" w:sz="4" w:space="0"/>
            </w:tcBorders>
            <w:vAlign w:val="center"/>
          </w:tcPr>
          <w:p w14:paraId="77535D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=5221.5平方米</w:t>
            </w:r>
          </w:p>
        </w:tc>
        <w:tc>
          <w:tcPr>
            <w:tcW w:w="1229" w:type="dxa"/>
            <w:tcBorders>
              <w:top w:val="nil"/>
              <w:left w:val="nil"/>
              <w:bottom w:val="single" w:color="auto" w:sz="4" w:space="0"/>
              <w:right w:val="single" w:color="auto" w:sz="4" w:space="0"/>
            </w:tcBorders>
            <w:vAlign w:val="center"/>
          </w:tcPr>
          <w:p w14:paraId="1E5DFD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5221.5平方米</w:t>
            </w:r>
          </w:p>
        </w:tc>
        <w:tc>
          <w:tcPr>
            <w:tcW w:w="755" w:type="dxa"/>
            <w:gridSpan w:val="2"/>
            <w:tcBorders>
              <w:top w:val="single" w:color="auto" w:sz="4" w:space="0"/>
              <w:left w:val="nil"/>
              <w:bottom w:val="single" w:color="auto" w:sz="4" w:space="0"/>
              <w:right w:val="single" w:color="000000" w:sz="4" w:space="0"/>
            </w:tcBorders>
            <w:vAlign w:val="center"/>
          </w:tcPr>
          <w:p w14:paraId="34272F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595DA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F0EA2E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E5748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ADD6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C78517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9B18B6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65B553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村庄改造完成点位数</w:t>
            </w:r>
          </w:p>
        </w:tc>
        <w:tc>
          <w:tcPr>
            <w:tcW w:w="1125" w:type="dxa"/>
            <w:tcBorders>
              <w:top w:val="nil"/>
              <w:left w:val="nil"/>
              <w:bottom w:val="single" w:color="auto" w:sz="4" w:space="0"/>
              <w:right w:val="single" w:color="auto" w:sz="4" w:space="0"/>
            </w:tcBorders>
            <w:vAlign w:val="center"/>
          </w:tcPr>
          <w:p w14:paraId="35B10C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=4个</w:t>
            </w:r>
          </w:p>
        </w:tc>
        <w:tc>
          <w:tcPr>
            <w:tcW w:w="1229" w:type="dxa"/>
            <w:tcBorders>
              <w:top w:val="nil"/>
              <w:left w:val="nil"/>
              <w:bottom w:val="single" w:color="auto" w:sz="4" w:space="0"/>
              <w:right w:val="single" w:color="auto" w:sz="4" w:space="0"/>
            </w:tcBorders>
            <w:vAlign w:val="center"/>
          </w:tcPr>
          <w:p w14:paraId="6B7018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4个</w:t>
            </w:r>
          </w:p>
        </w:tc>
        <w:tc>
          <w:tcPr>
            <w:tcW w:w="755" w:type="dxa"/>
            <w:gridSpan w:val="2"/>
            <w:tcBorders>
              <w:top w:val="single" w:color="auto" w:sz="4" w:space="0"/>
              <w:left w:val="nil"/>
              <w:bottom w:val="single" w:color="auto" w:sz="4" w:space="0"/>
              <w:right w:val="single" w:color="000000" w:sz="4" w:space="0"/>
            </w:tcBorders>
            <w:vAlign w:val="center"/>
          </w:tcPr>
          <w:p w14:paraId="140FB4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B9ABB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23843D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4576B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54EC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ABAB8A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575E0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D08B2C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项目验收合格率（%）</w:t>
            </w:r>
          </w:p>
        </w:tc>
        <w:tc>
          <w:tcPr>
            <w:tcW w:w="1125" w:type="dxa"/>
            <w:tcBorders>
              <w:top w:val="nil"/>
              <w:left w:val="nil"/>
              <w:bottom w:val="single" w:color="auto" w:sz="4" w:space="0"/>
              <w:right w:val="single" w:color="auto" w:sz="4" w:space="0"/>
            </w:tcBorders>
            <w:vAlign w:val="center"/>
          </w:tcPr>
          <w:p w14:paraId="3F1443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3420C0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07C3D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7F199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8E812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设置项目指标较保守，项目验收合格率高。</w:t>
            </w:r>
          </w:p>
        </w:tc>
      </w:tr>
      <w:tr w14:paraId="54FAE6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7283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3EE8A8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C66E2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2192AA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1125" w:type="dxa"/>
            <w:tcBorders>
              <w:top w:val="nil"/>
              <w:left w:val="nil"/>
              <w:bottom w:val="single" w:color="auto" w:sz="4" w:space="0"/>
              <w:right w:val="single" w:color="auto" w:sz="4" w:space="0"/>
            </w:tcBorders>
            <w:vAlign w:val="center"/>
          </w:tcPr>
          <w:p w14:paraId="2BE6D9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7D5CC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83A0F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4969C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701C14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F4FDD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A47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0B4214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268662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C65314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项目预算控制率</w:t>
            </w:r>
          </w:p>
        </w:tc>
        <w:tc>
          <w:tcPr>
            <w:tcW w:w="1125" w:type="dxa"/>
            <w:tcBorders>
              <w:top w:val="nil"/>
              <w:left w:val="nil"/>
              <w:bottom w:val="single" w:color="auto" w:sz="4" w:space="0"/>
              <w:right w:val="single" w:color="auto" w:sz="4" w:space="0"/>
            </w:tcBorders>
            <w:vAlign w:val="center"/>
          </w:tcPr>
          <w:p w14:paraId="614AD4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&lt;=100%</w:t>
            </w:r>
          </w:p>
        </w:tc>
        <w:tc>
          <w:tcPr>
            <w:tcW w:w="1229" w:type="dxa"/>
            <w:tcBorders>
              <w:top w:val="nil"/>
              <w:left w:val="nil"/>
              <w:bottom w:val="single" w:color="auto" w:sz="4" w:space="0"/>
              <w:right w:val="single" w:color="auto" w:sz="4" w:space="0"/>
            </w:tcBorders>
            <w:vAlign w:val="center"/>
          </w:tcPr>
          <w:p w14:paraId="0A45D4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2307F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CB9AD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635F43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BDA96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5137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E931E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A3064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B46ADA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改善人居环境</w:t>
            </w:r>
          </w:p>
        </w:tc>
        <w:tc>
          <w:tcPr>
            <w:tcW w:w="1125" w:type="dxa"/>
            <w:tcBorders>
              <w:top w:val="nil"/>
              <w:left w:val="nil"/>
              <w:bottom w:val="single" w:color="auto" w:sz="4" w:space="0"/>
              <w:right w:val="single" w:color="auto" w:sz="4" w:space="0"/>
            </w:tcBorders>
            <w:vAlign w:val="center"/>
          </w:tcPr>
          <w:p w14:paraId="1331C4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有效改善</w:t>
            </w:r>
          </w:p>
        </w:tc>
        <w:tc>
          <w:tcPr>
            <w:tcW w:w="1229" w:type="dxa"/>
            <w:tcBorders>
              <w:top w:val="nil"/>
              <w:left w:val="nil"/>
              <w:bottom w:val="single" w:color="auto" w:sz="4" w:space="0"/>
              <w:right w:val="single" w:color="auto" w:sz="4" w:space="0"/>
            </w:tcBorders>
            <w:vAlign w:val="center"/>
          </w:tcPr>
          <w:p w14:paraId="507F62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3F76A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B601D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F74598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C8A44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ADFFC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F66A7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1CAFCE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59A251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受益群众满意度（%）</w:t>
            </w:r>
          </w:p>
        </w:tc>
        <w:tc>
          <w:tcPr>
            <w:tcW w:w="1125" w:type="dxa"/>
            <w:tcBorders>
              <w:top w:val="nil"/>
              <w:left w:val="nil"/>
              <w:bottom w:val="single" w:color="auto" w:sz="4" w:space="0"/>
              <w:right w:val="single" w:color="auto" w:sz="4" w:space="0"/>
            </w:tcBorders>
            <w:vAlign w:val="center"/>
          </w:tcPr>
          <w:p w14:paraId="588817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2B81BD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9F27A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B18F3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2473F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设置目标较保守，群众满意度高。</w:t>
            </w:r>
          </w:p>
        </w:tc>
      </w:tr>
      <w:tr w14:paraId="2545515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81BDA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438D77E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1C156B9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68C4382D">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1C5D163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bookmarkEnd w:id="2"/>
      <w:r>
        <w:rPr>
          <w:rFonts w:hint="eastAsia" w:ascii="宋体" w:hAnsi="宋体" w:eastAsia="宋体" w:cs="宋体"/>
          <w:b/>
          <w:bCs/>
          <w:kern w:val="0"/>
          <w:sz w:val="28"/>
          <w:szCs w:val="28"/>
          <w:lang w:eastAsia="zh-CN"/>
          <w14:ligatures w14:val="none"/>
        </w:rPr>
        <w:t>项目支出绩效自评表</w:t>
      </w:r>
    </w:p>
    <w:p w14:paraId="6295A03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28E10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4D7947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27792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乌财行[2024]137号2021年度下派选调生到村工作中央财政补助资金预算</w:t>
            </w:r>
          </w:p>
        </w:tc>
      </w:tr>
      <w:tr w14:paraId="2BC8AE1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D1DFA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6F03E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25AE93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7315D7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37CB98B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4C6D42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45BF3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7BECCA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6BDA223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14FA4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90B7F0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62FE84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76522DC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65A46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5803D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2EFE4A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D09AE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25" w:type="dxa"/>
            <w:tcBorders>
              <w:top w:val="nil"/>
              <w:left w:val="nil"/>
              <w:bottom w:val="single" w:color="auto" w:sz="4" w:space="0"/>
              <w:right w:val="single" w:color="auto" w:sz="4" w:space="0"/>
            </w:tcBorders>
            <w:noWrap/>
            <w:vAlign w:val="center"/>
          </w:tcPr>
          <w:p w14:paraId="7E9500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275" w:type="dxa"/>
            <w:gridSpan w:val="2"/>
            <w:tcBorders>
              <w:top w:val="single" w:color="auto" w:sz="4" w:space="0"/>
              <w:left w:val="nil"/>
              <w:bottom w:val="single" w:color="auto" w:sz="4" w:space="0"/>
              <w:right w:val="single" w:color="000000" w:sz="4" w:space="0"/>
            </w:tcBorders>
            <w:noWrap/>
            <w:vAlign w:val="center"/>
          </w:tcPr>
          <w:p w14:paraId="330F65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34" w:type="dxa"/>
            <w:gridSpan w:val="2"/>
            <w:tcBorders>
              <w:top w:val="single" w:color="auto" w:sz="4" w:space="0"/>
              <w:left w:val="nil"/>
              <w:bottom w:val="single" w:color="auto" w:sz="4" w:space="0"/>
              <w:right w:val="single" w:color="auto" w:sz="4" w:space="0"/>
            </w:tcBorders>
            <w:vAlign w:val="center"/>
          </w:tcPr>
          <w:p w14:paraId="04E4C2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7763B1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1D61E71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774CED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6BDD2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CC824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7746F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25" w:type="dxa"/>
            <w:tcBorders>
              <w:top w:val="nil"/>
              <w:left w:val="nil"/>
              <w:bottom w:val="single" w:color="auto" w:sz="4" w:space="0"/>
              <w:right w:val="single" w:color="auto" w:sz="4" w:space="0"/>
            </w:tcBorders>
            <w:noWrap/>
            <w:vAlign w:val="center"/>
          </w:tcPr>
          <w:p w14:paraId="4056B3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275" w:type="dxa"/>
            <w:gridSpan w:val="2"/>
            <w:tcBorders>
              <w:top w:val="single" w:color="auto" w:sz="4" w:space="0"/>
              <w:left w:val="nil"/>
              <w:bottom w:val="single" w:color="auto" w:sz="4" w:space="0"/>
              <w:right w:val="single" w:color="000000" w:sz="4" w:space="0"/>
            </w:tcBorders>
            <w:noWrap/>
            <w:vAlign w:val="center"/>
          </w:tcPr>
          <w:p w14:paraId="44F06D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34" w:type="dxa"/>
            <w:gridSpan w:val="2"/>
            <w:tcBorders>
              <w:top w:val="single" w:color="auto" w:sz="4" w:space="0"/>
              <w:left w:val="nil"/>
              <w:bottom w:val="single" w:color="auto" w:sz="4" w:space="0"/>
              <w:right w:val="single" w:color="auto" w:sz="4" w:space="0"/>
            </w:tcBorders>
            <w:vAlign w:val="center"/>
          </w:tcPr>
          <w:p w14:paraId="5D77F8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E9E2A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10AD3E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4F6A3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CE04F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1F0F06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ADC954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76B697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9BA2C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05FCFB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019E7F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C491B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D4A78D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DBC43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E8E8D9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184010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382C763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99308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1DF15A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用于2名下派选调生到村任职补助，有助于推进农村工作，提高基层整体文化水平和管理水平。</w:t>
            </w:r>
          </w:p>
        </w:tc>
        <w:tc>
          <w:tcPr>
            <w:tcW w:w="4677" w:type="dxa"/>
            <w:gridSpan w:val="7"/>
            <w:tcBorders>
              <w:top w:val="single" w:color="auto" w:sz="4" w:space="0"/>
              <w:left w:val="nil"/>
              <w:bottom w:val="single" w:color="auto" w:sz="4" w:space="0"/>
              <w:right w:val="single" w:color="000000" w:sz="4" w:space="0"/>
            </w:tcBorders>
          </w:tcPr>
          <w:p w14:paraId="5F71A93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财政拨付下派选调生到村任职工作补助资金，我镇共2人，共拨付2.8万元，已及时拨付至选调生所在村，补助资金包含一次性安置费、教育培训经费、国情调研经费、服务群众经费，有效保障下派选调生到村顺利开展农业、党建、综治和社会服务等各项工作，切实保障选调生开展村情调研和民生服务，引导和鼓励高校毕业生扎根基层、更好地服务群众。</w:t>
            </w:r>
          </w:p>
        </w:tc>
      </w:tr>
      <w:tr w14:paraId="0BE83E7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6D4B2F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384F110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9B57CB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0B9BF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991E6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F3BB9F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82413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479B9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4327C6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35F454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48BF7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1CF60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372F5F3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8ACF3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1156E2F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043FFFB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1EF92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2C855F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355FFA4">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B726B2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3F740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3D5613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464423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ED3EB3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选调生到村任职人数</w:t>
            </w:r>
          </w:p>
        </w:tc>
        <w:tc>
          <w:tcPr>
            <w:tcW w:w="1125" w:type="dxa"/>
            <w:tcBorders>
              <w:top w:val="nil"/>
              <w:left w:val="nil"/>
              <w:bottom w:val="single" w:color="auto" w:sz="4" w:space="0"/>
              <w:right w:val="single" w:color="auto" w:sz="4" w:space="0"/>
            </w:tcBorders>
            <w:vAlign w:val="center"/>
          </w:tcPr>
          <w:p w14:paraId="432043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=2人</w:t>
            </w:r>
          </w:p>
        </w:tc>
        <w:tc>
          <w:tcPr>
            <w:tcW w:w="1229" w:type="dxa"/>
            <w:tcBorders>
              <w:top w:val="nil"/>
              <w:left w:val="nil"/>
              <w:bottom w:val="single" w:color="auto" w:sz="4" w:space="0"/>
              <w:right w:val="single" w:color="auto" w:sz="4" w:space="0"/>
            </w:tcBorders>
            <w:vAlign w:val="center"/>
          </w:tcPr>
          <w:p w14:paraId="4A6CE96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2人</w:t>
            </w:r>
          </w:p>
        </w:tc>
        <w:tc>
          <w:tcPr>
            <w:tcW w:w="755" w:type="dxa"/>
            <w:gridSpan w:val="2"/>
            <w:tcBorders>
              <w:top w:val="single" w:color="auto" w:sz="4" w:space="0"/>
              <w:left w:val="nil"/>
              <w:bottom w:val="single" w:color="auto" w:sz="4" w:space="0"/>
              <w:right w:val="single" w:color="000000" w:sz="4" w:space="0"/>
            </w:tcBorders>
            <w:vAlign w:val="center"/>
          </w:tcPr>
          <w:p w14:paraId="7D0C24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DCFDF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BED64F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79017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A0A27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D8D7D3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2E47B5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7EBAE6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资金使用合规率</w:t>
            </w:r>
          </w:p>
        </w:tc>
        <w:tc>
          <w:tcPr>
            <w:tcW w:w="1125" w:type="dxa"/>
            <w:tcBorders>
              <w:top w:val="nil"/>
              <w:left w:val="nil"/>
              <w:bottom w:val="single" w:color="auto" w:sz="4" w:space="0"/>
              <w:right w:val="single" w:color="auto" w:sz="4" w:space="0"/>
            </w:tcBorders>
            <w:vAlign w:val="center"/>
          </w:tcPr>
          <w:p w14:paraId="410186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739451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C5447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B05DA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F3E3C2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B033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79A29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A02128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879E94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546F8E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资金拨付覆盖率</w:t>
            </w:r>
          </w:p>
        </w:tc>
        <w:tc>
          <w:tcPr>
            <w:tcW w:w="1125" w:type="dxa"/>
            <w:tcBorders>
              <w:top w:val="nil"/>
              <w:left w:val="nil"/>
              <w:bottom w:val="single" w:color="auto" w:sz="4" w:space="0"/>
              <w:right w:val="single" w:color="auto" w:sz="4" w:space="0"/>
            </w:tcBorders>
            <w:vAlign w:val="center"/>
          </w:tcPr>
          <w:p w14:paraId="3D62B2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4875D4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0A96C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D9711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CF521B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5A2BB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55484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57DC3D3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3B4DD4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3B944F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资金发放及时率（%）</w:t>
            </w:r>
          </w:p>
        </w:tc>
        <w:tc>
          <w:tcPr>
            <w:tcW w:w="1125" w:type="dxa"/>
            <w:tcBorders>
              <w:top w:val="nil"/>
              <w:left w:val="nil"/>
              <w:bottom w:val="single" w:color="auto" w:sz="4" w:space="0"/>
              <w:right w:val="single" w:color="auto" w:sz="4" w:space="0"/>
            </w:tcBorders>
            <w:vAlign w:val="center"/>
          </w:tcPr>
          <w:p w14:paraId="2086B1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034B8F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6DD15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E8604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283D63A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0CB2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419D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6BD60D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005561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A3D84F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保障基层组织工作正常运转</w:t>
            </w:r>
          </w:p>
        </w:tc>
        <w:tc>
          <w:tcPr>
            <w:tcW w:w="1125" w:type="dxa"/>
            <w:tcBorders>
              <w:top w:val="nil"/>
              <w:left w:val="nil"/>
              <w:bottom w:val="single" w:color="auto" w:sz="4" w:space="0"/>
              <w:right w:val="single" w:color="auto" w:sz="4" w:space="0"/>
            </w:tcBorders>
            <w:vAlign w:val="center"/>
          </w:tcPr>
          <w:p w14:paraId="79EA84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3CB6F2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614A1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49A625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240775B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DD95A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3362A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144DC3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0D7659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009DE6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发挥示范引领作用</w:t>
            </w:r>
          </w:p>
        </w:tc>
        <w:tc>
          <w:tcPr>
            <w:tcW w:w="1125" w:type="dxa"/>
            <w:tcBorders>
              <w:top w:val="nil"/>
              <w:left w:val="nil"/>
              <w:bottom w:val="single" w:color="auto" w:sz="4" w:space="0"/>
              <w:right w:val="single" w:color="auto" w:sz="4" w:space="0"/>
            </w:tcBorders>
            <w:vAlign w:val="center"/>
          </w:tcPr>
          <w:p w14:paraId="6F5051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有效发挥</w:t>
            </w:r>
          </w:p>
        </w:tc>
        <w:tc>
          <w:tcPr>
            <w:tcW w:w="1229" w:type="dxa"/>
            <w:tcBorders>
              <w:top w:val="nil"/>
              <w:left w:val="nil"/>
              <w:bottom w:val="single" w:color="auto" w:sz="4" w:space="0"/>
              <w:right w:val="single" w:color="auto" w:sz="4" w:space="0"/>
            </w:tcBorders>
            <w:vAlign w:val="center"/>
          </w:tcPr>
          <w:p w14:paraId="1CFF98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77225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332025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7BDD831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03E49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72C73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61A1F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2B2D2E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0678D3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乡镇公务员满意度</w:t>
            </w:r>
          </w:p>
        </w:tc>
        <w:tc>
          <w:tcPr>
            <w:tcW w:w="1125" w:type="dxa"/>
            <w:tcBorders>
              <w:top w:val="nil"/>
              <w:left w:val="nil"/>
              <w:bottom w:val="single" w:color="auto" w:sz="4" w:space="0"/>
              <w:right w:val="single" w:color="auto" w:sz="4" w:space="0"/>
            </w:tcBorders>
            <w:vAlign w:val="center"/>
          </w:tcPr>
          <w:p w14:paraId="4D432C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5072AA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DAF46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2971B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72791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设置满意度目标较保守，留有余地。对选调生满意度高于期望值。</w:t>
            </w:r>
          </w:p>
        </w:tc>
      </w:tr>
      <w:tr w14:paraId="44EDB1B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383121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0590190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948762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71AE38E7">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63E805A3">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0BE55CC">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0737A3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46CA1A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B4020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疫情防控支出乌财预{2023}15号（上年结转资金）</w:t>
            </w:r>
          </w:p>
        </w:tc>
      </w:tr>
      <w:tr w14:paraId="30F58D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3145F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5F287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44BB6B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50FF79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7A23217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2BFAE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741A96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4910002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5D419C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A47EC0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66645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275FBDC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2CF61E5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6729B6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8EDCE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F38DDD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46AB94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25" w:type="dxa"/>
            <w:tcBorders>
              <w:top w:val="nil"/>
              <w:left w:val="nil"/>
              <w:bottom w:val="single" w:color="auto" w:sz="4" w:space="0"/>
              <w:right w:val="single" w:color="auto" w:sz="4" w:space="0"/>
            </w:tcBorders>
            <w:noWrap/>
            <w:vAlign w:val="center"/>
          </w:tcPr>
          <w:p w14:paraId="5B6CAA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275" w:type="dxa"/>
            <w:gridSpan w:val="2"/>
            <w:tcBorders>
              <w:top w:val="single" w:color="auto" w:sz="4" w:space="0"/>
              <w:left w:val="nil"/>
              <w:bottom w:val="single" w:color="auto" w:sz="4" w:space="0"/>
              <w:right w:val="single" w:color="000000" w:sz="4" w:space="0"/>
            </w:tcBorders>
            <w:noWrap/>
            <w:vAlign w:val="center"/>
          </w:tcPr>
          <w:p w14:paraId="4A9C5E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34" w:type="dxa"/>
            <w:gridSpan w:val="2"/>
            <w:tcBorders>
              <w:top w:val="single" w:color="auto" w:sz="4" w:space="0"/>
              <w:left w:val="nil"/>
              <w:bottom w:val="single" w:color="auto" w:sz="4" w:space="0"/>
              <w:right w:val="single" w:color="auto" w:sz="4" w:space="0"/>
            </w:tcBorders>
            <w:vAlign w:val="center"/>
          </w:tcPr>
          <w:p w14:paraId="63C9C50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76FA20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374404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DA978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CDBB6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F04872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1636C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604F62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6D78F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5C87AD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44D4F8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87CC5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7E3AF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165BD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4756E0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683DFB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25" w:type="dxa"/>
            <w:tcBorders>
              <w:top w:val="nil"/>
              <w:left w:val="nil"/>
              <w:bottom w:val="single" w:color="auto" w:sz="4" w:space="0"/>
              <w:right w:val="single" w:color="auto" w:sz="4" w:space="0"/>
            </w:tcBorders>
            <w:noWrap/>
            <w:vAlign w:val="center"/>
          </w:tcPr>
          <w:p w14:paraId="356B8E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275" w:type="dxa"/>
            <w:gridSpan w:val="2"/>
            <w:tcBorders>
              <w:top w:val="single" w:color="auto" w:sz="4" w:space="0"/>
              <w:left w:val="nil"/>
              <w:bottom w:val="single" w:color="auto" w:sz="4" w:space="0"/>
              <w:right w:val="single" w:color="000000" w:sz="4" w:space="0"/>
            </w:tcBorders>
            <w:noWrap/>
            <w:vAlign w:val="center"/>
          </w:tcPr>
          <w:p w14:paraId="335A543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34" w:type="dxa"/>
            <w:gridSpan w:val="2"/>
            <w:tcBorders>
              <w:top w:val="single" w:color="auto" w:sz="4" w:space="0"/>
              <w:left w:val="nil"/>
              <w:bottom w:val="single" w:color="auto" w:sz="4" w:space="0"/>
              <w:right w:val="single" w:color="auto" w:sz="4" w:space="0"/>
            </w:tcBorders>
            <w:vAlign w:val="center"/>
          </w:tcPr>
          <w:p w14:paraId="7B21B3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8F0F8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63F86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D2859C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CC5F4E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E4A256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E061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0DAD8D9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EF52E9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306804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项目资金主要用于各类疫情防控工作，包括餐饮餐费、防疫物资、车辆租赁等。本项目可确保疫情工作正常开展，保障疫情期间居民生活稳定</w:t>
            </w:r>
          </w:p>
        </w:tc>
        <w:tc>
          <w:tcPr>
            <w:tcW w:w="4677" w:type="dxa"/>
            <w:gridSpan w:val="7"/>
            <w:tcBorders>
              <w:top w:val="single" w:color="auto" w:sz="4" w:space="0"/>
              <w:left w:val="nil"/>
              <w:bottom w:val="single" w:color="auto" w:sz="4" w:space="0"/>
              <w:right w:val="single" w:color="000000" w:sz="4" w:space="0"/>
            </w:tcBorders>
          </w:tcPr>
          <w:p w14:paraId="4D22B7D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疫情期间共产生各类费用102.33万元，财政已全部拨付到位，我镇及时支付疫情期间款项，主要用于餐饮餐费33.8万、车辆租赁6.41万及疫情其他运转经费62.12万。此项目及时缓解企业压力，保障就业维护社会稳定，增强政府信任度，提升市场信心，推动经济复苏。</w:t>
            </w:r>
          </w:p>
        </w:tc>
      </w:tr>
      <w:tr w14:paraId="661E292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F592DC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556716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2F5E8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7DEA3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B6221F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9983E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BF279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7E46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01B2A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2B5F81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0FA94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0A083B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692BCE6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C0E25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4E7FF96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347ADEA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372099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0F3E24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9A79E3">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6ED0A7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008D2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6542B6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416BEB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0F306B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待拨款项目数</w:t>
            </w:r>
          </w:p>
        </w:tc>
        <w:tc>
          <w:tcPr>
            <w:tcW w:w="1125" w:type="dxa"/>
            <w:tcBorders>
              <w:top w:val="nil"/>
              <w:left w:val="nil"/>
              <w:bottom w:val="single" w:color="auto" w:sz="4" w:space="0"/>
              <w:right w:val="single" w:color="auto" w:sz="4" w:space="0"/>
            </w:tcBorders>
            <w:vAlign w:val="center"/>
          </w:tcPr>
          <w:p w14:paraId="2C4639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&gt;=3个</w:t>
            </w:r>
          </w:p>
        </w:tc>
        <w:tc>
          <w:tcPr>
            <w:tcW w:w="1229" w:type="dxa"/>
            <w:tcBorders>
              <w:top w:val="nil"/>
              <w:left w:val="nil"/>
              <w:bottom w:val="single" w:color="auto" w:sz="4" w:space="0"/>
              <w:right w:val="single" w:color="auto" w:sz="4" w:space="0"/>
            </w:tcBorders>
            <w:vAlign w:val="center"/>
          </w:tcPr>
          <w:p w14:paraId="607663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3个</w:t>
            </w:r>
          </w:p>
        </w:tc>
        <w:tc>
          <w:tcPr>
            <w:tcW w:w="755" w:type="dxa"/>
            <w:gridSpan w:val="2"/>
            <w:tcBorders>
              <w:top w:val="single" w:color="auto" w:sz="4" w:space="0"/>
              <w:left w:val="nil"/>
              <w:bottom w:val="single" w:color="auto" w:sz="4" w:space="0"/>
              <w:right w:val="single" w:color="000000" w:sz="4" w:space="0"/>
            </w:tcBorders>
            <w:vAlign w:val="center"/>
          </w:tcPr>
          <w:p w14:paraId="53AE61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50C0A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EDF7FD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06C70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B8EF0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CF1ECD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01B842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734F58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经费拨付完成率</w:t>
            </w:r>
          </w:p>
        </w:tc>
        <w:tc>
          <w:tcPr>
            <w:tcW w:w="1125" w:type="dxa"/>
            <w:tcBorders>
              <w:top w:val="nil"/>
              <w:left w:val="nil"/>
              <w:bottom w:val="single" w:color="auto" w:sz="4" w:space="0"/>
              <w:right w:val="single" w:color="auto" w:sz="4" w:space="0"/>
            </w:tcBorders>
            <w:vAlign w:val="center"/>
          </w:tcPr>
          <w:p w14:paraId="6E9204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2F2415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8E6B0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305DC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512EBD9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C6EE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C1F96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0477A3F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1C34D8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3FFDC3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资金拨付及时性（%）</w:t>
            </w:r>
          </w:p>
        </w:tc>
        <w:tc>
          <w:tcPr>
            <w:tcW w:w="1125" w:type="dxa"/>
            <w:tcBorders>
              <w:top w:val="nil"/>
              <w:left w:val="nil"/>
              <w:bottom w:val="single" w:color="auto" w:sz="4" w:space="0"/>
              <w:right w:val="single" w:color="auto" w:sz="4" w:space="0"/>
            </w:tcBorders>
            <w:vAlign w:val="center"/>
          </w:tcPr>
          <w:p w14:paraId="74702B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2F73E3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1A57EB0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2204F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C5055A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32289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5DAE3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3B6126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vMerge w:val="restart"/>
            <w:tcBorders>
              <w:top w:val="nil"/>
              <w:left w:val="nil"/>
              <w:right w:val="single" w:color="auto" w:sz="4" w:space="0"/>
            </w:tcBorders>
            <w:vAlign w:val="center"/>
          </w:tcPr>
          <w:p w14:paraId="1C2F02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F5AE93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方舱餐费</w:t>
            </w:r>
          </w:p>
        </w:tc>
        <w:tc>
          <w:tcPr>
            <w:tcW w:w="1125" w:type="dxa"/>
            <w:tcBorders>
              <w:top w:val="nil"/>
              <w:left w:val="nil"/>
              <w:bottom w:val="single" w:color="auto" w:sz="4" w:space="0"/>
              <w:right w:val="single" w:color="auto" w:sz="4" w:space="0"/>
            </w:tcBorders>
            <w:vAlign w:val="center"/>
          </w:tcPr>
          <w:p w14:paraId="477912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&lt;=33.8万元</w:t>
            </w:r>
          </w:p>
        </w:tc>
        <w:tc>
          <w:tcPr>
            <w:tcW w:w="1229" w:type="dxa"/>
            <w:tcBorders>
              <w:top w:val="nil"/>
              <w:left w:val="nil"/>
              <w:bottom w:val="single" w:color="auto" w:sz="4" w:space="0"/>
              <w:right w:val="single" w:color="auto" w:sz="4" w:space="0"/>
            </w:tcBorders>
            <w:vAlign w:val="center"/>
          </w:tcPr>
          <w:p w14:paraId="098E12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33.8万元</w:t>
            </w:r>
          </w:p>
        </w:tc>
        <w:tc>
          <w:tcPr>
            <w:tcW w:w="755" w:type="dxa"/>
            <w:gridSpan w:val="2"/>
            <w:tcBorders>
              <w:top w:val="single" w:color="auto" w:sz="4" w:space="0"/>
              <w:left w:val="nil"/>
              <w:bottom w:val="single" w:color="auto" w:sz="4" w:space="0"/>
              <w:right w:val="single" w:color="000000" w:sz="4" w:space="0"/>
            </w:tcBorders>
            <w:vAlign w:val="center"/>
          </w:tcPr>
          <w:p w14:paraId="057E00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85BB4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072DAD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48879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94CD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0935449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6E64895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58AC06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疫情其他运转经费</w:t>
            </w:r>
          </w:p>
        </w:tc>
        <w:tc>
          <w:tcPr>
            <w:tcW w:w="1125" w:type="dxa"/>
            <w:tcBorders>
              <w:top w:val="nil"/>
              <w:left w:val="nil"/>
              <w:bottom w:val="single" w:color="auto" w:sz="4" w:space="0"/>
              <w:right w:val="single" w:color="auto" w:sz="4" w:space="0"/>
            </w:tcBorders>
            <w:vAlign w:val="center"/>
          </w:tcPr>
          <w:p w14:paraId="028417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&lt;=62.12万元</w:t>
            </w:r>
          </w:p>
        </w:tc>
        <w:tc>
          <w:tcPr>
            <w:tcW w:w="1229" w:type="dxa"/>
            <w:tcBorders>
              <w:top w:val="nil"/>
              <w:left w:val="nil"/>
              <w:bottom w:val="single" w:color="auto" w:sz="4" w:space="0"/>
              <w:right w:val="single" w:color="auto" w:sz="4" w:space="0"/>
            </w:tcBorders>
            <w:vAlign w:val="center"/>
          </w:tcPr>
          <w:p w14:paraId="1D53B5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62.12万元</w:t>
            </w:r>
          </w:p>
        </w:tc>
        <w:tc>
          <w:tcPr>
            <w:tcW w:w="755" w:type="dxa"/>
            <w:gridSpan w:val="2"/>
            <w:tcBorders>
              <w:top w:val="single" w:color="auto" w:sz="4" w:space="0"/>
              <w:left w:val="nil"/>
              <w:bottom w:val="single" w:color="auto" w:sz="4" w:space="0"/>
              <w:right w:val="single" w:color="000000" w:sz="4" w:space="0"/>
            </w:tcBorders>
            <w:vAlign w:val="center"/>
          </w:tcPr>
          <w:p w14:paraId="41016F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4A4BE8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3154440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6F884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F787D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738CC22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B3FF4A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5FFEE1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租车费用</w:t>
            </w:r>
          </w:p>
        </w:tc>
        <w:tc>
          <w:tcPr>
            <w:tcW w:w="1125" w:type="dxa"/>
            <w:tcBorders>
              <w:top w:val="nil"/>
              <w:left w:val="nil"/>
              <w:bottom w:val="single" w:color="auto" w:sz="4" w:space="0"/>
              <w:right w:val="single" w:color="auto" w:sz="4" w:space="0"/>
            </w:tcBorders>
            <w:vAlign w:val="center"/>
          </w:tcPr>
          <w:p w14:paraId="3D216A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&lt;=6.41万元</w:t>
            </w:r>
          </w:p>
        </w:tc>
        <w:tc>
          <w:tcPr>
            <w:tcW w:w="1229" w:type="dxa"/>
            <w:tcBorders>
              <w:top w:val="nil"/>
              <w:left w:val="nil"/>
              <w:bottom w:val="single" w:color="auto" w:sz="4" w:space="0"/>
              <w:right w:val="single" w:color="auto" w:sz="4" w:space="0"/>
            </w:tcBorders>
            <w:vAlign w:val="center"/>
          </w:tcPr>
          <w:p w14:paraId="26C497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6.41万元</w:t>
            </w:r>
          </w:p>
        </w:tc>
        <w:tc>
          <w:tcPr>
            <w:tcW w:w="755" w:type="dxa"/>
            <w:gridSpan w:val="2"/>
            <w:tcBorders>
              <w:top w:val="single" w:color="auto" w:sz="4" w:space="0"/>
              <w:left w:val="nil"/>
              <w:bottom w:val="single" w:color="auto" w:sz="4" w:space="0"/>
              <w:right w:val="single" w:color="000000" w:sz="4" w:space="0"/>
            </w:tcBorders>
            <w:vAlign w:val="center"/>
          </w:tcPr>
          <w:p w14:paraId="248972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25EDF33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6F7962E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55299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D745A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E1C9A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3B8F1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9321A4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保障疫情防控工作正常开展</w:t>
            </w:r>
          </w:p>
        </w:tc>
        <w:tc>
          <w:tcPr>
            <w:tcW w:w="1125" w:type="dxa"/>
            <w:tcBorders>
              <w:top w:val="nil"/>
              <w:left w:val="nil"/>
              <w:bottom w:val="single" w:color="auto" w:sz="4" w:space="0"/>
              <w:right w:val="single" w:color="auto" w:sz="4" w:space="0"/>
            </w:tcBorders>
            <w:vAlign w:val="center"/>
          </w:tcPr>
          <w:p w14:paraId="152D67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0E3C25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48F24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5D7A3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81E3EF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D993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B304C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EA2B5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E51E6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9EDC66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1125" w:type="dxa"/>
            <w:tcBorders>
              <w:top w:val="nil"/>
              <w:left w:val="nil"/>
              <w:bottom w:val="single" w:color="auto" w:sz="4" w:space="0"/>
              <w:right w:val="single" w:color="auto" w:sz="4" w:space="0"/>
            </w:tcBorders>
            <w:vAlign w:val="center"/>
          </w:tcPr>
          <w:p w14:paraId="0C4AE4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00A058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905C0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0BEDF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640662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A9E88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7DBF65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0BEC58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167C5F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1502EE48">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20130989">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3FDF237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E6DEC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BDE94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CDE7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蒋家湾美丽乡村项目（上年结转资金）</w:t>
            </w:r>
          </w:p>
        </w:tc>
      </w:tr>
      <w:tr w14:paraId="150124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56F0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A4047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07401A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23644E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521127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1B06F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DF365D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3A3E200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23DEFD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74A082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670AC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19153A4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085522A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65B39E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FFC49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A53700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86F46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36.50</w:t>
            </w:r>
          </w:p>
        </w:tc>
        <w:tc>
          <w:tcPr>
            <w:tcW w:w="1125" w:type="dxa"/>
            <w:tcBorders>
              <w:top w:val="nil"/>
              <w:left w:val="nil"/>
              <w:bottom w:val="single" w:color="auto" w:sz="4" w:space="0"/>
              <w:right w:val="single" w:color="auto" w:sz="4" w:space="0"/>
            </w:tcBorders>
            <w:noWrap/>
            <w:vAlign w:val="center"/>
          </w:tcPr>
          <w:p w14:paraId="26CD6D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275" w:type="dxa"/>
            <w:gridSpan w:val="2"/>
            <w:tcBorders>
              <w:top w:val="single" w:color="auto" w:sz="4" w:space="0"/>
              <w:left w:val="nil"/>
              <w:bottom w:val="single" w:color="auto" w:sz="4" w:space="0"/>
              <w:right w:val="single" w:color="000000" w:sz="4" w:space="0"/>
            </w:tcBorders>
            <w:noWrap/>
            <w:vAlign w:val="center"/>
          </w:tcPr>
          <w:p w14:paraId="0A8799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134" w:type="dxa"/>
            <w:gridSpan w:val="2"/>
            <w:tcBorders>
              <w:top w:val="single" w:color="auto" w:sz="4" w:space="0"/>
              <w:left w:val="nil"/>
              <w:bottom w:val="single" w:color="auto" w:sz="4" w:space="0"/>
              <w:right w:val="single" w:color="auto" w:sz="4" w:space="0"/>
            </w:tcBorders>
            <w:vAlign w:val="center"/>
          </w:tcPr>
          <w:p w14:paraId="38BF98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4D01BD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22062A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F49E6C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6FF37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AF4ED6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8AEAC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7EAC21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A95B8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3534E1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07BC74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1D594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FB0B1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A9A02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9DE726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5029A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36.50</w:t>
            </w:r>
          </w:p>
        </w:tc>
        <w:tc>
          <w:tcPr>
            <w:tcW w:w="1125" w:type="dxa"/>
            <w:tcBorders>
              <w:top w:val="nil"/>
              <w:left w:val="nil"/>
              <w:bottom w:val="single" w:color="auto" w:sz="4" w:space="0"/>
              <w:right w:val="single" w:color="auto" w:sz="4" w:space="0"/>
            </w:tcBorders>
            <w:noWrap/>
            <w:vAlign w:val="center"/>
          </w:tcPr>
          <w:p w14:paraId="0C1A65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275" w:type="dxa"/>
            <w:gridSpan w:val="2"/>
            <w:tcBorders>
              <w:top w:val="single" w:color="auto" w:sz="4" w:space="0"/>
              <w:left w:val="nil"/>
              <w:bottom w:val="single" w:color="auto" w:sz="4" w:space="0"/>
              <w:right w:val="single" w:color="000000" w:sz="4" w:space="0"/>
            </w:tcBorders>
            <w:noWrap/>
            <w:vAlign w:val="center"/>
          </w:tcPr>
          <w:p w14:paraId="23AE18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134" w:type="dxa"/>
            <w:gridSpan w:val="2"/>
            <w:tcBorders>
              <w:top w:val="single" w:color="auto" w:sz="4" w:space="0"/>
              <w:left w:val="nil"/>
              <w:bottom w:val="single" w:color="auto" w:sz="4" w:space="0"/>
              <w:right w:val="single" w:color="auto" w:sz="4" w:space="0"/>
            </w:tcBorders>
            <w:vAlign w:val="center"/>
          </w:tcPr>
          <w:p w14:paraId="4E3129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94A9A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2766A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3C0D7F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14307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1B1E71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6F5C70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0179F28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383E6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B6350C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本项目通过整理绿化带，整理2000米绿化带路、铺设巷道两侧绿化供水管道2000米。种植乔木海棠200棵。此项目的实施可有效改善当地人居环境.</w:t>
            </w:r>
          </w:p>
        </w:tc>
        <w:tc>
          <w:tcPr>
            <w:tcW w:w="4677" w:type="dxa"/>
            <w:gridSpan w:val="7"/>
            <w:tcBorders>
              <w:top w:val="single" w:color="auto" w:sz="4" w:space="0"/>
              <w:left w:val="nil"/>
              <w:bottom w:val="single" w:color="auto" w:sz="4" w:space="0"/>
              <w:right w:val="single" w:color="000000" w:sz="4" w:space="0"/>
            </w:tcBorders>
          </w:tcPr>
          <w:p w14:paraId="3BEFBBF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完成对村庄主要道路两侧环境的提升改造，包括村庄主要道路绿化带整理，村庄主要道路两侧绿化供水管道铺设，村庄主要道路两侧绿化带绿植栽种。此项目的完成，有效改善村民的居住环境，深入推进美丽乡村建设，不断提高群众的获得感和幸福感，从各方面助力乡村振兴。</w:t>
            </w:r>
          </w:p>
        </w:tc>
      </w:tr>
      <w:tr w14:paraId="46210ED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08D6D5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72971A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D844D6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8AF74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3CAC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ABE72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FD6F7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928F8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512C8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855547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0F430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E79DC8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7DF09ED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83D4C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6FF9843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A018C3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4D35A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08CE4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9C2F285">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6178979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8FF63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1CD0F1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040E0F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B5083F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村庄主要道路两侧绿化供水管道铺设长度</w:t>
            </w:r>
          </w:p>
        </w:tc>
        <w:tc>
          <w:tcPr>
            <w:tcW w:w="1125" w:type="dxa"/>
            <w:tcBorders>
              <w:top w:val="nil"/>
              <w:left w:val="nil"/>
              <w:bottom w:val="single" w:color="auto" w:sz="4" w:space="0"/>
              <w:right w:val="single" w:color="auto" w:sz="4" w:space="0"/>
            </w:tcBorders>
            <w:vAlign w:val="center"/>
          </w:tcPr>
          <w:p w14:paraId="59A569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1229" w:type="dxa"/>
            <w:tcBorders>
              <w:top w:val="nil"/>
              <w:left w:val="nil"/>
              <w:bottom w:val="single" w:color="auto" w:sz="4" w:space="0"/>
              <w:right w:val="single" w:color="auto" w:sz="4" w:space="0"/>
            </w:tcBorders>
            <w:vAlign w:val="center"/>
          </w:tcPr>
          <w:p w14:paraId="05B12D6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755" w:type="dxa"/>
            <w:gridSpan w:val="2"/>
            <w:tcBorders>
              <w:top w:val="single" w:color="auto" w:sz="4" w:space="0"/>
              <w:left w:val="nil"/>
              <w:bottom w:val="single" w:color="auto" w:sz="4" w:space="0"/>
              <w:right w:val="single" w:color="000000" w:sz="4" w:space="0"/>
            </w:tcBorders>
            <w:vAlign w:val="center"/>
          </w:tcPr>
          <w:p w14:paraId="6FD51D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19C864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26540C1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A50A8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706E3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4F9F14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15115DF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AC0D8D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村庄道路绿化带整理长度</w:t>
            </w:r>
          </w:p>
        </w:tc>
        <w:tc>
          <w:tcPr>
            <w:tcW w:w="1125" w:type="dxa"/>
            <w:tcBorders>
              <w:top w:val="nil"/>
              <w:left w:val="nil"/>
              <w:bottom w:val="single" w:color="auto" w:sz="4" w:space="0"/>
              <w:right w:val="single" w:color="auto" w:sz="4" w:space="0"/>
            </w:tcBorders>
            <w:vAlign w:val="center"/>
          </w:tcPr>
          <w:p w14:paraId="3923FE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1229" w:type="dxa"/>
            <w:tcBorders>
              <w:top w:val="nil"/>
              <w:left w:val="nil"/>
              <w:bottom w:val="single" w:color="auto" w:sz="4" w:space="0"/>
              <w:right w:val="single" w:color="auto" w:sz="4" w:space="0"/>
            </w:tcBorders>
            <w:vAlign w:val="center"/>
          </w:tcPr>
          <w:p w14:paraId="371EEB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755" w:type="dxa"/>
            <w:gridSpan w:val="2"/>
            <w:tcBorders>
              <w:top w:val="single" w:color="auto" w:sz="4" w:space="0"/>
              <w:left w:val="nil"/>
              <w:bottom w:val="single" w:color="auto" w:sz="4" w:space="0"/>
              <w:right w:val="single" w:color="000000" w:sz="4" w:space="0"/>
            </w:tcBorders>
            <w:vAlign w:val="center"/>
          </w:tcPr>
          <w:p w14:paraId="5B72A3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008349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599BDE3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D17A0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4B5C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3A16EC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57FB24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783AFB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种植乔木海棠数量</w:t>
            </w:r>
          </w:p>
        </w:tc>
        <w:tc>
          <w:tcPr>
            <w:tcW w:w="1125" w:type="dxa"/>
            <w:tcBorders>
              <w:top w:val="nil"/>
              <w:left w:val="nil"/>
              <w:bottom w:val="single" w:color="auto" w:sz="4" w:space="0"/>
              <w:right w:val="single" w:color="auto" w:sz="4" w:space="0"/>
            </w:tcBorders>
            <w:vAlign w:val="center"/>
          </w:tcPr>
          <w:p w14:paraId="47F7E5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&gt;=200棵</w:t>
            </w:r>
          </w:p>
        </w:tc>
        <w:tc>
          <w:tcPr>
            <w:tcW w:w="1229" w:type="dxa"/>
            <w:tcBorders>
              <w:top w:val="nil"/>
              <w:left w:val="nil"/>
              <w:bottom w:val="single" w:color="auto" w:sz="4" w:space="0"/>
              <w:right w:val="single" w:color="auto" w:sz="4" w:space="0"/>
            </w:tcBorders>
            <w:vAlign w:val="center"/>
          </w:tcPr>
          <w:p w14:paraId="36FA43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200棵</w:t>
            </w:r>
          </w:p>
        </w:tc>
        <w:tc>
          <w:tcPr>
            <w:tcW w:w="755" w:type="dxa"/>
            <w:gridSpan w:val="2"/>
            <w:tcBorders>
              <w:top w:val="single" w:color="auto" w:sz="4" w:space="0"/>
              <w:left w:val="nil"/>
              <w:bottom w:val="single" w:color="auto" w:sz="4" w:space="0"/>
              <w:right w:val="single" w:color="000000" w:sz="4" w:space="0"/>
            </w:tcBorders>
            <w:vAlign w:val="center"/>
          </w:tcPr>
          <w:p w14:paraId="41D4CC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2919C1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528D733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2CF0A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40580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084259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267C9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54409F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项目（工程）验收合格率</w:t>
            </w:r>
          </w:p>
        </w:tc>
        <w:tc>
          <w:tcPr>
            <w:tcW w:w="1125" w:type="dxa"/>
            <w:tcBorders>
              <w:top w:val="nil"/>
              <w:left w:val="nil"/>
              <w:bottom w:val="single" w:color="auto" w:sz="4" w:space="0"/>
              <w:right w:val="single" w:color="auto" w:sz="4" w:space="0"/>
            </w:tcBorders>
            <w:vAlign w:val="center"/>
          </w:tcPr>
          <w:p w14:paraId="337B07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1229" w:type="dxa"/>
            <w:tcBorders>
              <w:top w:val="nil"/>
              <w:left w:val="nil"/>
              <w:bottom w:val="single" w:color="auto" w:sz="4" w:space="0"/>
              <w:right w:val="single" w:color="auto" w:sz="4" w:space="0"/>
            </w:tcBorders>
            <w:vAlign w:val="center"/>
          </w:tcPr>
          <w:p w14:paraId="62C60F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EB383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30D06A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36ABA1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绩效目标设置较为保守，验收合格率高。</w:t>
            </w:r>
          </w:p>
        </w:tc>
      </w:tr>
      <w:tr w14:paraId="7C80A9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435B6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7C5A5DD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6F61B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42CB12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1125" w:type="dxa"/>
            <w:tcBorders>
              <w:top w:val="nil"/>
              <w:left w:val="nil"/>
              <w:bottom w:val="single" w:color="auto" w:sz="4" w:space="0"/>
              <w:right w:val="single" w:color="auto" w:sz="4" w:space="0"/>
            </w:tcBorders>
            <w:vAlign w:val="center"/>
          </w:tcPr>
          <w:p w14:paraId="32CAE3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4A40AA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393E5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03C9C7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4C1DE96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6613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5EAE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098464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4BB107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A72E08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项目预算控制率</w:t>
            </w:r>
          </w:p>
        </w:tc>
        <w:tc>
          <w:tcPr>
            <w:tcW w:w="1125" w:type="dxa"/>
            <w:tcBorders>
              <w:top w:val="nil"/>
              <w:left w:val="nil"/>
              <w:bottom w:val="single" w:color="auto" w:sz="4" w:space="0"/>
              <w:right w:val="single" w:color="auto" w:sz="4" w:space="0"/>
            </w:tcBorders>
            <w:vAlign w:val="center"/>
          </w:tcPr>
          <w:p w14:paraId="3D1E5E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&lt;=100%</w:t>
            </w:r>
          </w:p>
        </w:tc>
        <w:tc>
          <w:tcPr>
            <w:tcW w:w="1229" w:type="dxa"/>
            <w:tcBorders>
              <w:top w:val="nil"/>
              <w:left w:val="nil"/>
              <w:bottom w:val="single" w:color="auto" w:sz="4" w:space="0"/>
              <w:right w:val="single" w:color="auto" w:sz="4" w:space="0"/>
            </w:tcBorders>
            <w:vAlign w:val="center"/>
          </w:tcPr>
          <w:p w14:paraId="33E5F1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84DD2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6EA585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54847B8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B844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B4CD6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49F52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9F659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95EADD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改善人居环境</w:t>
            </w:r>
          </w:p>
        </w:tc>
        <w:tc>
          <w:tcPr>
            <w:tcW w:w="1125" w:type="dxa"/>
            <w:tcBorders>
              <w:top w:val="nil"/>
              <w:left w:val="nil"/>
              <w:bottom w:val="single" w:color="auto" w:sz="4" w:space="0"/>
              <w:right w:val="single" w:color="auto" w:sz="4" w:space="0"/>
            </w:tcBorders>
            <w:vAlign w:val="center"/>
          </w:tcPr>
          <w:p w14:paraId="735F24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有效改善</w:t>
            </w:r>
          </w:p>
        </w:tc>
        <w:tc>
          <w:tcPr>
            <w:tcW w:w="1229" w:type="dxa"/>
            <w:tcBorders>
              <w:top w:val="nil"/>
              <w:left w:val="nil"/>
              <w:bottom w:val="single" w:color="auto" w:sz="4" w:space="0"/>
              <w:right w:val="single" w:color="auto" w:sz="4" w:space="0"/>
            </w:tcBorders>
            <w:vAlign w:val="center"/>
          </w:tcPr>
          <w:p w14:paraId="329660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51827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1F2BE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E836ED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C9D5D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ED13F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98627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E2FB8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BD3284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受益群众满意度</w:t>
            </w:r>
          </w:p>
        </w:tc>
        <w:tc>
          <w:tcPr>
            <w:tcW w:w="1125" w:type="dxa"/>
            <w:tcBorders>
              <w:top w:val="nil"/>
              <w:left w:val="nil"/>
              <w:bottom w:val="single" w:color="auto" w:sz="4" w:space="0"/>
              <w:right w:val="single" w:color="auto" w:sz="4" w:space="0"/>
            </w:tcBorders>
            <w:vAlign w:val="center"/>
          </w:tcPr>
          <w:p w14:paraId="2A833B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138CAC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E758F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1967A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5D74D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绩效目标设置较为保守，受益群众满意度高。</w:t>
            </w:r>
          </w:p>
        </w:tc>
      </w:tr>
      <w:tr w14:paraId="224301B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C55402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2FDDD0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EC75E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5CD77606">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2835BAF4">
      <w:pPr>
        <w:widowControl w:val="0"/>
        <w:spacing w:after="0" w:line="240" w:lineRule="auto"/>
        <w:jc w:val="left"/>
        <w:rPr>
          <w:rFonts w:ascii="仿宋_GB2312" w:eastAsia="仿宋_GB2312"/>
          <w:sz w:val="32"/>
          <w:szCs w:val="32"/>
        </w:rPr>
      </w:pPr>
      <w:r>
        <w:rPr>
          <w:rFonts w:hint="eastAsia" w:ascii="宋体" w:hAnsi="宋体" w:eastAsia="宋体" w:cs="宋体"/>
          <w:b/>
          <w:bCs/>
          <w:kern w:val="0"/>
          <w:sz w:val="18"/>
          <w:szCs w:val="18"/>
          <w:lang w:eastAsia="zh-CN"/>
          <w14:ligatures w14:val="none"/>
        </w:rPr>
        <w:br w:type="page"/>
      </w:r>
    </w:p>
    <w:p w14:paraId="606423F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74C575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011C3A77">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79069AD6">
      <w:pPr>
        <w:widowControl/>
      </w:pPr>
      <w:r>
        <w:rPr>
          <w:b w:val="0"/>
          <w:sz w:val="0"/>
          <w:szCs w:val="0"/>
        </w:rPr>
        <w:br w:type="page"/>
      </w:r>
    </w:p>
    <w:p w14:paraId="3A85F4D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2385AA0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05311C3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3ED2AB3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0B4E9A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4111291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492D893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2856CE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562815C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82ABC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4EBB622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05BF601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50AC3BE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1162E78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FAC8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4E9D5C5">
      <w:pPr>
        <w:widowControl/>
      </w:pPr>
      <w:r>
        <w:rPr>
          <w:b w:val="0"/>
          <w:sz w:val="0"/>
          <w:szCs w:val="0"/>
        </w:rPr>
        <w:br w:type="page"/>
      </w:r>
    </w:p>
    <w:p w14:paraId="1EFCCC3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37D557B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44F402A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DD175A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7826FD6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4AE0961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84D114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A835B4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8E7A0D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873197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2B813AE"/>
    <w:rsid w:val="18D7143D"/>
    <w:rsid w:val="1B6C0F17"/>
    <w:rsid w:val="26506FB7"/>
    <w:rsid w:val="38A06337"/>
    <w:rsid w:val="3D64437D"/>
    <w:rsid w:val="56D520CA"/>
    <w:rsid w:val="74291C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10974</Words>
  <Characters>12354</Characters>
  <TotalTime>6</TotalTime>
  <ScaleCrop>false</ScaleCrop>
  <LinksUpToDate>false</LinksUpToDate>
  <CharactersWithSpaces>12364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2025-09-29T07:02:00Z</dcterms:created>
  <dc:creator>LYQX</dc:creator>
  <cp:lastModifiedBy>辣庅小</cp:lastModifiedBy>
  <dcterms:modified xsi:type="dcterms:W3CDTF">2025-10-15T04:36:52Z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92A77D86034F44A0A042FAB3D0D48864_12</vt:lpwstr>
  </property>
</Properties>
</file>