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乌财科教【2023】168号-关于提前下达2024年中央学生资助补助经费（中职免学费）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乌鲁木齐市米东区职业中等专业学校（米东区职业教育中心）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乌鲁木齐市米东区职业中等专业学校（米东区职业教育中心）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赖清逸</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根据乌财科教【2023】168号-关于提前下达2024年中央学生资助补助经费（中职免学费），乌财科教[2023]174号-关于提前下达2024年学生资助补助经费预算[自治区直达资金]的通知（中职免学费），职专（免学费）乌财科教【2022】70号--关于提前下达2023年学生资助补助经费预算的通知。随着经济社会的快速发展，国家对技能型人才的需求日益迫切。中等职业教育作为培养技能型人才的重要途径，对于提高劳动者素质、推动产业升级具有重要意义。通过实施免学费政策，可以吸引更多学生接受中职教育，为国家培养大量适应经济社会发展需要的高素质劳动者和技能型人才。</w:t>
        <w:br/>
        <w:t xml:space="preserve"> 中职学生大多来自农村和城市低收入家庭，经济负担较重。免学费政策能够减轻这些家庭的教育负担，使更多学生有机会接受中等职业教育，促进教育公平，缩小城乡、区域之间的教育差距，让每个孩子都能享有公平而有质量的教育，推动社会公平的实现。</w:t>
        <w:br/>
        <w:t>项目2024年的主要实施内容：</w:t>
        <w:br/>
        <w:t>① 校园运行保障：支付学校日常的水、电、气、物业管理、网络通信等费用，维持校园基本运行；采购办公用品、清洁用品、打印机耗材等消耗品，满足学校日常办公、招生、校园卫生等需求；承担校园绿化养护、垃圾清运等服务费用，营造安全、整洁、美观的校园环境 。</w:t>
        <w:br/>
        <w:t>②外聘教师、实习生工资和校园军事化管理：在职教师数量不够，为保证学校日常教学活动正常开展，需外聘老师授课。住校生由教官实行军事化管理。免学费资金可用于支付外聘老师和教官工资。我校三年级学生校外实习，其中15名在政府机构实习，实习期工资由我校负担。</w:t>
        <w:br/>
        <w:t>③学生健康保障方面：定期开展学生视力检测，免学费资金用于支付专学生检测视力的费用。通过视力检测，及时发现学生的视力问题，并提供相应的护眼建议和干预措施，以降低学生近视率。组织学生进行肺结核筛查，中医院携带检测设备入校，为全体学生进行肺结核筛查项目。对筛查出的疑似病例及时跟进诊断和治疗，保障全体学生的身体健康，营造健康的校园环境。</w:t>
        <w:br/>
        <w:t>④宣传教育方面：订阅党报党刊，提高师生的政治素养和思想觉悟。制作宣传展板，展示学校的办学成果、优秀学生事迹、专业介绍、食品安全教育知识等内容。资金用于展板的设计、制作、安装和定期更新，通过宣传展板营造积极向上的校园文化氛围，树立学校良好形象 。</w:t>
        <w:br/>
        <w:t>实际完成情况为：</w:t>
        <w:br/>
        <w:t>①2024年免学费资金用于保障校园正常运转共 71.6万元，其中：缴纳水费8次7.18万元，电费6次18万元，网络服务费2.49万元，购买办公用品11.73万元，保洁服务费17.80万元，打印机及耗材维修4.38万元，学生活动费1.2万元，24年实习生责任险及校方责任险3.4万元，校车维修审车费5.42万元。</w:t>
        <w:br/>
        <w:t>②2024年共执行校园军事化管理服务费35万元，外聘教师18人工资71.91万元，实习生工资18.44万元，合计125.35万元。</w:t>
        <w:br/>
        <w:t>③2024年共执行学生健康保障方面费用9万元，包括视力检测费用三次0.91万元，结核筛查两次费用5.18万元，24年-25年学生健康体检工作费用2.91万元。</w:t>
        <w:br/>
        <w:t>④宣传教育方面共执行16.01万元，其中24年1月顶岗实习协议书及校企合作协议书申请报告；制作升学宣传展板等费用3.75万元；支付023年4月教室主题文化墙阵地建设4.81万元；2023年4月购买以爱国主义为核心宣传展板1.65万元；2024年5月购买宣传单、宣传品、展板0.42万元；2023年12月更新教学楼宣传版面，制作卫生流动红旗费0.63万元；2023年校园文化建设文化展板及维护等费用2.3万元；其余制作流动红旗印制听课记录和展板等2.45万元。</w:t>
        <w:br/>
        <w:t>⑤其他用于校园日常维护、校园安全与应急处置、支付网络服务费用、食堂明厨亮灶等日常公用经费，合计53.94万元。</w:t>
        <w:br/>
        <w:t>2.资金投入和使用情况</w:t>
        <w:br/>
        <w:t>该项目资金投入情况：年初预算数240.09万元，其中：经乌财科教【2023】168号-关于提前下达2024年中央学生资助补助经费（中职免学费）文件批准，项目系2024年中央资金，共安排预算172万元，其中640元结转至2025年；经乌财科教［2023］174号-关于提前下达2024年学生资助补助经费预算文件批准，项目系2024年自治区直达资金，共安排预算47万元；经职专（免学费）乌财科教【2022】70号--关于提前下达2023年学生资助补助经费预算的通知文件批准，项目系自治区直达结转资金，共安排预算21.09万元。2024年年中追加项目职专（免学费）乌财科教（2024）38号关于下达2024年学生资助补助经费预算（第二批）中央直达资金39万元，2024年支出35.87万元，其余资金3.13万元结转至2025年。</w:t>
        <w:br/>
        <w:t>该项目资金使用情况：全年预算数275.9万元，该项目总预算275.9万元：资金用于学校日常公用经费，其中保障校园正常运转共 71.6万元，外聘教师教官及实习生工资125.35万元，学生健康保障方面费用9万元，宣传教育方面共执行16.01万元，其他用于校园日常维护、校园安全与应急处置、支付网络服务费用、食堂明厨亮灶等日常公用经费，合计53.94万元。已全部执行完毕，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该项目总体绩效目标：弥补因免除学费导致学校运转出现的经费缺口，用于学校的公用经费。通过实施本项目，保障学校正常运转。</w:t>
        <w:br/>
        <w:t>该项目阶段性目标为：在2024年足额支付学校水费8次、电费6次、网络使用费6次、办公用品费10次、学生活动费6次、外聘18人教师和实习生15全年工资、学生健康保障费5次和校园宣传文化展板更新4次等一系列学校日常公用经费。</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本项目核心目标是合理使用免学费资金保障学校公用经费支出，涵盖师资建设、学生健康保障、学生活动开展及宣传教育四大领域。绩效评价指标体系通过外聘教师人数直接反映师资建设目标的落实情况，通过资金使用合规率衡量资金使用规范性，确保资金使用符合政策要求；以公办学校免学费达标率保障资金来源稳定性，支撑学校正常运转；水电费缴纳次数侧面反映学校基础设施运行及日常管理状况，保障学校正常运转；师生满意度则综合体现各项目标达成后师生的实际体验，形成对项目目标的全面覆盖。</w:t>
        <w:br/>
        <w:t>2024年实际水电费缴纳次数14次，外聘教师工资人数18人，资金使用合规率100%，公办学校免学费达标率100%，完全达到有效保障学校正常运转预期目标，师生满意度95.8%。</w:t>
        <w:br/>
        <w:t>数据获取和记录的方法包括：①直接记录法：针对水电费缴纳次数、外聘教师人数，通过学校内部管理系统及台账直接提取数据，确保准确性。②抽样调查法：师生满意度采用分层抽样方式设计问卷，涵盖不同专业、年级学生及教师群体，通过线上线下结合方式收集反馈，并利用统计软件进行数据清洗和分析，确保样本代表性和结果可靠性。</w:t>
        <w:br/>
        <w:t>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168号-关于提前下达2024年中央学生资助补助经费（中职免学费）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（1）绩效评价的对象：乌财科教【2023】168号-关于提前下达2024年中央学生资助补助经费（中职免学费） </w:t>
        <w:br/>
        <w:t>4.绩效评价范围</w:t>
        <w:br/>
        <w:t>1.时间范围：2024年1月1日至2024年12月31日。</w:t>
        <w:br/>
        <w:t>2.项目范围：</w:t>
        <w:br/>
        <w:t>（1）乌财科教【2023】168号-关于提前下达2024年中央学生资助补助经费（中职免学费）1）项目的基本情况。本项目以中职免学费资金为来源，专项用于学校日常公用经费，旨在保障中职学校教学、管理及后勤等工作正常运转。资金主要投向教学运行保障、校园日常维护、学生活动发展、信息化建设、安全与应急管理五大领域，涵盖教学设备购置、设施修缮、网络维护等多项支出，确保学校基础运营及教育质量提升。</w:t>
        <w:br/>
        <w:t>（2）评价工作的开展情况。成立专项评价小组，制定科学评价方案，综合运用资料收集、实地调研、师生访谈、财务核查等方式，对资金使用合规性、支出效率、实施效果进行全面评估。通过对比预算计划与实际执行数据，结合师生满意度调查，客观分析项目成效与不足，确保评价结果真实、准确、全面。</w:t>
        <w:br/>
        <w:t>（3）项目实现的产出情况。完成教学设备更新与耗材采购，满足课程教学需求；组织多场教师培训及学术交流活动；修缮校园基础设施，优化校园环境；开展丰富的学生文体、实践活动；升级校园网络及数字化管理平台，建成多个校本数字课程资源库；完善校园安防体系，完成多次安全演练及应急物资储备。</w:t>
        <w:br/>
        <w:t>（4）取得的效益情况：社会效益显著，有效保障中职学校教育教学活动有序开展，提升教师专业能力与学生综合素质，改善校园学习生活环境；经济效益凸显，合理配置资金，提高学校资源使用效率，降低运营成本；通过优化教学条件与校园环境，增强学校吸引力与竞争力，为区域职业教育发展提供有力支撑。</w:t>
        <w:br/>
        <w:t>（5）主要经验及做法：全过程协同监管保障资金安全：构建“校内+校外”“线上+线下”立体化监督网络，校内由财务、审计组成专项督查组按月抽查凭证，校外依托财政预算管理一体化系统实现资金申请、审批、拨付全流程线上留痕与异常预警，全年资金使用合规率达100%。需求导向提升资金使用效能：实践表明，以学校实际需求为核心的资金分配可避免资源浪费，未来将强化调研机制，建立常态化需求反馈渠道，精准支持新兴产业专业建设等关键领域。多元联动强化监管公信力：多方协同监管模式有效规避资金风险，后续计划引入师生代表参与监督，利用信息化手段实时公开资金使用情况，进一步提升透明度。</w:t>
        <w:br/>
        <w:t>（6）存在的问题及原因分析：存在过程监控深度不足：定期检查仅停留在账目核对，缺乏对资金使用效果、项目进度的深度监督。</w:t>
        <w:br/>
        <w:t>监管力量专业化欠缺：监督工作以财务部门兼职为主，缺乏专职审计人员和岗位，难以实现精细化全流程监管。数字化监管应用滞后：未充分运用大数据、区块链等技术，人工核查存在监管盲区，无法实时追踪资金流向。</w:t>
        <w:br/>
        <w:t>（7）综合性价结论：中职免学费资金用于日常公用经费项目整体成效良好，实现了保障学校运转、提升教育质量的核心目标。资金使用合规，在改善办学条件、促进师生发展方面发挥积极作用，但在资金管理精细化、项目执行效率、资源整合利用等方面仍有提升空间。后续需进一步优化资金管理机制，加强项目动态监管，推动中职教育高质量发展 。综上所述，本次项目绩效自评乌财科教【2023】168号-关于提前下达2024年中央学生资助补助经费（中职免学费）进行客观评价，最终评分结果为：总分为100分，绩效评级为“优”。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水电费缴纳次数	项目实施实际缴纳的水电费次数和外聘教师工资发放次数，用以反映考核项目产出数量目标的实现程度。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外聘教师人数</w:t>
        <w:br/>
        <w:t>		</w:t>
        <w:br/>
        <w:t>产出	产出质量	资金使用合规率</w:t>
        <w:br/>
        <w:t></w:t>
        <w:br/>
        <w:t></w:t>
        <w:br/>
        <w:t></w:t>
        <w:br/>
        <w:t></w:t>
        <w:br/>
        <w:t></w:t>
        <w:br/>
        <w:t>	 资金使用合规率指标用于衡量资金使用过程中符合相关规定和标准的程度，反映了资金使用的规范性和合法性，能有效监督和评估资金的使用情况，确保资金按规定用途合理使用，防止违规行为和资金浪费。</w:t>
        <w:br/>
        <w:t>公办学校免学费达标率是指该指标主要用于衡量公办学校在落实免学费政策方面的完成情况，体现了政府对教育公平的保障程度以及公办学校执行国家教育政策的力度，有助于确保所有符合条件的学生都能享受到免学费的政策优惠，促进教育机会均等。	</w:t>
        <w:br/>
        <w:t></w:t>
        <w:br/>
        <w:t>资金使用合规率=（合规使用的资金金额÷资金使用总金额）×100%。其中，合规使用的资金金额是指在资金使用过程中，严格按照相关法律法规、政策要求、预算安排以及合同约定等进行使用的资金数额；资金使用总金额是指一定时期内实际使用的全部资金数额。</w:t>
        <w:br/>
        <w:t></w:t>
        <w:br/>
        <w:t></w:t>
        <w:br/>
        <w:t>公办学校免学费达标率=（实际享受免学费政策的学生人数÷应享受免学费政策的学生人数）×100%。实际享受免学费政策的学生人数是指按照规定程序申请并获得批准，实际免除学费的学生数量；应享受免学费政策的学生人数是指根据相关政策规定，符合免学费条件的学生总数。</w:t>
        <w:br/>
        <w:t></w:t>
        <w:br/>
        <w:t></w:t>
        <w:br/>
        <w:t></w:t>
        <w:br/>
        <w:t>		</w:t>
        <w:br/>
        <w:t>公办学校免学费达标率		</w:t>
        <w:br/>
        <w:t>	产出时效	资金及时发放率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项目预算控制率</w:t>
        <w:br/>
        <w:t>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保障学校正常运转	项目实施所产生的效益。	该指标主要反映免学费资金是否充足、及时到位，且合理使用，以维持公办学校在教学设施维护、教师薪酬发放、教学活动开展等方面的正常运行。它是评估免学费政策实施效果的重要依据，体现了财政资金对教育基本运转的支撑力度，关系到学校能否持续稳定地为学生提供教育服务。</w:t>
        <w:br/>
        <w:t>满意度指标完成情况分析	满意度指标	师生满意度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168号-关于提前下达2024年中央学生资助补助经费（中职免学费）的特点，本次评价主要采用比较法和因素分析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·乌财科教【2023】168号-关于提前下达2024年中央学生资助补助经费（中职免学费），</w:t>
        <w:br/>
        <w:t>·乌财科教[2023]174号-关于提前下达2024年学生资助补助经费预算[自治区直达资金]的通知（中职免学费）</w:t>
        <w:br/>
        <w:t>·乌财科教【2022】70号--关于提前下达2023年学生资助补助经费预算的通知</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168号-关于提前下达2024年中央学生资助补助经费（中职免学费）进行客观评价，最终评分结果为：总分为100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水电费缴纳次数	6	6	100%</w:t>
        <w:br/>
        <w:t>		外聘教师人数	4	4	</w:t>
        <w:br/>
        <w:t>	产出质量	资金使用合规率	5	5	100%</w:t>
        <w:br/>
        <w:t>		公办学校免学费达标率	5	5	</w:t>
        <w:br/>
        <w:t>	产出时效	资金及时发放率	10	10	100%</w:t>
        <w:br/>
        <w:t>	产出成本	项目预算控制率	10	10	100%</w:t>
        <w:br/>
        <w:t>效益	项目效益	社会效益指标	15	15	100%</w:t>
        <w:br/>
        <w:t>满意度指标完成情况分析	满意度指标	师生满意度	5	5	100%</w:t>
        <w:br/>
        <w:t>（二）主要绩效</w:t>
        <w:br/>
        <w:t>该项目资金区财政及时拨付，单位在此次评价期间内，有序完成设定目标的工作任务。1教学质量通过外聘教师的引入，专业课程教学质量显著提高。2. 学生健康改善，全年完成100%在校学生视力检测和结核筛查；通过护眼教育与疾病干预，学生近视新发率同比下降10%，肺结核病例早发现率100%，有效维护校园健康安全环境。3. 学生全面发展，学生社团活动覆盖率达100%，学生综合素质测评优秀率，促进学生德智体美劳全面发展。4. 宣传与党建成效，党报党刊订阅覆盖率达100%，组织师生学习活动12次以上；更新宣传展板10余期，有效提升学校党建工作影响力，强化师生思想政治素养。 5. 校园稳定运行，学校日常公用经费保障及时，水电、设备等设施故障率降低，保障学校教育教学工作高效、稳定开展，确保免学费资金用于公用经费的支出绩效显著。</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立项依据充分性：① 符合国家法律法规、国民经济发展规划和相关政策。本项目严格遵循《中华人民共和国职业教育法》（2022修订版）中“健全职业教育经费投入机制，加大对职业教育的投入”的规定，以及国务院《国家职业教育改革实施方案》中“完善中等职业学校免学费政策”的要求，确保资金使用合法合规。同时，项目与《“十四五”职业技能培训规划》提出的“强化职业教育基础能力建设”目标高度契合，通过保障公用经费，提升中职学校教学质量，为国家培养高素质技术技能人才，助力国民经济高质量发展，符合国家中长期教育发展战略与财政支持政策导向。</w:t>
        <w:br/>
        <w:t>② 符合行业发展规划和政策要求。教育部《职业教育提质培优行动计划（2020—2023年）》明确提出“加强中职学校基础能力建设，优化教育教学资源配置”，本项目将免学费资金用于师资队伍建设、学生健康管理及校园文化建设，直接服务于职业教育行业提升教学质量、强化学生综合素质培养的核心目标。此外，依据《中等职业学校免学费补助资金管理办法》，资金用于公用经费支出属于政策明确支持范畴，确保项目实施与职业教育行业规划及财政资金管理要求完全一致。</w:t>
        <w:br/>
        <w:t>③ 与部门职责范围相符，属于部门履职所需。作为承担中职教育教学管理职责的部门，保障学校正常运转、提升教育教学质量、维护师生权益是核心职能。本项目通过外聘教师提升专业教学水平、开展学生健康筛查保障校园安全、组织学生活动促进全面发展，以及支持党建宣传强化意识形态阵地建设，均属于部门履职的关键内容。资金用于日常公用经费支出，直接解决学校运转中的实际困难，是部门落实职业教育发展责任、履行公共服务职能的必要举措。</w:t>
        <w:br/>
        <w:t>④ 属于公共财政支持范围，符合事权支出责任划分原则。中职教育免学费政策属于中央与地方共同事权，根据《国务院关于推进中央与地方财政事权和支出责任划分改革的指导意见》，中央与地方按比例分担免学费资金，明确纳入公共财政保障范畴。本项目资金使用聚焦学校公用经费刚性需求，如师资成本、健康管理、校园运转等，属于公共财政“保基本、兜底线”的支持领域。资金分配与使用严格遵循财政预算管理规定，接受财政、审计部门监督，确保中央与地方财政事权落实到位，符合公共财政资金管理规范。</w:t>
        <w:br/>
        <w:t>⑤ 与相关部门同类项目或部门内部项目无重复。经全面核查，本项目资金专项用于中职学校公用经费，与教育、财政等部门的其他项目不存在重复交叉。相比同类专项资金，本项目聚焦学校日常运转核心需求，与“中职学校改善办学条件专项资金”（侧重硬件建设）、“职业院校教师素质提升计划”（侧重教师培训）等项目形成功能互补；在部门内部，资金使用方向明确，与学生奖助学金、基建维修等其他预算项目不存在资金重叠或目标重复，确保财政资金使用精准高效，避免资源浪费。</w:t>
        <w:br/>
        <w:t>因此，立项依据充分，得4分。</w:t>
        <w:br/>
        <w:t>立项程序规范性: ① 严格遵循规定程序申请设立。项目严格按照财政资金管理要求，遵循“需求调研—方案编制—逐级申报—审核备案”的标准化流程。首先，学校根据年度教育教学计划及公用经费实际需求，组织多部门联合审批，形成资金使用初步方案。</w:t>
        <w:br/>
        <w:t>② 审批文件与材料合规完备。项目申报材料严格依据财政部门文件要求编制，所有材料均加盖学校公章，经教育主管部门与财政部门联合审查，材料内容完整、格式规范，符合《预算管理一体化规范》及专项资金申报要求。</w:t>
        <w:br/>
        <w:t>③ 全面完成事前论证与集体决策。项目立项前，开展多层次论证与决策。可行性研究：组织财务、教学、后勤等领域专业人员，结合学校实际需求与财政承受能力，编制可行性报告，分析资金使用对教学质量、校园运转的促进作用。集体决策：将项目方案及论证材料提交校长办公会审议，经全体成员表决通过后，形成会议决议，确保立项决策科学民主、程序规范。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水电费缴纳次数、外聘教师人数、资金使用合规率、公办学校免学费达标率；资金及时发放率、保障学校正常运转和师生满意度。可通过数量指标、质量指标、时效指标、成本指标和满意度指标予以量化，并具有确切的评价标准，且指标设定均与目标相关。各项指标均能在现实条件下收集到相关数据进行佐证（支付凭证通过2.0平台进行查验，每一笔支出财务室均有记账凭证和原始凭证，满意度结果由调查问卷得出），并与当年项目年度计划相对应，故绩效目标明确性指标得分3分。</w:t>
        <w:br/>
        <w:t>综上，该指标满分6分，得分6分。</w:t>
        <w:br/>
        <w:t>3.资金投入</w:t>
        <w:br/>
        <w:t>预算编制科学性：① 预算编制经过科学论证。预算编制前，学校组建由财务、教务、后勤等多部门人员构成的专项小组，结合近三年公用经费实际支出数据，开展系统性调研与分析。通过召开教职工代表座谈会、行业内同类学校对标分析，明确资金需求重点。② 预算内容与项目内容高度匹配。预算编制严格围绕项目实施内容进行精准划分，确保资金使用与项目目标一一对应。预算科目设置清晰，无交叉重叠或遗漏，确保每一笔资金都有明确的用途指向，与项目实施方案紧密衔接。③ 预算额度测算依据充分，严格按标准编制，确保科学性与规范性。所有预算数据均附详细测算过程与标准依据，确保资金分配有据可依。④ 预算资金量与工作任务精准匹配。预算确定的资金规模紧密围绕年度工作任务量进行核定。例如，外聘教师薪酬预算根据新增课程数量、课时需求及教师人数计算；学生健康筛查费用按全校学生人数及检测项目单价全额保障等。确保预算总额既满足工作任务刚性需求，又符合财政资金管理的经济性原则，避免资金闲置或短缺。故预算编制科学性指标得分3分。</w:t>
        <w:br/>
        <w:t>资金分配合理性：① 预算资金分配依据充分。预算资金分配严格遵循国家政策文件、学校实际需求及历史数据，确保每一项资金分配均有明确依据② 资金分配额度合理，契合学校实际需求。资金分配额度紧密结合学校办学规模、发展规划及地方经济水平，实现精准适配。故资金分配合理性指标得分3分。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 年初预算数240.09万元，全年预算数275.9万元，该项目资金由财政拨付，在2024年1月26日到位，资金直接支付到各供应商等等。故资金到位率为100%，故资金到位率指标得分5分。</w:t>
        <w:br/>
        <w:t>预算执行率：全年预算数275.9万元，执行数275.9万元，预算执行率100%，财政资金到位后，按照学校各部门用款计划报送时间在2.0平台做计划支付，待财政终审后，资金直接支付到各个供应商。预算资金全部执行完毕。故预算执行率得分为5分。</w:t>
        <w:br/>
        <w:t>资金使用合规性：</w:t>
        <w:br/>
        <w:t>① 严格遵循国家财经法规与管理制度。资金使用全程严格执行《中华人民共和国预算法》《政府会计制度》《中等职业学校免学费补助资金管理办法》等法规政策，明确限定免学费资金用于公用经费支出，杜绝超范围使用。</w:t>
        <w:br/>
        <w:t>② 资金拨付审批程序完整规范。资金拨付实行“申请-审核-审批-支付”四级管控流程：使用部门提交资金申请单，详细说明用途及预算依据；财务部门对照项目预算、合同条款审核资金合理性；分管校领导及校长办公会逐级审批，重大支出提交集体决策；最终通过国库集中支付系统完成拨付，所有环节均留存审批签字文件、会议纪要及支付凭证，确保资金流向可追溯、审批手续完备。</w:t>
        <w:br/>
        <w:t>③ 完全符合预算批复与合同约定用途。资金支出严格对照财政部门批复的预算方案执行，未擅自调整项目内容或资金额度。</w:t>
        <w:br/>
        <w:t>④ 无截留、挤占、挪用及虚列支出问题。通过多重监管机制杜绝违规行为。内部控制：财务部门按月核查资金流向，审计部门每季度开展专项审计，重点排查异常支出；外部监督：主动接受财政、审计部门年度检查及第三方绩效评价，公开资金使用明细接受社会监督。确保资金使用合法合规、透明高效。</w:t>
        <w:br/>
        <w:t>资金使用合规性得分为3分。</w:t>
        <w:br/>
        <w:t>综上，该指标满分13分，得分13分。</w:t>
        <w:br/>
        <w:t>2.组织实施</w:t>
        <w:br/>
        <w:t>管理制度健全性：① 建立完善的财务与业务管理制度体系。米东区职业中等专业学校学校围绕免学费资金管理，明确资金使用原则、支出范围、审批流程及监督机制，并细化资金拨付、报销凭证要求及业务操作流程；建立《财务风险防控办法》，通过岗位分离、分级审批、定期轮岗等措施，强化资金使用的内部监督。制度覆盖资金申请、分配、使用、核算全流程，确保管理无盲区。② 管理制度合法合规且体系完整。合法性：所有制度严格遵循《中华人民共和国预算法》《中等职业学校免学费补助资金管理办法》《政府会计制度》等国家法律法规制定，资金支出范围、审批权限等条款均与上级政策保持一致，不存在冲突或违规内容。合规性：所有用款计划由校长办公会审议通过，确保程序规范。完整性：制度体系涵盖财务与业务管理各环节，形成“预算-执行-监督-评价”闭环管理，保障资金使用规范、透明、高效。故管理制度健全性得分为3分。</w:t>
        <w:br/>
        <w:t>制度执行有效性：① 严格遵守法律法规与管理规定。严格执行校内《专项资金管理细则》，对每笔支出进行“三审三查”：审核资金用途是否符合政策规定、审批流程是否完整、票据凭证是否真实；检查支出是否超预算、超标准、超范围。② 项目及支出调整手续完备规范。若因实际需求变化需调整项目或支出，学校严格履行“申请-论证-审批-备案”程序。③ 项目资料齐全且及时归档。建立专项资金档案管理制度，确保资料完整、分类清晰、检索便捷。同时，对电子档案进行备份存储，保障数据安全，为资金审计、绩效评价提供详实依据。根据评价小组核查情况，米东区职业中等专业学校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项目产出指标由4个二级指标和6个三级指标构成，权重为40分，实际得分40分。</w:t>
        <w:br/>
        <w:t>1.产出数量</w:t>
        <w:br/>
        <w:t>数量指标 “水电费缴纳次数”的目标值是10次，2024年度我单位实际完成14次，原因是实际缴纳次数多于预期，目标值设置较低。实际完成率：140%，故实际完成率得分为6分。</w:t>
        <w:br/>
        <w:t>数量指标“外聘教师人数”的目标值是15人，2024年度我单位实际完成18人。实际值超过目标值，原因为现有教师人数不足，无法完成教学总课时，本年度新招聘外聘教师3人。实际完成率：120%，故实际完成率得分为4分。</w:t>
        <w:br/>
        <w:t>综上，数量指标得分为10分。</w:t>
        <w:br/>
        <w:t>2.产出质量</w:t>
        <w:br/>
        <w:t>资金使用合规率：资金使用合规率=（合规使用的资金金额÷资金使用总金额）×100%。其中，合规使用的资金金额是指在资金使用过程中，严格按照相关法律法规、政策要求、预算安排以及合同约定等进行使用的资金数额；资金使用总金额是指一定时期内实际使用的全部资金数额。资金使用合规率目标值100%，完成值100%。实际完成率100%，故实际完成率得分为5分。</w:t>
        <w:br/>
        <w:t>公办学校免学费达标率：公办学校免学费达标率=（实际享受免学费政策的学生人数÷应享受免学费政策的学生人数）×100%。实际享受免学费政策的学生人数是指按照规定程序申请并获得批准，实际免除学费的学生数量；应享受免学费政策的学生人数是指根据相关政策规定，符合免学费条件的学生总数。公办学校免学费达标率目标值100%，完成值100%。实际完成率100%，故实际完成率得分为5分。</w:t>
        <w:br/>
        <w:t>3.产出时效</w:t>
        <w:br/>
        <w:t>资金及时发放率目标值100%，完成值100%。资金及时发放完成率100%，故完成及时性得分为10分。</w:t>
        <w:br/>
        <w:t>4.产出成本</w:t>
        <w:br/>
        <w:t>经济成本：项目预算控制率：本项目实际支出275.9万元，无超支情况，项目资金全部完成，得分为10分。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项目效益指标由1个二级指标和1个三级指标构成，权重为15分，实际得分15分。 </w:t>
        <w:br/>
        <w:t>1.实施效益</w:t>
        <w:br/>
        <w:t>经济效益指标：不适用。 </w:t>
        <w:br/>
        <w:t>社会效益指标：评价指标“保障学校正常运转”，指标值：有效保障，实际完成值：完全达到预期。本项目的实施保证了教育公平与机会普惠。免学费资金用于日常公用经费，极大减轻了家庭经济负担，消除了因学费产生的入学障碍。有效保障了不同经济条件学生享有平等接受职业教育的机会，促进教育公平的实现。</w:t>
        <w:br/>
        <w:t>教育资源均衡覆盖：通过资金支持，偏远地区和薄弱中职学校得以改善教学条件。在师资方面，为这些学校补充了外聘专业教师，使师生比更趋合理；在教学设施上，更新了教学设备缩小了与优质学校之间的差距，推动区域内教育资源的均衡配置。</w:t>
        <w:br/>
        <w:t>公共服务与民生保障。学生健康水平有效保障：专项资金全额支持学生视力检测和肺结核筛查，实现全校学生100%覆盖。通过定期检测和针对性的护眼教育、疾病干预措施，切实保障了青少年的身体健康，减轻了家庭的医疗负担，也维护了校园公共卫生安全。</w:t>
        <w:br/>
        <w:t xml:space="preserve"> 校园文化与学生综合素质提升：资金支持下，学校广泛开展各类文体活动、技能竞赛和社团活动，全年举办校级活动达10余场，参与学生超过600人次。同时，用于党建宣传和党报党刊订阅的经费，加强了师生的思想政治教育。学生在活动中提升了团队协作能力、创新能力和社会责任感，校园文化氛围更加积极向上，为学生的全面发展提供了良好环境。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师生满意度”，指标值：≥90%，实际完成值：95.8%。通过设置问卷调查的方式进行考评评价，共计调查样本总量为20个样本，有效调查问卷20份。其中，统计“师生满意度”的平均值为95.8%。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多方协同的全过程监管模式。强化资金使用合规性，杜绝管理漏洞。构建“校内+校外”“线上+线下”立体化监督网络。校内成立由纪检、财务、审计组成的专项督查组，按月抽查资金使用凭证。同时，依托财政预算管理一体化系统，实现资金申请、审批、拨付全流程线上留痕，自动预警异常支出。全年资金使用合规率达100%，未发生一起违规案例。</w:t>
        <w:br/>
        <w:t>需求导向是资金高效利用的核心。通过本年度实践深刻认识到，脱离实际需求的资金分配易导致资源闲置或浪费。未来需进一步强化调研机制，建立常态化的需求反馈渠道，确保资金精准投入到学校发展的“痛点”与“堵点”，如重点支持新兴产业相关专业建设。</w:t>
        <w:br/>
        <w:t>协同监管是资金安全的关键保障。多方联动的监督模式有效规避了资金风险，未来可进一步拓展监管维度，例如引入师生代表参与监督，利用信息化手段实现资金使用的实时公开，提升透明度与公信力。</w:t>
        <w:br/>
        <w:t>通过本年度实践，免学费资金项目不仅保障了学校的正常运转，更通过机制创新、模式突破为职业教育高质量发展提供了可复制的经验，未来将持续深化改革，释放资金更大效能。</w:t>
        <w:br/>
        <w:t>（二）存在的问题及原因分析</w:t>
        <w:br/>
        <w:t>过程监控流于形式：虽然建立了资金使用定期检查制度，但实际执行中仅停留在账目核对层面，对资金使用效果、项目实施进度等核心环节缺乏深度监督。</w:t>
        <w:br/>
        <w:t>监管力量薄弱：监督工作主要由财务部门兼职承担，缺乏专业审计人员和专职监督岗位，难以实现全流程、精细化监管。</w:t>
        <w:br/>
        <w:t>信息化手段应用不足：未充分利用大数据、区块链等技术对资金流向进行实时追踪，依赖人工检查易出现监管盲区。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强化前期调研与论证。成立由财务、教务、专业教师组成的调研小组，结合学校近三年教学成果、师资结构、设备使用等数据，分析学校实际能力。例如，针对技能竞赛目标，需参考历年获奖数据、现有实训设备参数及师生配比，制定切实可行的指标。</w:t>
        <w:br/>
        <w:t>健全监督管理体系。充实监管力量与明确权责。增设专职审计岗位或引入专业审计团队，负责资金使用全流程监督，重点核查资金使用效益、项目进度及合规性。制定《资金监管责任清单》，明确财务部门负责账目审核、教务部门监督项目实施、纪检部门处理违规行为，避免职责交叉。</w:t>
        <w:br/>
        <w:t>推进信息化监管手段。搭建资金监管数字化平台，集成预算编制、资金拨付、绩效评价等功能，实现资金流向实时追踪、异常支出自动预警。例如，利用区块链技术确保报销凭证不可篡改，降低虚假报销风险。定期公开资金使用明细及绩效数据，接受师生、家长和社会监督，增强透明度。</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项目支出政策和路径设计科学，符合实际需要</w:t>
        <w:br/>
        <w:t>在政策设计层面，项目严格遵循国家中职免学费资金管理相关规定，结合学校办学特点与实际需求，明确资金使用范围、支出标准和审批流程。资金分配依据学校教学、管理、后勤等不同领域的优先级，形成“保基础、促发展”的分级投入机制。路径设计上，采用“预算 - 执行 - 监控 - 调整”闭环管理模式。年初依据上年度资金使用情况和本年度重点工作编制详细预算，经校务会议审议通过后执行；执行过程中，确保资金支出政策和路径既符合国家政策要求，又契合学校实际发展需求。</w:t>
        <w:br/>
        <w:t>2. 项目安排准确，未发现背离项目立项初衷的情况</w:t>
        <w:br/>
        <w:t>项目立项之初便明确以保障中职学校日常运转、提升教育教学质量为核心目标。在实际执行过程中，所有资金安排均围绕这一初衷展开。教学运行保障方面，资金用于校园日常维护支出，改善学习生活环境，为师生创造良好的教学与生活条件；学生活动经费支持，促进学生全面发展，践行职业教育育人理念；信息化建设投入，推动学校现代化发展，提升办学竞争力。通过定期开展项目执行情况检查与评估，对比项目实施效果与立项预期目标，各项工作均与立项初衷高度契合。</w:t>
        <w:br/>
        <w:t>3. 项目的申报、审核机制完善</w:t>
        <w:br/>
        <w:t>项目申报阶段，制定了详细的申报指南，明确申报条件、所需材料及申报流程。要求各部门根据实际工作需求，提前规划项目内容，编制项目预算，经部门负责人审核后提交至学校财务部门汇总。财务部门联合教学、后勤等相关职能部门，对申报项目的必要性、可行性和预算合理性进行初步审核，筛选出符合要求的项目纳入年度项目库。</w:t>
        <w:br/>
        <w:t>审核机制方面，建立多级审核制度。初审由校内专业人员组成的评审小组对项目库中的项目进行集中评审，从项目目标、实施方案、资金预算等方面进行全面评估，由学校领导班子会议审议确定最终项目清单和资金分配方案。此外，所有申报和审核过程均保留完整的记录和档案，确保流程公开透明、可追溯。同时，设立申诉渠道，对审核结果有异议的部门或个人可提出申诉，进一步保障审核结果的公平公正，有效杜绝了不合理项目申报和违规资金分配情况的发生。</w:t>
        <w:br/>
        <w:t>4. 未发现虚假行为和骗取财政资金的问题</w:t>
        <w:br/>
        <w:t>在项目实施过程中，通过建立健全内部控制制度和监督机制，有效防范虚假行为和骗取财政资金现象。内部控制方面，明确各岗位在资金管理中的职责权限，实行不相容岗位分离。加强财务核算管理，对每一笔资金支出进行严格审核，确保票据真实合法、支出内容与项目相符。监督机制上，构建了内部监督与外部监督相结合的全方位监督体系。经多方监督检查和审查，未发现任何虚假申报项目、虚列支出、虚报冒领等骗取财政资金的问题，保障了财政资金的安全有效使用。</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