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6088CC">
      <w:pPr>
        <w:spacing w:after="0" w:line="240" w:lineRule="auto"/>
        <w:rPr>
          <w:rFonts w:hint="eastAsia" w:ascii="宋体" w:eastAsia="宋体"/>
          <w:sz w:val="32"/>
          <w:szCs w:val="32"/>
        </w:rPr>
      </w:pPr>
    </w:p>
    <w:p w14:paraId="646CF5F7">
      <w:pPr>
        <w:spacing w:after="0" w:line="240" w:lineRule="auto"/>
        <w:rPr>
          <w:rFonts w:hint="eastAsia" w:ascii="宋体" w:eastAsia="宋体"/>
          <w:sz w:val="44"/>
          <w:szCs w:val="44"/>
        </w:rPr>
      </w:pPr>
    </w:p>
    <w:p w14:paraId="4324FF3D">
      <w:pPr>
        <w:spacing w:after="0" w:line="240" w:lineRule="auto"/>
        <w:rPr>
          <w:rFonts w:hint="eastAsia" w:ascii="宋体" w:eastAsia="宋体"/>
          <w:sz w:val="44"/>
          <w:szCs w:val="44"/>
        </w:rPr>
      </w:pPr>
    </w:p>
    <w:p w14:paraId="7D60A052">
      <w:pPr>
        <w:spacing w:after="0" w:line="240" w:lineRule="auto"/>
        <w:rPr>
          <w:rFonts w:hint="eastAsia" w:ascii="宋体" w:eastAsia="宋体"/>
          <w:sz w:val="44"/>
          <w:szCs w:val="44"/>
        </w:rPr>
      </w:pPr>
    </w:p>
    <w:p w14:paraId="7EF36FD5">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乌鲁木齐市第106小学</w:t>
      </w:r>
    </w:p>
    <w:p w14:paraId="5C163CEE">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5C2C6EB8">
      <w:pPr>
        <w:rPr>
          <w:rFonts w:hint="eastAsia"/>
          <w:lang w:eastAsia="zh-CN"/>
        </w:rPr>
      </w:pPr>
      <w:r>
        <w:rPr>
          <w:sz w:val="0"/>
          <w:szCs w:val="0"/>
          <w:lang w:eastAsia="zh-CN"/>
        </w:rPr>
        <w:br w:type="page"/>
      </w:r>
    </w:p>
    <w:p w14:paraId="2FA07724">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3A0761F1">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4845276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2006686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30DEF44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744F2E7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1CB6C58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2AC3AEE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301A4B0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BBD4DB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85A6CB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008C9F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C3A139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B0EDE3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4470246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D3121E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0EEE51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7D6E64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3A4D7D4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49CCBEC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4EC0916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4C9792A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6DE125B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7171E281">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390B721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0723ABC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E80B9B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2B61A0E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5B67C99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7AE6F3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9EE63E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97A9E1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00F625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93BC3B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74CF70AF">
      <w:pPr>
        <w:rPr>
          <w:rFonts w:hint="eastAsia"/>
          <w:lang w:eastAsia="zh-CN"/>
        </w:rPr>
      </w:pPr>
      <w:r>
        <w:rPr>
          <w:sz w:val="0"/>
          <w:szCs w:val="0"/>
          <w:lang w:eastAsia="zh-CN"/>
        </w:rPr>
        <w:br w:type="page"/>
      </w:r>
    </w:p>
    <w:p w14:paraId="5522CE6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356185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08EFCAC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本校是一所普通小学。主要是招收适龄儿童实施初等教育的独立设置学校。确立了“以市场为导向，以服务为宗旨，以需求为目标，以管理促效益，以质量求生存”的办学理念和工作思路。</w:t>
      </w:r>
    </w:p>
    <w:p w14:paraId="0589C9E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1．宣传贯彻执行党和国家的教育方针、政策、法律法规等，坚持依法治教、依法治学，贯彻执行上级教育部门的行政规章制度。</w:t>
      </w:r>
      <w:bookmarkStart w:id="15" w:name="_GoBack"/>
      <w:bookmarkEnd w:id="15"/>
    </w:p>
    <w:p w14:paraId="1212D02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2．配合上级教育部门制定符合党的教育方针和国家教育法律法规以及本校实际的教育发展规划和学校布局调整规划，并抓好组织实施和落实工作。</w:t>
      </w:r>
    </w:p>
    <w:p w14:paraId="76C71A1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3．配合各级人民政府依法动员、组织适龄少年入学，严格控制辍学，推进普及义务教育。</w:t>
      </w:r>
    </w:p>
    <w:p w14:paraId="4F41B71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4．组织开展本校的教育教学科研和教育教学改革，科研兴教，科研兴校。负责对本校教育教学业务的具体管理，负责教育教学管理及教研教改工作。</w:t>
      </w:r>
    </w:p>
    <w:p w14:paraId="271A684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5．按照干部和教师的职数、编制和管理权限，制定切实可行的学校工作规章制度，以提高教育教学质量为目的，负责本校教师人事管理、继续教育、考核考评等工作。</w:t>
      </w:r>
    </w:p>
    <w:p w14:paraId="3B1FC4C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6．负责本校财务和基建管理，筹措资金，改善办学条件等工作，为师生提供优美和谐的学习和工作环境。核算和发放教职工工资,维护教职工利益，保障教职工合法权益。</w:t>
      </w:r>
    </w:p>
    <w:p w14:paraId="4CCD2E0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7．指导、管理、检查、评价本校的教育教学工作，提高办学质量和办学效益。按照义务教育课程计划，开齐课程，开足课时，认真教育教学管理，全面提高教育教学质量。</w:t>
      </w:r>
    </w:p>
    <w:p w14:paraId="766CC38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8．建立健全学生学籍管理制度，按</w:t>
      </w:r>
      <w:r>
        <w:rPr>
          <w:rFonts w:hint="eastAsia" w:ascii="仿宋_GB2312" w:eastAsia="仿宋_GB2312"/>
          <w:sz w:val="32"/>
          <w:szCs w:val="32"/>
          <w:lang w:eastAsia="zh-CN"/>
        </w:rPr>
        <w:t>教育部</w:t>
      </w:r>
      <w:r>
        <w:rPr>
          <w:rFonts w:ascii="仿宋_GB2312" w:eastAsia="仿宋_GB2312"/>
          <w:sz w:val="32"/>
          <w:szCs w:val="32"/>
          <w:lang w:eastAsia="zh-CN"/>
        </w:rPr>
        <w:t>颁布的规定管理学生学籍。</w:t>
      </w:r>
    </w:p>
    <w:p w14:paraId="4595CFD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9．在上级党委、政府和教育行政部门的领导下，积极开展学校的安全管理，不断提高安全管理水平，努力营造安全和谐的校园环境。</w:t>
      </w:r>
    </w:p>
    <w:p w14:paraId="1F53FF3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10．在上级教育部门的领导下，谋划布局，全面推进义务教育均衡发展。</w:t>
      </w:r>
    </w:p>
    <w:p w14:paraId="7472C81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7272A51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乌鲁木齐市第106小学2024年度，实有人数47人，其中：在职人员32人，增加2人；离休人员0人，较上年无变化；退休人员15人，较上年无变化</w:t>
      </w:r>
      <w:r>
        <w:rPr>
          <w:rFonts w:hint="eastAsia" w:ascii="仿宋_GB2312" w:eastAsia="仿宋_GB2312"/>
          <w:sz w:val="32"/>
          <w:szCs w:val="32"/>
          <w:lang w:eastAsia="zh-CN"/>
        </w:rPr>
        <w:t>。</w:t>
      </w:r>
    </w:p>
    <w:p w14:paraId="33337C7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乌鲁木齐市第106小学无下属预算单位，下设6个</w:t>
      </w:r>
      <w:r>
        <w:rPr>
          <w:rFonts w:hint="eastAsia" w:ascii="仿宋_GB2312" w:eastAsia="仿宋_GB2312"/>
          <w:sz w:val="32"/>
          <w:szCs w:val="32"/>
          <w:lang w:eastAsia="zh-CN"/>
        </w:rPr>
        <w:t>科室</w:t>
      </w:r>
      <w:r>
        <w:rPr>
          <w:rFonts w:ascii="仿宋_GB2312" w:eastAsia="仿宋_GB2312"/>
          <w:sz w:val="32"/>
          <w:szCs w:val="32"/>
          <w:lang w:eastAsia="zh-CN"/>
        </w:rPr>
        <w:t>，分别是：校长办公室、财务室、综合学科办公室、低段学科办公室、中段学科办公室、高段学科办公室。</w:t>
      </w:r>
    </w:p>
    <w:p w14:paraId="593B4589">
      <w:pPr>
        <w:rPr>
          <w:rFonts w:hint="eastAsia"/>
          <w:lang w:eastAsia="zh-CN"/>
        </w:rPr>
      </w:pPr>
      <w:r>
        <w:rPr>
          <w:sz w:val="0"/>
          <w:szCs w:val="0"/>
          <w:lang w:eastAsia="zh-CN"/>
        </w:rPr>
        <w:br w:type="page"/>
      </w:r>
    </w:p>
    <w:p w14:paraId="51E7843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39C81DF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4D31E9A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2024年度收入总计692.29万元，其中：本年收入合计683.20万元，使用非财政拨款结余（含专用结余）0.00万元，年初结转和结余9.09万元。</w:t>
      </w:r>
    </w:p>
    <w:p w14:paraId="0EDDF84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2024年度支出总计692.29万元，其中：本年支出合计686.32万元，结余分配0.00万元，年末结转和结余5.97万元。</w:t>
      </w:r>
    </w:p>
    <w:p w14:paraId="748B57C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收入支出总体与上年相比，增加76.88万元，增长12.49%，主要原因是：</w:t>
      </w:r>
      <w:bookmarkStart w:id="0" w:name="_Hlk209001061"/>
      <w:bookmarkStart w:id="1" w:name="_Hlk209016193"/>
      <w:r>
        <w:rPr>
          <w:rFonts w:hint="eastAsia" w:ascii="仿宋_GB2312" w:eastAsia="仿宋_GB2312"/>
          <w:sz w:val="32"/>
          <w:szCs w:val="32"/>
          <w:lang w:eastAsia="zh-CN"/>
        </w:rPr>
        <w:t>在职人员</w:t>
      </w:r>
      <w:r>
        <w:rPr>
          <w:rFonts w:hint="eastAsia" w:ascii="仿宋_GB2312" w:eastAsia="仿宋_GB2312"/>
          <w:sz w:val="32"/>
          <w:szCs w:val="32"/>
          <w:lang w:val="en-US" w:eastAsia="zh-CN"/>
        </w:rPr>
        <w:t>增加，同时人员</w:t>
      </w:r>
      <w:r>
        <w:rPr>
          <w:rFonts w:hint="eastAsia" w:ascii="仿宋_GB2312" w:eastAsia="仿宋_GB2312"/>
          <w:sz w:val="32"/>
          <w:szCs w:val="32"/>
          <w:lang w:eastAsia="zh-CN"/>
        </w:rPr>
        <w:t>薪资调增，</w:t>
      </w:r>
      <w:bookmarkStart w:id="2" w:name="_Hlk209026749"/>
      <w:bookmarkStart w:id="3" w:name="_Hlk209002448"/>
      <w:r>
        <w:rPr>
          <w:rFonts w:hint="eastAsia" w:ascii="仿宋_GB2312" w:eastAsia="仿宋_GB2312"/>
          <w:sz w:val="32"/>
          <w:szCs w:val="32"/>
          <w:lang w:eastAsia="zh-CN"/>
        </w:rPr>
        <w:t>人员</w:t>
      </w:r>
      <w:bookmarkStart w:id="4" w:name="_Hlk209001149"/>
      <w:bookmarkStart w:id="5" w:name="_Hlk209007270"/>
      <w:r>
        <w:rPr>
          <w:rFonts w:hint="eastAsia" w:ascii="仿宋_GB2312" w:eastAsia="仿宋_GB2312"/>
          <w:sz w:val="32"/>
          <w:szCs w:val="32"/>
          <w:lang w:eastAsia="zh-CN"/>
        </w:rPr>
        <w:t>工资、津补贴等人员经费</w:t>
      </w:r>
      <w:bookmarkEnd w:id="0"/>
      <w:bookmarkEnd w:id="2"/>
      <w:r>
        <w:rPr>
          <w:rFonts w:hint="eastAsia" w:ascii="仿宋_GB2312" w:eastAsia="仿宋_GB2312"/>
          <w:sz w:val="32"/>
          <w:szCs w:val="32"/>
          <w:lang w:eastAsia="zh-CN"/>
        </w:rPr>
        <w:t>较上年</w:t>
      </w:r>
      <w:bookmarkEnd w:id="4"/>
      <w:r>
        <w:rPr>
          <w:rFonts w:hint="eastAsia" w:ascii="仿宋_GB2312" w:eastAsia="仿宋_GB2312"/>
          <w:sz w:val="32"/>
          <w:szCs w:val="32"/>
          <w:lang w:eastAsia="zh-CN"/>
        </w:rPr>
        <w:t>增加</w:t>
      </w:r>
      <w:bookmarkEnd w:id="1"/>
      <w:bookmarkEnd w:id="3"/>
      <w:bookmarkEnd w:id="5"/>
      <w:r>
        <w:rPr>
          <w:rFonts w:ascii="仿宋_GB2312" w:eastAsia="仿宋_GB2312"/>
          <w:sz w:val="32"/>
          <w:szCs w:val="32"/>
          <w:lang w:eastAsia="zh-CN"/>
        </w:rPr>
        <w:t>。</w:t>
      </w:r>
    </w:p>
    <w:p w14:paraId="20B30A7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0FA45DD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本年收入683.20万元，其中：财政拨款收入657.13万元,占96.18%；上级补助收入0.00万元,占0.00%；事业收入0.00万元，占0.00%；经营收入0.00万元,占0.00%；附属单位上缴收入0.00万元，占0.00%；其他收入26.08万元，占3.82%。</w:t>
      </w:r>
    </w:p>
    <w:p w14:paraId="2FB1550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4116D4E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本年支出686.32万元，其中：基本支出592.26万元，占86.30%；项目支出94.06万元，占13.70%；上缴上级支出0.00万元，占0.00%；经营支出0.00万元，占0.00%；对附属单位补助支出0.00万元，占0.00%。</w:t>
      </w:r>
    </w:p>
    <w:p w14:paraId="23F2EEC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9BEECA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2024年度财政拨款收入总计662.79万元，其中：年初财政拨款结转和结余5.67万元，本年财政拨款收入657.13万元。财政拨款支出总计662.79万元，其中：年末财政拨款结转和结余2.32万元，本年财政拨款支出660.48万元。</w:t>
      </w:r>
    </w:p>
    <w:p w14:paraId="6C88E05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财政拨款收入支出总体与上年相比，增加86.68万元，增长15.05%，主要原因是：</w:t>
      </w:r>
      <w:r>
        <w:rPr>
          <w:rFonts w:hint="eastAsia" w:ascii="仿宋_GB2312" w:eastAsia="仿宋_GB2312"/>
          <w:sz w:val="32"/>
          <w:szCs w:val="32"/>
          <w:lang w:eastAsia="zh-CN"/>
        </w:rPr>
        <w:t>在职人员</w:t>
      </w:r>
      <w:r>
        <w:rPr>
          <w:rFonts w:hint="eastAsia" w:ascii="仿宋_GB2312" w:eastAsia="仿宋_GB2312"/>
          <w:sz w:val="32"/>
          <w:szCs w:val="32"/>
          <w:lang w:val="en-US" w:eastAsia="zh-CN"/>
        </w:rPr>
        <w:t>增加，同时人员</w:t>
      </w:r>
      <w:r>
        <w:rPr>
          <w:rFonts w:hint="eastAsia" w:ascii="仿宋_GB2312" w:eastAsia="仿宋_GB2312"/>
          <w:sz w:val="32"/>
          <w:szCs w:val="32"/>
          <w:lang w:eastAsia="zh-CN"/>
        </w:rPr>
        <w:t>薪资调增，人员工资、津补贴等人员经费较上年增加</w:t>
      </w:r>
      <w:r>
        <w:rPr>
          <w:rFonts w:ascii="仿宋_GB2312" w:eastAsia="仿宋_GB2312"/>
          <w:sz w:val="32"/>
          <w:szCs w:val="32"/>
          <w:lang w:eastAsia="zh-CN"/>
        </w:rPr>
        <w:t>。与年初预算相比，年初预算数706.95万元，决算数662.79万元，预决算差异率-6.25%，主要原因是：</w:t>
      </w:r>
      <w:r>
        <w:rPr>
          <w:rFonts w:hint="eastAsia" w:ascii="仿宋_GB2312" w:eastAsia="仿宋_GB2312"/>
          <w:sz w:val="32"/>
          <w:szCs w:val="32"/>
          <w:lang w:eastAsia="zh-CN"/>
        </w:rPr>
        <w:t>本年单位在职及退休人员</w:t>
      </w:r>
      <w:r>
        <w:rPr>
          <w:rFonts w:ascii="仿宋_GB2312" w:eastAsia="仿宋_GB2312"/>
          <w:sz w:val="32"/>
          <w:szCs w:val="32"/>
          <w:lang w:eastAsia="zh-CN"/>
        </w:rPr>
        <w:t>基础绩效奖发放</w:t>
      </w:r>
      <w:r>
        <w:rPr>
          <w:rFonts w:hint="eastAsia" w:ascii="仿宋_GB2312" w:eastAsia="仿宋_GB2312"/>
          <w:sz w:val="32"/>
          <w:szCs w:val="32"/>
          <w:lang w:eastAsia="zh-CN"/>
        </w:rPr>
        <w:t>金额小于年初预算安排金额</w:t>
      </w:r>
      <w:r>
        <w:rPr>
          <w:rFonts w:ascii="仿宋_GB2312" w:eastAsia="仿宋_GB2312"/>
          <w:sz w:val="32"/>
          <w:szCs w:val="32"/>
          <w:lang w:eastAsia="zh-CN"/>
        </w:rPr>
        <w:t>。</w:t>
      </w:r>
    </w:p>
    <w:p w14:paraId="5A141DA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50C1C59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34C50CD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2024年度一般公共预算财政拨款支出660.48万元，占本年支出合计的96.23%。与上年相比，增加99.69万元，增长17.78%，主要原因是：</w:t>
      </w:r>
      <w:r>
        <w:rPr>
          <w:rFonts w:hint="eastAsia" w:ascii="仿宋_GB2312" w:eastAsia="仿宋_GB2312"/>
          <w:sz w:val="32"/>
          <w:szCs w:val="32"/>
          <w:lang w:eastAsia="zh-CN"/>
        </w:rPr>
        <w:t>在职人员</w:t>
      </w:r>
      <w:r>
        <w:rPr>
          <w:rFonts w:hint="eastAsia" w:ascii="仿宋_GB2312" w:eastAsia="仿宋_GB2312"/>
          <w:sz w:val="32"/>
          <w:szCs w:val="32"/>
          <w:lang w:val="en-US" w:eastAsia="zh-CN"/>
        </w:rPr>
        <w:t>增加，同时人员</w:t>
      </w:r>
      <w:r>
        <w:rPr>
          <w:rFonts w:hint="eastAsia" w:ascii="仿宋_GB2312" w:eastAsia="仿宋_GB2312"/>
          <w:sz w:val="32"/>
          <w:szCs w:val="32"/>
          <w:lang w:eastAsia="zh-CN"/>
        </w:rPr>
        <w:t>薪资调增，人员工资、津补贴等人员经费较上年增加</w:t>
      </w:r>
      <w:r>
        <w:rPr>
          <w:rFonts w:ascii="仿宋_GB2312" w:eastAsia="仿宋_GB2312"/>
          <w:sz w:val="32"/>
          <w:szCs w:val="32"/>
          <w:lang w:eastAsia="zh-CN"/>
        </w:rPr>
        <w:t>。与年初预算相比，年初预算数706.95万元，决算数660.48万元，预决算差异率-6.57%，主要原因是：</w:t>
      </w:r>
      <w:r>
        <w:rPr>
          <w:rFonts w:hint="eastAsia" w:ascii="仿宋_GB2312" w:eastAsia="仿宋_GB2312"/>
          <w:sz w:val="32"/>
          <w:szCs w:val="32"/>
          <w:lang w:eastAsia="zh-CN"/>
        </w:rPr>
        <w:t>本年单位在职及退休人员</w:t>
      </w:r>
      <w:r>
        <w:rPr>
          <w:rFonts w:ascii="仿宋_GB2312" w:eastAsia="仿宋_GB2312"/>
          <w:sz w:val="32"/>
          <w:szCs w:val="32"/>
          <w:lang w:eastAsia="zh-CN"/>
        </w:rPr>
        <w:t>基础绩效奖发放</w:t>
      </w:r>
      <w:r>
        <w:rPr>
          <w:rFonts w:hint="eastAsia" w:ascii="仿宋_GB2312" w:eastAsia="仿宋_GB2312"/>
          <w:sz w:val="32"/>
          <w:szCs w:val="32"/>
          <w:lang w:eastAsia="zh-CN"/>
        </w:rPr>
        <w:t>金额小于年初预算安排金额</w:t>
      </w:r>
      <w:r>
        <w:rPr>
          <w:rFonts w:ascii="仿宋_GB2312" w:eastAsia="仿宋_GB2312"/>
          <w:sz w:val="32"/>
          <w:szCs w:val="32"/>
          <w:lang w:eastAsia="zh-CN"/>
        </w:rPr>
        <w:t>。</w:t>
      </w:r>
    </w:p>
    <w:p w14:paraId="068B552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2A4F5F7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教育支出（类）660.48万元，占100.00%。</w:t>
      </w:r>
    </w:p>
    <w:p w14:paraId="420F0478">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552B431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1、教育支出（类）普通教育（款）小学教育（项）：支出决算数为660.48万元，比上年决算增加99.69万元，增长17.78%，主要原因是：</w:t>
      </w:r>
      <w:r>
        <w:rPr>
          <w:rFonts w:hint="eastAsia" w:ascii="仿宋_GB2312" w:eastAsia="仿宋_GB2312"/>
          <w:sz w:val="32"/>
          <w:szCs w:val="32"/>
          <w:lang w:eastAsia="zh-CN"/>
        </w:rPr>
        <w:t>在职人员</w:t>
      </w:r>
      <w:r>
        <w:rPr>
          <w:rFonts w:hint="eastAsia" w:ascii="仿宋_GB2312" w:eastAsia="仿宋_GB2312"/>
          <w:sz w:val="32"/>
          <w:szCs w:val="32"/>
          <w:lang w:val="en-US" w:eastAsia="zh-CN"/>
        </w:rPr>
        <w:t>增加，同时人员</w:t>
      </w:r>
      <w:r>
        <w:rPr>
          <w:rFonts w:hint="eastAsia" w:ascii="仿宋_GB2312" w:eastAsia="仿宋_GB2312"/>
          <w:sz w:val="32"/>
          <w:szCs w:val="32"/>
          <w:lang w:eastAsia="zh-CN"/>
        </w:rPr>
        <w:t>薪资调增，人员工资、津补贴等人员经费较上年增加</w:t>
      </w:r>
      <w:r>
        <w:rPr>
          <w:rFonts w:ascii="仿宋_GB2312" w:eastAsia="仿宋_GB2312"/>
          <w:sz w:val="32"/>
          <w:szCs w:val="32"/>
          <w:lang w:eastAsia="zh-CN"/>
        </w:rPr>
        <w:t>。</w:t>
      </w:r>
    </w:p>
    <w:p w14:paraId="77B8A3F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0177FF5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592.26万元，其中：人员经费562.48万元，包括：基本工资、津贴补贴、奖金、绩效工资、机关事业单位基本养老保险缴费、职工基本医疗保险缴费、公务员医疗补助缴费、其他社会保障缴费和住房公积金。</w:t>
      </w:r>
    </w:p>
    <w:p w14:paraId="738AC18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公用经费29.78万元，包括：电费、取暖费、工会经费、福利费和其他商品和服务支出。</w:t>
      </w:r>
    </w:p>
    <w:p w14:paraId="2D2F68F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0EDA494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739430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1ACDBD3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1E08DA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7EA6C24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6" w:name="_Hlk207143847"/>
      <w:r>
        <w:rPr>
          <w:rFonts w:hint="eastAsia" w:ascii="仿宋_GB2312" w:eastAsia="仿宋_GB2312"/>
          <w:sz w:val="32"/>
          <w:szCs w:val="32"/>
          <w:lang w:eastAsia="zh-CN"/>
        </w:rPr>
        <w:t>我</w:t>
      </w:r>
      <w:bookmarkStart w:id="7" w:name="_Hlk209026967"/>
      <w:r>
        <w:rPr>
          <w:rFonts w:hint="eastAsia" w:ascii="仿宋_GB2312" w:eastAsia="仿宋_GB2312"/>
          <w:sz w:val="32"/>
          <w:szCs w:val="32"/>
          <w:lang w:eastAsia="zh-CN"/>
        </w:rPr>
        <w:t>单位上年度与本年度均无此项经费</w:t>
      </w:r>
      <w:bookmarkEnd w:id="6"/>
      <w:bookmarkEnd w:id="7"/>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E78786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4EB1155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8"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8"/>
      <w:r>
        <w:rPr>
          <w:rFonts w:ascii="仿宋_GB2312" w:eastAsia="仿宋_GB2312"/>
          <w:sz w:val="32"/>
          <w:szCs w:val="32"/>
          <w:lang w:eastAsia="zh-CN"/>
        </w:rPr>
        <w:t>。单位全年安排的因公出国（境）团组0个，因公出国（境）0人次。</w:t>
      </w:r>
    </w:p>
    <w:p w14:paraId="7A8D5ED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9" w:name="_Hlk207140356"/>
      <w:r>
        <w:rPr>
          <w:rFonts w:hint="eastAsia" w:ascii="仿宋_GB2312" w:eastAsia="仿宋_GB2312"/>
          <w:sz w:val="32"/>
          <w:szCs w:val="32"/>
          <w:lang w:eastAsia="zh-CN"/>
        </w:rPr>
        <w:t>单位本年无</w:t>
      </w:r>
      <w:r>
        <w:rPr>
          <w:rFonts w:ascii="仿宋_GB2312" w:eastAsia="仿宋_GB2312"/>
          <w:sz w:val="32"/>
          <w:szCs w:val="32"/>
          <w:lang w:eastAsia="zh-CN"/>
        </w:rPr>
        <w:t>公务用车购置及运行维护费</w:t>
      </w:r>
      <w:bookmarkEnd w:id="9"/>
      <w:r>
        <w:rPr>
          <w:rFonts w:ascii="仿宋_GB2312" w:eastAsia="仿宋_GB2312"/>
          <w:sz w:val="32"/>
          <w:szCs w:val="32"/>
          <w:lang w:eastAsia="zh-CN"/>
        </w:rPr>
        <w:t>。公务用车购置数0辆，公务用车保有量0辆。国有资产占用情况中固定资产车辆1辆，与公务用车保有量差异原因是：</w:t>
      </w:r>
      <w:bookmarkStart w:id="10" w:name="_Hlk208411546"/>
      <w:r>
        <w:rPr>
          <w:rFonts w:hint="eastAsia" w:ascii="仿宋_GB2312" w:eastAsia="仿宋_GB2312"/>
          <w:sz w:val="32"/>
          <w:szCs w:val="32"/>
          <w:lang w:eastAsia="zh-CN"/>
        </w:rPr>
        <w:t>差异车辆为一般业务用车1辆，车辆费用未使用财政拨款公务用车运行维护费支付</w:t>
      </w:r>
      <w:bookmarkEnd w:id="10"/>
      <w:r>
        <w:rPr>
          <w:rFonts w:ascii="仿宋_GB2312" w:eastAsia="仿宋_GB2312"/>
          <w:sz w:val="32"/>
          <w:szCs w:val="32"/>
          <w:lang w:eastAsia="zh-CN"/>
        </w:rPr>
        <w:t>。</w:t>
      </w:r>
    </w:p>
    <w:p w14:paraId="1C7D021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11" w:name="_Hlk207140433"/>
      <w:r>
        <w:rPr>
          <w:rFonts w:hint="eastAsia" w:ascii="仿宋_GB2312" w:eastAsia="仿宋_GB2312"/>
          <w:sz w:val="32"/>
          <w:szCs w:val="32"/>
          <w:lang w:eastAsia="zh-CN"/>
        </w:rPr>
        <w:t>单</w:t>
      </w:r>
      <w:bookmarkStart w:id="12"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11"/>
      <w:bookmarkEnd w:id="12"/>
      <w:r>
        <w:rPr>
          <w:rFonts w:ascii="仿宋_GB2312" w:eastAsia="仿宋_GB2312"/>
          <w:sz w:val="32"/>
          <w:szCs w:val="32"/>
          <w:lang w:eastAsia="zh-CN"/>
        </w:rPr>
        <w:t>。单位全年安排的国内公务接待0批次，0人次。</w:t>
      </w:r>
    </w:p>
    <w:p w14:paraId="02C673B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13" w:name="_Hlk207142995"/>
      <w:r>
        <w:rPr>
          <w:rFonts w:hint="eastAsia" w:ascii="仿宋_GB2312" w:eastAsia="仿宋_GB2312"/>
          <w:sz w:val="32"/>
          <w:szCs w:val="32"/>
          <w:lang w:eastAsia="zh-CN"/>
        </w:rPr>
        <w:t>严格按照预算执行，预决算对比无差异</w:t>
      </w:r>
      <w:bookmarkEnd w:id="13"/>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25300C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551104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61EA8A0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2024年度乌鲁木齐市第106小学单位（事业单位）公用经费支出29.78万元，比上年减少6.81万元，下降18.61%，主要原因是：本年劳务费，工会经费和其他交通费等</w:t>
      </w:r>
      <w:r>
        <w:rPr>
          <w:rFonts w:hint="eastAsia" w:ascii="仿宋_GB2312" w:eastAsia="仿宋_GB2312"/>
          <w:sz w:val="32"/>
          <w:szCs w:val="32"/>
          <w:lang w:eastAsia="zh-CN"/>
        </w:rPr>
        <w:t>较上年</w:t>
      </w:r>
      <w:r>
        <w:rPr>
          <w:rFonts w:ascii="仿宋_GB2312" w:eastAsia="仿宋_GB2312"/>
          <w:sz w:val="32"/>
          <w:szCs w:val="32"/>
          <w:lang w:eastAsia="zh-CN"/>
        </w:rPr>
        <w:t>减少。</w:t>
      </w:r>
    </w:p>
    <w:p w14:paraId="7DBDE94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79AB7EF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4331D34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6982D14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5AA4BC5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截至2024年12月31日，房屋6,021.32平方米，价值1,337.45万元。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7CD9F3A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4E37D837">
      <w:pPr>
        <w:spacing w:after="0" w:line="240" w:lineRule="auto"/>
        <w:ind w:firstLine="640" w:firstLineChars="200"/>
        <w:jc w:val="both"/>
        <w:rPr>
          <w:rFonts w:hint="eastAsia" w:ascii="宋体" w:hAnsi="宋体" w:eastAsia="宋体" w:cs="宋体"/>
          <w:b/>
          <w:bCs/>
          <w:sz w:val="18"/>
          <w:szCs w:val="18"/>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692.29</w:t>
      </w:r>
      <w:r>
        <w:rPr>
          <w:rFonts w:ascii="仿宋_GB2312" w:eastAsia="仿宋_GB2312"/>
          <w:sz w:val="32"/>
          <w:szCs w:val="32"/>
          <w:lang w:eastAsia="zh-CN"/>
        </w:rPr>
        <w:t>万元，实际执行总额</w:t>
      </w:r>
      <w:r>
        <w:rPr>
          <w:rFonts w:hint="eastAsia" w:ascii="仿宋_GB2312" w:eastAsia="仿宋_GB2312"/>
          <w:sz w:val="32"/>
          <w:szCs w:val="32"/>
          <w:lang w:eastAsia="zh-CN"/>
        </w:rPr>
        <w:t>686.32</w:t>
      </w:r>
      <w:r>
        <w:rPr>
          <w:rFonts w:ascii="仿宋_GB2312" w:eastAsia="仿宋_GB2312"/>
          <w:sz w:val="32"/>
          <w:szCs w:val="32"/>
          <w:lang w:eastAsia="zh-CN"/>
        </w:rPr>
        <w:t>万元；预算绩效评价项目</w:t>
      </w:r>
      <w:r>
        <w:rPr>
          <w:rFonts w:hint="eastAsia" w:ascii="仿宋_GB2312" w:eastAsia="仿宋_GB2312"/>
          <w:sz w:val="32"/>
          <w:szCs w:val="32"/>
          <w:lang w:eastAsia="zh-CN"/>
        </w:rPr>
        <w:t>3</w:t>
      </w:r>
      <w:r>
        <w:rPr>
          <w:rFonts w:ascii="仿宋_GB2312" w:eastAsia="仿宋_GB2312"/>
          <w:sz w:val="32"/>
          <w:szCs w:val="32"/>
          <w:lang w:eastAsia="zh-CN"/>
        </w:rPr>
        <w:t>个，全年预算数</w:t>
      </w:r>
      <w:r>
        <w:rPr>
          <w:rFonts w:hint="eastAsia" w:ascii="仿宋_GB2312" w:eastAsia="仿宋_GB2312"/>
          <w:sz w:val="32"/>
          <w:szCs w:val="32"/>
          <w:lang w:eastAsia="zh-CN"/>
        </w:rPr>
        <w:t>79.04</w:t>
      </w:r>
      <w:r>
        <w:rPr>
          <w:rFonts w:ascii="仿宋_GB2312" w:eastAsia="仿宋_GB2312"/>
          <w:sz w:val="32"/>
          <w:szCs w:val="32"/>
          <w:lang w:eastAsia="zh-CN"/>
        </w:rPr>
        <w:t>万元，全年执行数</w:t>
      </w:r>
      <w:r>
        <w:rPr>
          <w:rFonts w:hint="eastAsia" w:ascii="仿宋_GB2312" w:eastAsia="仿宋_GB2312"/>
          <w:sz w:val="32"/>
          <w:szCs w:val="32"/>
          <w:lang w:eastAsia="zh-CN"/>
        </w:rPr>
        <w:t>68.21</w:t>
      </w:r>
      <w:r>
        <w:rPr>
          <w:rFonts w:ascii="仿宋_GB2312" w:eastAsia="仿宋_GB2312"/>
          <w:sz w:val="32"/>
          <w:szCs w:val="32"/>
          <w:lang w:eastAsia="zh-CN"/>
        </w:rPr>
        <w:t>万元。预算绩效管理取得的成效：一是按照财政专项资金管理的要求，结合项目实施方案，通过采取审查账目、查阅档案等形式，重点检查项目组织实施情况、项目资金拨付和管理使用情况以及项目资金使用效益；二是项目资金拨付和管理使用情况，我单位严格按规定办理资金拨付手续，无滞留资金问题；</w:t>
      </w:r>
      <w:r>
        <w:rPr>
          <w:rFonts w:hint="eastAsia" w:ascii="仿宋_GB2312" w:eastAsia="仿宋_GB2312"/>
          <w:sz w:val="32"/>
          <w:szCs w:val="32"/>
          <w:lang w:eastAsia="zh-CN"/>
        </w:rPr>
        <w:t>资金</w:t>
      </w:r>
      <w:r>
        <w:rPr>
          <w:rFonts w:ascii="仿宋_GB2312" w:eastAsia="仿宋_GB2312"/>
          <w:sz w:val="32"/>
          <w:szCs w:val="32"/>
          <w:lang w:eastAsia="zh-CN"/>
        </w:rPr>
        <w:t>能做到专款专用；无扩大开支范围或挤占、挪用、截留情况。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部门项目支出率低；另外，预算编制的不合理性还表现在绩效目标设置不明确，年度目标与长期规划衔接的紧密程度需要增强。下一步改进措施：一是加强预算制定过程的科学性管理，提升预算方案的质量。首先在预算</w:t>
      </w:r>
      <w:r>
        <w:rPr>
          <w:rFonts w:hint="eastAsia" w:ascii="仿宋_GB2312" w:eastAsia="仿宋_GB2312"/>
          <w:sz w:val="32"/>
          <w:szCs w:val="32"/>
          <w:lang w:eastAsia="zh-CN"/>
        </w:rPr>
        <w:t>管理</w:t>
      </w:r>
      <w:r>
        <w:rPr>
          <w:rFonts w:ascii="仿宋_GB2312" w:eastAsia="仿宋_GB2312"/>
          <w:sz w:val="32"/>
          <w:szCs w:val="32"/>
          <w:lang w:eastAsia="zh-CN"/>
        </w:rPr>
        <w:t>上，加强预算编制的合理性及会计核算的规范性。一方面针对由于部门不可控因素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二是注重长短期目标的衔接，合理设置年度绩效指标。在具体年度工作计划的安排上，可通过对比历年各项指标的增长情况，将规划中要实现的各项指标合理分配到年度的工作任务中，设定各年度绩效指标的目标增长率，从而确保规划目标的顺利实现。具体附部门整体支出绩效自评表，项目支出绩效自评表和部门评价报告。</w:t>
      </w:r>
      <w:bookmarkStart w:id="14" w:name="_Hlk174962300"/>
    </w:p>
    <w:p w14:paraId="4F6E9058">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5FA45C0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25DD26C4">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F6C67FE">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CDE4C1F">
            <w:pPr>
              <w:jc w:val="center"/>
              <w:rPr>
                <w:rFonts w:hint="eastAsia" w:ascii="宋体" w:hAnsi="宋体" w:eastAsia="宋体" w:cs="宋体"/>
                <w:b/>
                <w:bCs/>
                <w:sz w:val="18"/>
                <w:szCs w:val="18"/>
              </w:rPr>
            </w:pPr>
            <w:r>
              <w:rPr>
                <w:rFonts w:hint="eastAsia" w:ascii="宋体" w:hAnsi="宋体" w:eastAsia="宋体" w:cs="宋体"/>
                <w:b/>
                <w:bCs/>
                <w:sz w:val="18"/>
                <w:szCs w:val="18"/>
              </w:rPr>
              <w:t>乌鲁木齐市第106小学</w:t>
            </w:r>
          </w:p>
        </w:tc>
        <w:tc>
          <w:tcPr>
            <w:tcW w:w="284" w:type="dxa"/>
            <w:tcBorders>
              <w:top w:val="nil"/>
              <w:left w:val="nil"/>
              <w:bottom w:val="nil"/>
              <w:right w:val="nil"/>
            </w:tcBorders>
            <w:noWrap/>
            <w:vAlign w:val="center"/>
          </w:tcPr>
          <w:p w14:paraId="371B1ABA">
            <w:pPr>
              <w:rPr>
                <w:rFonts w:hint="eastAsia" w:ascii="宋体" w:hAnsi="宋体" w:eastAsia="宋体" w:cs="宋体"/>
                <w:b/>
                <w:bCs/>
                <w:sz w:val="18"/>
                <w:szCs w:val="18"/>
              </w:rPr>
            </w:pPr>
          </w:p>
        </w:tc>
      </w:tr>
      <w:tr w14:paraId="1D09EF9E">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024F4D6">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14D18219">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4478B014">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6507D58A">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78980D02">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7C380BEB">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0D2E42DD">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2C7E1F1">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0933A33C">
            <w:pPr>
              <w:jc w:val="center"/>
              <w:rPr>
                <w:rFonts w:hint="eastAsia" w:ascii="宋体" w:hAnsi="宋体" w:eastAsia="宋体" w:cs="宋体"/>
                <w:b/>
                <w:bCs/>
                <w:sz w:val="18"/>
                <w:szCs w:val="18"/>
              </w:rPr>
            </w:pPr>
          </w:p>
        </w:tc>
      </w:tr>
      <w:tr w14:paraId="22661427">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13A4A6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5446231E">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21BE28D7">
            <w:pPr>
              <w:jc w:val="center"/>
              <w:rPr>
                <w:rFonts w:hint="eastAsia" w:ascii="宋体" w:hAnsi="宋体" w:eastAsia="宋体" w:cs="宋体"/>
                <w:sz w:val="18"/>
                <w:szCs w:val="18"/>
              </w:rPr>
            </w:pPr>
            <w:r>
              <w:rPr>
                <w:rFonts w:hint="eastAsia" w:ascii="宋体" w:hAnsi="宋体" w:eastAsia="宋体" w:cs="宋体"/>
                <w:sz w:val="18"/>
                <w:szCs w:val="18"/>
              </w:rPr>
              <w:t>706.95</w:t>
            </w:r>
          </w:p>
        </w:tc>
        <w:tc>
          <w:tcPr>
            <w:tcW w:w="1276" w:type="dxa"/>
            <w:tcBorders>
              <w:top w:val="nil"/>
              <w:left w:val="nil"/>
              <w:bottom w:val="single" w:color="auto" w:sz="4" w:space="0"/>
              <w:right w:val="single" w:color="auto" w:sz="4" w:space="0"/>
            </w:tcBorders>
            <w:vAlign w:val="center"/>
          </w:tcPr>
          <w:p w14:paraId="17318C03">
            <w:pPr>
              <w:jc w:val="center"/>
              <w:rPr>
                <w:rFonts w:hint="eastAsia" w:ascii="宋体" w:hAnsi="宋体" w:eastAsia="宋体" w:cs="宋体"/>
                <w:sz w:val="18"/>
                <w:szCs w:val="18"/>
              </w:rPr>
            </w:pPr>
            <w:r>
              <w:rPr>
                <w:rFonts w:hint="eastAsia" w:ascii="宋体" w:hAnsi="宋体" w:eastAsia="宋体" w:cs="宋体"/>
                <w:sz w:val="18"/>
                <w:szCs w:val="18"/>
              </w:rPr>
              <w:t>692.29</w:t>
            </w:r>
          </w:p>
        </w:tc>
        <w:tc>
          <w:tcPr>
            <w:tcW w:w="1701" w:type="dxa"/>
            <w:tcBorders>
              <w:top w:val="nil"/>
              <w:left w:val="nil"/>
              <w:bottom w:val="single" w:color="auto" w:sz="4" w:space="0"/>
              <w:right w:val="single" w:color="auto" w:sz="4" w:space="0"/>
            </w:tcBorders>
            <w:vAlign w:val="center"/>
          </w:tcPr>
          <w:p w14:paraId="62D502A4">
            <w:pPr>
              <w:jc w:val="center"/>
              <w:rPr>
                <w:rFonts w:hint="eastAsia" w:ascii="宋体" w:hAnsi="宋体" w:eastAsia="宋体" w:cs="宋体"/>
                <w:sz w:val="18"/>
                <w:szCs w:val="18"/>
              </w:rPr>
            </w:pPr>
            <w:r>
              <w:rPr>
                <w:rFonts w:hint="eastAsia" w:ascii="宋体" w:hAnsi="宋体" w:eastAsia="宋体" w:cs="宋体"/>
                <w:sz w:val="18"/>
                <w:szCs w:val="18"/>
              </w:rPr>
              <w:t>686.32</w:t>
            </w:r>
          </w:p>
        </w:tc>
        <w:tc>
          <w:tcPr>
            <w:tcW w:w="1134" w:type="dxa"/>
            <w:tcBorders>
              <w:top w:val="nil"/>
              <w:left w:val="nil"/>
              <w:bottom w:val="single" w:color="auto" w:sz="4" w:space="0"/>
              <w:right w:val="single" w:color="auto" w:sz="4" w:space="0"/>
            </w:tcBorders>
            <w:vAlign w:val="center"/>
          </w:tcPr>
          <w:p w14:paraId="20D3263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5F6E079C">
            <w:pPr>
              <w:jc w:val="center"/>
              <w:rPr>
                <w:rFonts w:hint="eastAsia" w:ascii="宋体" w:hAnsi="宋体" w:eastAsia="宋体" w:cs="宋体"/>
                <w:sz w:val="18"/>
                <w:szCs w:val="18"/>
              </w:rPr>
            </w:pPr>
            <w:r>
              <w:rPr>
                <w:rFonts w:hint="eastAsia" w:ascii="宋体" w:hAnsi="宋体" w:eastAsia="宋体" w:cs="宋体"/>
                <w:sz w:val="18"/>
                <w:szCs w:val="18"/>
              </w:rPr>
              <w:t>99.14%</w:t>
            </w:r>
          </w:p>
        </w:tc>
        <w:tc>
          <w:tcPr>
            <w:tcW w:w="720" w:type="dxa"/>
            <w:tcBorders>
              <w:top w:val="nil"/>
              <w:left w:val="nil"/>
              <w:bottom w:val="single" w:color="auto" w:sz="4" w:space="0"/>
              <w:right w:val="single" w:color="auto" w:sz="4" w:space="0"/>
            </w:tcBorders>
            <w:vAlign w:val="center"/>
          </w:tcPr>
          <w:p w14:paraId="1B26E0A3">
            <w:pPr>
              <w:jc w:val="center"/>
              <w:rPr>
                <w:rFonts w:hint="eastAsia" w:ascii="宋体" w:hAnsi="宋体" w:eastAsia="宋体" w:cs="宋体"/>
                <w:sz w:val="18"/>
                <w:szCs w:val="18"/>
              </w:rPr>
            </w:pPr>
            <w:r>
              <w:rPr>
                <w:rFonts w:hint="eastAsia" w:ascii="宋体" w:hAnsi="宋体" w:eastAsia="宋体" w:cs="宋体"/>
                <w:sz w:val="18"/>
                <w:szCs w:val="18"/>
              </w:rPr>
              <w:t>9.91</w:t>
            </w:r>
          </w:p>
        </w:tc>
        <w:tc>
          <w:tcPr>
            <w:tcW w:w="284" w:type="dxa"/>
            <w:tcBorders>
              <w:top w:val="nil"/>
              <w:left w:val="nil"/>
              <w:bottom w:val="nil"/>
              <w:right w:val="nil"/>
            </w:tcBorders>
            <w:noWrap/>
            <w:vAlign w:val="center"/>
          </w:tcPr>
          <w:p w14:paraId="3D849572">
            <w:pPr>
              <w:jc w:val="center"/>
              <w:rPr>
                <w:rFonts w:hint="eastAsia" w:ascii="宋体" w:hAnsi="宋体" w:eastAsia="宋体" w:cs="宋体"/>
                <w:b/>
                <w:bCs/>
                <w:sz w:val="18"/>
                <w:szCs w:val="18"/>
              </w:rPr>
            </w:pPr>
          </w:p>
        </w:tc>
      </w:tr>
      <w:tr w14:paraId="71400D04">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11FD88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DC3CF38">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BF19F6A">
            <w:pPr>
              <w:jc w:val="center"/>
              <w:rPr>
                <w:rFonts w:hint="eastAsia" w:ascii="宋体" w:hAnsi="宋体" w:eastAsia="宋体" w:cs="宋体"/>
                <w:sz w:val="18"/>
                <w:szCs w:val="18"/>
              </w:rPr>
            </w:pPr>
            <w:r>
              <w:rPr>
                <w:rFonts w:hint="eastAsia" w:ascii="宋体" w:hAnsi="宋体" w:eastAsia="宋体" w:cs="宋体"/>
                <w:sz w:val="18"/>
                <w:szCs w:val="18"/>
              </w:rPr>
              <w:t>53.76</w:t>
            </w:r>
          </w:p>
        </w:tc>
        <w:tc>
          <w:tcPr>
            <w:tcW w:w="1276" w:type="dxa"/>
            <w:tcBorders>
              <w:top w:val="nil"/>
              <w:left w:val="nil"/>
              <w:bottom w:val="single" w:color="auto" w:sz="4" w:space="0"/>
              <w:right w:val="single" w:color="auto" w:sz="4" w:space="0"/>
            </w:tcBorders>
            <w:vAlign w:val="center"/>
          </w:tcPr>
          <w:p w14:paraId="5F7D79F3">
            <w:pPr>
              <w:jc w:val="center"/>
              <w:rPr>
                <w:rFonts w:hint="eastAsia" w:ascii="宋体" w:hAnsi="宋体" w:eastAsia="宋体" w:cs="宋体"/>
                <w:sz w:val="18"/>
                <w:szCs w:val="18"/>
              </w:rPr>
            </w:pPr>
            <w:r>
              <w:rPr>
                <w:rFonts w:hint="eastAsia" w:ascii="宋体" w:hAnsi="宋体" w:eastAsia="宋体" w:cs="宋体"/>
                <w:sz w:val="18"/>
                <w:szCs w:val="18"/>
              </w:rPr>
              <w:t>46.33</w:t>
            </w:r>
          </w:p>
        </w:tc>
        <w:tc>
          <w:tcPr>
            <w:tcW w:w="1701" w:type="dxa"/>
            <w:tcBorders>
              <w:top w:val="nil"/>
              <w:left w:val="nil"/>
              <w:bottom w:val="single" w:color="auto" w:sz="4" w:space="0"/>
              <w:right w:val="single" w:color="auto" w:sz="4" w:space="0"/>
            </w:tcBorders>
            <w:vAlign w:val="center"/>
          </w:tcPr>
          <w:p w14:paraId="6BBC5450">
            <w:pPr>
              <w:jc w:val="center"/>
              <w:rPr>
                <w:rFonts w:hint="eastAsia" w:ascii="宋体" w:hAnsi="宋体" w:eastAsia="宋体" w:cs="宋体"/>
                <w:sz w:val="18"/>
                <w:szCs w:val="18"/>
              </w:rPr>
            </w:pPr>
            <w:r>
              <w:rPr>
                <w:rFonts w:hint="eastAsia" w:ascii="宋体" w:hAnsi="宋体" w:eastAsia="宋体" w:cs="宋体"/>
                <w:sz w:val="18"/>
                <w:szCs w:val="18"/>
              </w:rPr>
              <w:t>46.33</w:t>
            </w:r>
          </w:p>
        </w:tc>
        <w:tc>
          <w:tcPr>
            <w:tcW w:w="1134" w:type="dxa"/>
            <w:tcBorders>
              <w:top w:val="nil"/>
              <w:left w:val="nil"/>
              <w:bottom w:val="single" w:color="auto" w:sz="4" w:space="0"/>
              <w:right w:val="single" w:color="auto" w:sz="4" w:space="0"/>
            </w:tcBorders>
            <w:vAlign w:val="center"/>
          </w:tcPr>
          <w:p w14:paraId="32FB76A0">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402B1D0">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66C62AA">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2711CF07">
            <w:pPr>
              <w:jc w:val="center"/>
              <w:rPr>
                <w:rFonts w:hint="eastAsia" w:ascii="宋体" w:hAnsi="宋体" w:eastAsia="宋体" w:cs="宋体"/>
                <w:sz w:val="18"/>
                <w:szCs w:val="18"/>
              </w:rPr>
            </w:pPr>
          </w:p>
        </w:tc>
      </w:tr>
      <w:tr w14:paraId="1C7A41D2">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1404B9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AA194EF">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03DB78EF">
            <w:pPr>
              <w:jc w:val="center"/>
              <w:rPr>
                <w:rFonts w:hint="eastAsia" w:ascii="宋体" w:hAnsi="宋体" w:eastAsia="宋体" w:cs="宋体"/>
                <w:sz w:val="18"/>
                <w:szCs w:val="18"/>
              </w:rPr>
            </w:pPr>
            <w:r>
              <w:rPr>
                <w:rFonts w:hint="eastAsia" w:ascii="宋体" w:hAnsi="宋体" w:eastAsia="宋体" w:cs="宋体"/>
                <w:sz w:val="18"/>
                <w:szCs w:val="18"/>
              </w:rPr>
              <w:t>631.22</w:t>
            </w:r>
          </w:p>
        </w:tc>
        <w:tc>
          <w:tcPr>
            <w:tcW w:w="1276" w:type="dxa"/>
            <w:tcBorders>
              <w:top w:val="nil"/>
              <w:left w:val="nil"/>
              <w:bottom w:val="single" w:color="auto" w:sz="4" w:space="0"/>
              <w:right w:val="single" w:color="auto" w:sz="4" w:space="0"/>
            </w:tcBorders>
            <w:vAlign w:val="center"/>
          </w:tcPr>
          <w:p w14:paraId="15BB0FB7">
            <w:pPr>
              <w:jc w:val="center"/>
              <w:rPr>
                <w:rFonts w:hint="eastAsia" w:ascii="宋体" w:hAnsi="宋体" w:eastAsia="宋体" w:cs="宋体"/>
                <w:sz w:val="18"/>
                <w:szCs w:val="18"/>
              </w:rPr>
            </w:pPr>
            <w:r>
              <w:rPr>
                <w:rFonts w:hint="eastAsia" w:ascii="宋体" w:hAnsi="宋体" w:eastAsia="宋体" w:cs="宋体"/>
                <w:sz w:val="18"/>
                <w:szCs w:val="18"/>
              </w:rPr>
              <w:t>623.99</w:t>
            </w:r>
          </w:p>
        </w:tc>
        <w:tc>
          <w:tcPr>
            <w:tcW w:w="1701" w:type="dxa"/>
            <w:tcBorders>
              <w:top w:val="nil"/>
              <w:left w:val="nil"/>
              <w:bottom w:val="single" w:color="auto" w:sz="4" w:space="0"/>
              <w:right w:val="single" w:color="auto" w:sz="4" w:space="0"/>
            </w:tcBorders>
            <w:vAlign w:val="center"/>
          </w:tcPr>
          <w:p w14:paraId="44569D5F">
            <w:pPr>
              <w:jc w:val="center"/>
              <w:rPr>
                <w:rFonts w:hint="eastAsia" w:ascii="宋体" w:hAnsi="宋体" w:eastAsia="宋体" w:cs="宋体"/>
                <w:sz w:val="18"/>
                <w:szCs w:val="18"/>
              </w:rPr>
            </w:pPr>
            <w:r>
              <w:rPr>
                <w:rFonts w:hint="eastAsia" w:ascii="宋体" w:hAnsi="宋体" w:eastAsia="宋体" w:cs="宋体"/>
                <w:sz w:val="18"/>
                <w:szCs w:val="18"/>
              </w:rPr>
              <w:t>618.02</w:t>
            </w:r>
          </w:p>
        </w:tc>
        <w:tc>
          <w:tcPr>
            <w:tcW w:w="1134" w:type="dxa"/>
            <w:tcBorders>
              <w:top w:val="nil"/>
              <w:left w:val="nil"/>
              <w:bottom w:val="single" w:color="auto" w:sz="4" w:space="0"/>
              <w:right w:val="single" w:color="auto" w:sz="4" w:space="0"/>
            </w:tcBorders>
            <w:vAlign w:val="center"/>
          </w:tcPr>
          <w:p w14:paraId="49E020B3">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6534F0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50C0E92">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2A97CC02">
            <w:pPr>
              <w:jc w:val="center"/>
              <w:rPr>
                <w:rFonts w:hint="eastAsia" w:ascii="宋体" w:hAnsi="宋体" w:eastAsia="宋体" w:cs="宋体"/>
                <w:sz w:val="18"/>
                <w:szCs w:val="18"/>
              </w:rPr>
            </w:pPr>
          </w:p>
        </w:tc>
      </w:tr>
      <w:tr w14:paraId="7E13D30B">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93BC7A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566BAD1">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7119AE67">
            <w:pPr>
              <w:jc w:val="center"/>
              <w:rPr>
                <w:rFonts w:hint="eastAsia" w:ascii="宋体" w:hAnsi="宋体" w:eastAsia="宋体" w:cs="宋体"/>
                <w:sz w:val="18"/>
                <w:szCs w:val="18"/>
              </w:rPr>
            </w:pPr>
            <w:r>
              <w:rPr>
                <w:rFonts w:hint="eastAsia" w:ascii="宋体" w:hAnsi="宋体" w:eastAsia="宋体" w:cs="宋体"/>
                <w:sz w:val="18"/>
                <w:szCs w:val="18"/>
              </w:rPr>
              <w:t>21.97</w:t>
            </w:r>
          </w:p>
        </w:tc>
        <w:tc>
          <w:tcPr>
            <w:tcW w:w="1276" w:type="dxa"/>
            <w:tcBorders>
              <w:top w:val="nil"/>
              <w:left w:val="nil"/>
              <w:bottom w:val="single" w:color="auto" w:sz="4" w:space="0"/>
              <w:right w:val="single" w:color="auto" w:sz="4" w:space="0"/>
            </w:tcBorders>
            <w:vAlign w:val="center"/>
          </w:tcPr>
          <w:p w14:paraId="01449464">
            <w:pPr>
              <w:jc w:val="center"/>
              <w:rPr>
                <w:rFonts w:hint="eastAsia" w:ascii="宋体" w:hAnsi="宋体" w:eastAsia="宋体" w:cs="宋体"/>
                <w:sz w:val="18"/>
                <w:szCs w:val="18"/>
              </w:rPr>
            </w:pPr>
            <w:r>
              <w:rPr>
                <w:rFonts w:hint="eastAsia" w:ascii="宋体" w:hAnsi="宋体" w:eastAsia="宋体" w:cs="宋体"/>
                <w:sz w:val="18"/>
                <w:szCs w:val="18"/>
              </w:rPr>
              <w:t>21.97</w:t>
            </w:r>
          </w:p>
        </w:tc>
        <w:tc>
          <w:tcPr>
            <w:tcW w:w="1701" w:type="dxa"/>
            <w:tcBorders>
              <w:top w:val="nil"/>
              <w:left w:val="nil"/>
              <w:bottom w:val="single" w:color="auto" w:sz="4" w:space="0"/>
              <w:right w:val="single" w:color="auto" w:sz="4" w:space="0"/>
            </w:tcBorders>
            <w:vAlign w:val="center"/>
          </w:tcPr>
          <w:p w14:paraId="3EFD7441">
            <w:pPr>
              <w:jc w:val="center"/>
              <w:rPr>
                <w:rFonts w:hint="eastAsia" w:ascii="宋体" w:hAnsi="宋体" w:eastAsia="宋体" w:cs="宋体"/>
                <w:sz w:val="18"/>
                <w:szCs w:val="18"/>
              </w:rPr>
            </w:pPr>
            <w:r>
              <w:rPr>
                <w:rFonts w:hint="eastAsia" w:ascii="宋体" w:hAnsi="宋体" w:eastAsia="宋体" w:cs="宋体"/>
                <w:sz w:val="18"/>
                <w:szCs w:val="18"/>
              </w:rPr>
              <w:t>21.97</w:t>
            </w:r>
          </w:p>
        </w:tc>
        <w:tc>
          <w:tcPr>
            <w:tcW w:w="1134" w:type="dxa"/>
            <w:tcBorders>
              <w:top w:val="nil"/>
              <w:left w:val="nil"/>
              <w:bottom w:val="single" w:color="auto" w:sz="4" w:space="0"/>
              <w:right w:val="single" w:color="auto" w:sz="4" w:space="0"/>
            </w:tcBorders>
            <w:vAlign w:val="center"/>
          </w:tcPr>
          <w:p w14:paraId="1C61B6BC">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6BAC166C">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43E51C0E">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47721170">
            <w:pPr>
              <w:jc w:val="center"/>
              <w:rPr>
                <w:rFonts w:hint="eastAsia" w:ascii="宋体" w:hAnsi="宋体" w:eastAsia="宋体" w:cs="宋体"/>
                <w:sz w:val="18"/>
                <w:szCs w:val="18"/>
              </w:rPr>
            </w:pPr>
          </w:p>
        </w:tc>
      </w:tr>
      <w:tr w14:paraId="44EED1CA">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99459A3">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B3F99CF">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41FC5AA3">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092E0126">
            <w:pPr>
              <w:rPr>
                <w:rFonts w:hint="eastAsia" w:ascii="宋体" w:hAnsi="宋体" w:eastAsia="宋体" w:cs="宋体"/>
                <w:b/>
                <w:bCs/>
                <w:sz w:val="18"/>
                <w:szCs w:val="18"/>
              </w:rPr>
            </w:pPr>
          </w:p>
        </w:tc>
      </w:tr>
      <w:tr w14:paraId="64B2CB4B">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8F31B0F">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4161DEC6">
            <w:pPr>
              <w:rPr>
                <w:rFonts w:hint="eastAsia" w:ascii="宋体" w:hAnsi="宋体" w:eastAsia="宋体" w:cs="宋体"/>
                <w:sz w:val="18"/>
                <w:szCs w:val="18"/>
                <w:lang w:eastAsia="zh-CN"/>
              </w:rPr>
            </w:pPr>
            <w:r>
              <w:rPr>
                <w:rFonts w:hint="eastAsia" w:ascii="宋体" w:hAnsi="宋体" w:eastAsia="宋体" w:cs="宋体"/>
                <w:sz w:val="18"/>
                <w:szCs w:val="18"/>
                <w:lang w:eastAsia="zh-CN"/>
              </w:rPr>
              <w:t>单位职责：1、贯彻执行党和国家的教育方针、政策、法规，确保教育活动的正常进行。2、配合各级人民政府依法动员、组织适龄儿童、少年入学，严格控制辍学、推进普及义务教育。3、组织开展本校的教育教学科研和教育教学改革，科研兴教，科研兴校。4、负责对本校教育教学业务的具体管理，负责教育教学管理及教研教改工作。本年度主要任务：1、以教学为中心，以课改为抓手，教师以身示范，狠抓养成教育，全面提升教育教学质量。2、安全工作，继续加大安全教育工作，安全责任到人，责任区一天一安全隐患排查。3、德育工作，在全员德育的氛围中，创设阳光少年德育评价体系。</w:t>
            </w:r>
          </w:p>
        </w:tc>
        <w:tc>
          <w:tcPr>
            <w:tcW w:w="4547" w:type="dxa"/>
            <w:gridSpan w:val="4"/>
            <w:tcBorders>
              <w:top w:val="single" w:color="auto" w:sz="4" w:space="0"/>
              <w:left w:val="nil"/>
              <w:bottom w:val="single" w:color="auto" w:sz="4" w:space="0"/>
              <w:right w:val="single" w:color="auto" w:sz="4" w:space="0"/>
            </w:tcBorders>
          </w:tcPr>
          <w:p w14:paraId="62AC20FA">
            <w:pPr>
              <w:rPr>
                <w:rFonts w:hint="eastAsia" w:ascii="宋体" w:hAnsi="宋体" w:eastAsia="宋体" w:cs="宋体"/>
                <w:sz w:val="18"/>
                <w:szCs w:val="18"/>
                <w:lang w:eastAsia="zh-CN"/>
              </w:rPr>
            </w:pPr>
            <w:r>
              <w:rPr>
                <w:rFonts w:hint="eastAsia" w:ascii="宋体" w:hAnsi="宋体" w:eastAsia="宋体" w:cs="宋体"/>
                <w:sz w:val="18"/>
                <w:szCs w:val="18"/>
                <w:lang w:eastAsia="zh-CN"/>
              </w:rPr>
              <w:t>本项目全年资金主要用于1、教师培训学习并完成了15名教师的出疆进行的班主任、名师、安全等方面的培训，提高了教师的业务能力，带动了全体教师工作积极性，有效改善了我单位的整体教育教学水平；2、用于保障学校的正常运转的水、电、暖、电话费、各项网络费用，进行了煤改气工程的维护，有效地提高了办公环境；3、用于学校设施设备的维修维护，电脑耗材、网络维修、净水器粗略统计不少于20次，栽种10箱的箱装式花卉，种植两个花草绿化田面积约1200平方米；修剪校园枯木两次等事项。</w:t>
            </w:r>
          </w:p>
        </w:tc>
        <w:tc>
          <w:tcPr>
            <w:tcW w:w="284" w:type="dxa"/>
            <w:tcBorders>
              <w:top w:val="nil"/>
              <w:left w:val="nil"/>
              <w:bottom w:val="nil"/>
              <w:right w:val="nil"/>
            </w:tcBorders>
            <w:noWrap/>
            <w:vAlign w:val="center"/>
          </w:tcPr>
          <w:p w14:paraId="007A08DE">
            <w:pPr>
              <w:rPr>
                <w:rFonts w:hint="eastAsia" w:ascii="宋体" w:hAnsi="宋体" w:eastAsia="宋体" w:cs="宋体"/>
                <w:sz w:val="18"/>
                <w:szCs w:val="18"/>
                <w:lang w:eastAsia="zh-CN"/>
              </w:rPr>
            </w:pPr>
          </w:p>
        </w:tc>
      </w:tr>
      <w:tr w14:paraId="6582475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A2DE140">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0D2733DD">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33FD5012">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17F59184">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42DC39AA">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159CF7E4">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41DEA418">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154A0463">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5397115F">
            <w:pPr>
              <w:rPr>
                <w:rFonts w:hint="eastAsia" w:ascii="宋体" w:hAnsi="宋体" w:eastAsia="宋体" w:cs="宋体"/>
                <w:b/>
                <w:bCs/>
                <w:sz w:val="18"/>
                <w:szCs w:val="18"/>
              </w:rPr>
            </w:pPr>
          </w:p>
        </w:tc>
      </w:tr>
      <w:tr w14:paraId="0EB24CED">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51F6FE83">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0B8ECCBF">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051771C">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14:paraId="505317BB">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1EC2415F">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1D52929C">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03CF2DE3">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3E200E52">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6ED223BF">
            <w:pPr>
              <w:jc w:val="center"/>
              <w:rPr>
                <w:rFonts w:hint="eastAsia" w:ascii="宋体" w:hAnsi="宋体" w:eastAsia="宋体" w:cs="宋体"/>
                <w:sz w:val="18"/>
                <w:szCs w:val="18"/>
              </w:rPr>
            </w:pPr>
          </w:p>
        </w:tc>
      </w:tr>
      <w:tr w14:paraId="0D79E2E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93DE15C">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05FB6848">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8DC4E2D">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中小学教师接受法治教育培训课时数</w:t>
            </w:r>
          </w:p>
        </w:tc>
        <w:tc>
          <w:tcPr>
            <w:tcW w:w="1276" w:type="dxa"/>
            <w:tcBorders>
              <w:top w:val="nil"/>
              <w:left w:val="nil"/>
              <w:bottom w:val="single" w:color="auto" w:sz="4" w:space="0"/>
              <w:right w:val="single" w:color="auto" w:sz="4" w:space="0"/>
            </w:tcBorders>
            <w:noWrap/>
            <w:vAlign w:val="center"/>
          </w:tcPr>
          <w:p w14:paraId="56AFDAC7">
            <w:pPr>
              <w:jc w:val="center"/>
              <w:rPr>
                <w:rFonts w:hint="eastAsia" w:ascii="宋体" w:hAnsi="宋体" w:eastAsia="宋体" w:cs="宋体"/>
                <w:sz w:val="18"/>
                <w:szCs w:val="18"/>
              </w:rPr>
            </w:pPr>
            <w:r>
              <w:rPr>
                <w:rFonts w:hint="eastAsia" w:ascii="宋体" w:hAnsi="宋体" w:eastAsia="宋体" w:cs="宋体"/>
                <w:sz w:val="18"/>
                <w:szCs w:val="18"/>
              </w:rPr>
              <w:t>&gt;=5课时</w:t>
            </w:r>
          </w:p>
        </w:tc>
        <w:tc>
          <w:tcPr>
            <w:tcW w:w="1701" w:type="dxa"/>
            <w:tcBorders>
              <w:top w:val="nil"/>
              <w:left w:val="nil"/>
              <w:bottom w:val="single" w:color="auto" w:sz="4" w:space="0"/>
              <w:right w:val="single" w:color="auto" w:sz="4" w:space="0"/>
            </w:tcBorders>
            <w:noWrap/>
            <w:vAlign w:val="center"/>
          </w:tcPr>
          <w:p w14:paraId="3368FA9B">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5D62DEE1">
            <w:pPr>
              <w:jc w:val="center"/>
              <w:rPr>
                <w:rFonts w:hint="eastAsia" w:ascii="宋体" w:hAnsi="宋体" w:eastAsia="宋体" w:cs="宋体"/>
                <w:sz w:val="18"/>
                <w:szCs w:val="18"/>
              </w:rPr>
            </w:pPr>
            <w:r>
              <w:rPr>
                <w:rFonts w:hint="eastAsia" w:ascii="宋体" w:hAnsi="宋体" w:eastAsia="宋体" w:cs="宋体"/>
                <w:sz w:val="18"/>
                <w:szCs w:val="18"/>
              </w:rPr>
              <w:t>5课时</w:t>
            </w:r>
          </w:p>
        </w:tc>
        <w:tc>
          <w:tcPr>
            <w:tcW w:w="992" w:type="dxa"/>
            <w:tcBorders>
              <w:top w:val="nil"/>
              <w:left w:val="nil"/>
              <w:bottom w:val="single" w:color="auto" w:sz="4" w:space="0"/>
              <w:right w:val="single" w:color="auto" w:sz="4" w:space="0"/>
            </w:tcBorders>
            <w:noWrap/>
            <w:vAlign w:val="center"/>
          </w:tcPr>
          <w:p w14:paraId="350D3E06">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58112F50">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265106AD">
            <w:pPr>
              <w:jc w:val="center"/>
              <w:rPr>
                <w:rFonts w:hint="eastAsia" w:ascii="宋体" w:hAnsi="宋体" w:eastAsia="宋体" w:cs="宋体"/>
                <w:sz w:val="18"/>
                <w:szCs w:val="18"/>
              </w:rPr>
            </w:pPr>
          </w:p>
        </w:tc>
      </w:tr>
      <w:tr w14:paraId="7D3C641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8039443">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C5B92F9">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02242F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7D707FEE">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5FE8CB1D">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00C508E8">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21F358F1">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0FA7D2EC">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34535DA5">
            <w:pPr>
              <w:jc w:val="center"/>
              <w:rPr>
                <w:rFonts w:hint="eastAsia" w:ascii="宋体" w:hAnsi="宋体" w:eastAsia="宋体" w:cs="宋体"/>
                <w:sz w:val="18"/>
                <w:szCs w:val="18"/>
              </w:rPr>
            </w:pPr>
          </w:p>
        </w:tc>
      </w:tr>
      <w:tr w14:paraId="0F7409D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0D879B9">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BC26248">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B41473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教研组每2周开展活动次数</w:t>
            </w:r>
          </w:p>
        </w:tc>
        <w:tc>
          <w:tcPr>
            <w:tcW w:w="1276" w:type="dxa"/>
            <w:tcBorders>
              <w:top w:val="nil"/>
              <w:left w:val="nil"/>
              <w:bottom w:val="single" w:color="auto" w:sz="4" w:space="0"/>
              <w:right w:val="single" w:color="auto" w:sz="4" w:space="0"/>
            </w:tcBorders>
            <w:noWrap/>
            <w:vAlign w:val="center"/>
          </w:tcPr>
          <w:p w14:paraId="2255C167">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4EE95DA4">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69BA3285">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2730FF45">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1DBDC393">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14049926">
            <w:pPr>
              <w:jc w:val="center"/>
              <w:rPr>
                <w:rFonts w:hint="eastAsia" w:ascii="宋体" w:hAnsi="宋体" w:eastAsia="宋体" w:cs="宋体"/>
                <w:sz w:val="18"/>
                <w:szCs w:val="18"/>
              </w:rPr>
            </w:pPr>
          </w:p>
        </w:tc>
      </w:tr>
      <w:tr w14:paraId="0B3C702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1AB52ED">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549940A9">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16528942">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77687819">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7DD45016">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551169AE">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181024A3">
            <w:pPr>
              <w:jc w:val="center"/>
              <w:rPr>
                <w:rFonts w:hint="eastAsia" w:ascii="宋体" w:hAnsi="宋体" w:eastAsia="宋体" w:cs="宋体"/>
                <w:sz w:val="18"/>
                <w:szCs w:val="18"/>
              </w:rPr>
            </w:pPr>
            <w:r>
              <w:rPr>
                <w:rFonts w:hint="eastAsia" w:ascii="宋体" w:hAnsi="宋体" w:eastAsia="宋体" w:cs="宋体"/>
                <w:sz w:val="18"/>
                <w:szCs w:val="18"/>
              </w:rPr>
              <w:t>10</w:t>
            </w:r>
          </w:p>
        </w:tc>
        <w:tc>
          <w:tcPr>
            <w:tcW w:w="720" w:type="dxa"/>
            <w:tcBorders>
              <w:top w:val="single" w:color="auto" w:sz="4" w:space="0"/>
              <w:left w:val="nil"/>
              <w:bottom w:val="single" w:color="auto" w:sz="4" w:space="0"/>
              <w:right w:val="single" w:color="auto" w:sz="4" w:space="0"/>
            </w:tcBorders>
            <w:noWrap/>
            <w:vAlign w:val="center"/>
          </w:tcPr>
          <w:p w14:paraId="3E5A2E52">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24AFE6F8">
            <w:pPr>
              <w:jc w:val="center"/>
              <w:rPr>
                <w:rFonts w:hint="eastAsia" w:ascii="宋体" w:hAnsi="宋体" w:eastAsia="宋体" w:cs="宋体"/>
                <w:sz w:val="18"/>
                <w:szCs w:val="18"/>
              </w:rPr>
            </w:pPr>
          </w:p>
        </w:tc>
      </w:tr>
      <w:tr w14:paraId="12E4B477">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28A6E9D3">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266507D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0CEA81D3">
            <w:pPr>
              <w:jc w:val="center"/>
              <w:rPr>
                <w:rFonts w:hint="eastAsia" w:ascii="宋体" w:hAnsi="宋体" w:eastAsia="宋体" w:cs="宋体"/>
                <w:sz w:val="18"/>
                <w:szCs w:val="18"/>
              </w:rPr>
            </w:pPr>
            <w:r>
              <w:rPr>
                <w:rFonts w:hint="eastAsia" w:ascii="宋体" w:hAnsi="宋体" w:eastAsia="宋体" w:cs="宋体"/>
                <w:sz w:val="18"/>
                <w:szCs w:val="18"/>
              </w:rPr>
              <w:t>99.91</w:t>
            </w:r>
          </w:p>
        </w:tc>
        <w:tc>
          <w:tcPr>
            <w:tcW w:w="284" w:type="dxa"/>
            <w:tcBorders>
              <w:top w:val="nil"/>
              <w:left w:val="nil"/>
              <w:bottom w:val="nil"/>
              <w:right w:val="nil"/>
            </w:tcBorders>
            <w:noWrap/>
            <w:vAlign w:val="center"/>
          </w:tcPr>
          <w:p w14:paraId="1B833068">
            <w:pPr>
              <w:jc w:val="center"/>
              <w:rPr>
                <w:rFonts w:hint="eastAsia" w:ascii="宋体" w:hAnsi="宋体" w:eastAsia="宋体" w:cs="宋体"/>
                <w:sz w:val="18"/>
                <w:szCs w:val="18"/>
              </w:rPr>
            </w:pPr>
          </w:p>
        </w:tc>
      </w:tr>
    </w:tbl>
    <w:p w14:paraId="6AEBF2E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8D342B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4BC7ED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BB25C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4A623E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 中央城乡义务教育补助经费（小学公用)</w:t>
            </w:r>
          </w:p>
        </w:tc>
      </w:tr>
      <w:tr w14:paraId="5ECDF97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E5B6F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4E0AA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乌鲁木齐市第106小学</w:t>
            </w:r>
          </w:p>
        </w:tc>
        <w:tc>
          <w:tcPr>
            <w:tcW w:w="1275" w:type="dxa"/>
            <w:gridSpan w:val="2"/>
            <w:tcBorders>
              <w:top w:val="nil"/>
              <w:left w:val="nil"/>
              <w:bottom w:val="single" w:color="auto" w:sz="4" w:space="0"/>
              <w:right w:val="single" w:color="000000" w:sz="4" w:space="0"/>
            </w:tcBorders>
            <w:vAlign w:val="center"/>
          </w:tcPr>
          <w:p w14:paraId="69F29E25">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BA9DE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乌鲁木齐市第106小学</w:t>
            </w:r>
          </w:p>
        </w:tc>
      </w:tr>
      <w:tr w14:paraId="0240E53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EE808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68F4852">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1D649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4D574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BE40A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6656F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C726C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CC665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5BD6A3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A5C6E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8CC12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7E39C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61.00</w:t>
            </w:r>
          </w:p>
        </w:tc>
        <w:tc>
          <w:tcPr>
            <w:tcW w:w="1125" w:type="dxa"/>
            <w:tcBorders>
              <w:top w:val="nil"/>
              <w:left w:val="nil"/>
              <w:bottom w:val="single" w:color="auto" w:sz="4" w:space="0"/>
              <w:right w:val="single" w:color="auto" w:sz="4" w:space="0"/>
            </w:tcBorders>
            <w:noWrap/>
            <w:vAlign w:val="center"/>
          </w:tcPr>
          <w:p w14:paraId="11F1F0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61.00</w:t>
            </w:r>
          </w:p>
        </w:tc>
        <w:tc>
          <w:tcPr>
            <w:tcW w:w="1275" w:type="dxa"/>
            <w:gridSpan w:val="2"/>
            <w:tcBorders>
              <w:top w:val="single" w:color="auto" w:sz="4" w:space="0"/>
              <w:left w:val="nil"/>
              <w:bottom w:val="single" w:color="auto" w:sz="4" w:space="0"/>
              <w:right w:val="single" w:color="000000" w:sz="4" w:space="0"/>
            </w:tcBorders>
            <w:noWrap/>
            <w:vAlign w:val="center"/>
          </w:tcPr>
          <w:p w14:paraId="09A072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55.22</w:t>
            </w:r>
          </w:p>
        </w:tc>
        <w:tc>
          <w:tcPr>
            <w:tcW w:w="1134" w:type="dxa"/>
            <w:gridSpan w:val="2"/>
            <w:tcBorders>
              <w:top w:val="single" w:color="auto" w:sz="4" w:space="0"/>
              <w:left w:val="nil"/>
              <w:bottom w:val="single" w:color="auto" w:sz="4" w:space="0"/>
              <w:right w:val="single" w:color="auto" w:sz="4" w:space="0"/>
            </w:tcBorders>
            <w:vAlign w:val="center"/>
          </w:tcPr>
          <w:p w14:paraId="6B5E95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6A97F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90.52%</w:t>
            </w:r>
          </w:p>
        </w:tc>
        <w:tc>
          <w:tcPr>
            <w:tcW w:w="1275" w:type="dxa"/>
            <w:tcBorders>
              <w:top w:val="nil"/>
              <w:left w:val="nil"/>
              <w:bottom w:val="single" w:color="auto" w:sz="4" w:space="0"/>
              <w:right w:val="single" w:color="auto" w:sz="4" w:space="0"/>
            </w:tcBorders>
            <w:vAlign w:val="center"/>
          </w:tcPr>
          <w:p w14:paraId="4F81E8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9.05分</w:t>
            </w:r>
          </w:p>
        </w:tc>
      </w:tr>
      <w:tr w14:paraId="30F04E3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A0C60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8D9D2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77368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42.64</w:t>
            </w:r>
          </w:p>
        </w:tc>
        <w:tc>
          <w:tcPr>
            <w:tcW w:w="1125" w:type="dxa"/>
            <w:tcBorders>
              <w:top w:val="nil"/>
              <w:left w:val="nil"/>
              <w:bottom w:val="single" w:color="auto" w:sz="4" w:space="0"/>
              <w:right w:val="single" w:color="auto" w:sz="4" w:space="0"/>
            </w:tcBorders>
            <w:noWrap/>
            <w:vAlign w:val="center"/>
          </w:tcPr>
          <w:p w14:paraId="517324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42.64</w:t>
            </w:r>
          </w:p>
        </w:tc>
        <w:tc>
          <w:tcPr>
            <w:tcW w:w="1275" w:type="dxa"/>
            <w:gridSpan w:val="2"/>
            <w:tcBorders>
              <w:top w:val="single" w:color="auto" w:sz="4" w:space="0"/>
              <w:left w:val="nil"/>
              <w:bottom w:val="single" w:color="auto" w:sz="4" w:space="0"/>
              <w:right w:val="single" w:color="000000" w:sz="4" w:space="0"/>
            </w:tcBorders>
            <w:noWrap/>
            <w:vAlign w:val="center"/>
          </w:tcPr>
          <w:p w14:paraId="4945BC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36.86</w:t>
            </w:r>
          </w:p>
        </w:tc>
        <w:tc>
          <w:tcPr>
            <w:tcW w:w="1134" w:type="dxa"/>
            <w:gridSpan w:val="2"/>
            <w:tcBorders>
              <w:top w:val="single" w:color="auto" w:sz="4" w:space="0"/>
              <w:left w:val="nil"/>
              <w:bottom w:val="single" w:color="auto" w:sz="4" w:space="0"/>
              <w:right w:val="single" w:color="auto" w:sz="4" w:space="0"/>
            </w:tcBorders>
            <w:vAlign w:val="center"/>
          </w:tcPr>
          <w:p w14:paraId="136AC7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26988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5B522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968FB1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DF577B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CFE51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3986A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18.36</w:t>
            </w:r>
          </w:p>
        </w:tc>
        <w:tc>
          <w:tcPr>
            <w:tcW w:w="1125" w:type="dxa"/>
            <w:tcBorders>
              <w:top w:val="nil"/>
              <w:left w:val="nil"/>
              <w:bottom w:val="single" w:color="auto" w:sz="4" w:space="0"/>
              <w:right w:val="single" w:color="auto" w:sz="4" w:space="0"/>
            </w:tcBorders>
            <w:noWrap/>
            <w:vAlign w:val="center"/>
          </w:tcPr>
          <w:p w14:paraId="6933CB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18.36</w:t>
            </w:r>
          </w:p>
        </w:tc>
        <w:tc>
          <w:tcPr>
            <w:tcW w:w="1275" w:type="dxa"/>
            <w:gridSpan w:val="2"/>
            <w:tcBorders>
              <w:top w:val="single" w:color="auto" w:sz="4" w:space="0"/>
              <w:left w:val="nil"/>
              <w:bottom w:val="single" w:color="auto" w:sz="4" w:space="0"/>
              <w:right w:val="single" w:color="000000" w:sz="4" w:space="0"/>
            </w:tcBorders>
            <w:noWrap/>
            <w:vAlign w:val="center"/>
          </w:tcPr>
          <w:p w14:paraId="031181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18.36</w:t>
            </w:r>
          </w:p>
        </w:tc>
        <w:tc>
          <w:tcPr>
            <w:tcW w:w="1134" w:type="dxa"/>
            <w:gridSpan w:val="2"/>
            <w:tcBorders>
              <w:top w:val="single" w:color="auto" w:sz="4" w:space="0"/>
              <w:left w:val="nil"/>
              <w:bottom w:val="single" w:color="auto" w:sz="4" w:space="0"/>
              <w:right w:val="single" w:color="auto" w:sz="4" w:space="0"/>
            </w:tcBorders>
            <w:vAlign w:val="center"/>
          </w:tcPr>
          <w:p w14:paraId="51AF58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ED276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B0B3E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706EF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B760F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B3F7E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DF210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EECCA5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65D0F54">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B220C6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主要用于支付教学楼6206平方米的供暖费、水电费等及学校日常维修费用，此项目的实施可有效保障学校教育教学工作的正常运转，有效提高社会服务发展能力，努力实现学生满意的教育教学目标计划。</w:t>
            </w:r>
          </w:p>
        </w:tc>
        <w:tc>
          <w:tcPr>
            <w:tcW w:w="4677" w:type="dxa"/>
            <w:gridSpan w:val="7"/>
            <w:tcBorders>
              <w:top w:val="single" w:color="auto" w:sz="4" w:space="0"/>
              <w:left w:val="nil"/>
              <w:bottom w:val="single" w:color="auto" w:sz="4" w:space="0"/>
              <w:right w:val="single" w:color="000000" w:sz="4" w:space="0"/>
            </w:tcBorders>
          </w:tcPr>
          <w:p w14:paraId="144324F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由区财政及时拨付，单位在此次评价期间内，有序完成设定目标的部分工作任务，水电费、网络通讯及电话费5万元；学校维修、硬件设施的购买和修缮7万元；购买日常办公用品22.7万元，由于财政资金未全额拨付，暖气费未支付。该项目资金使用保障学校日常运行运转，达到改善教学教育环境及教学设施、提高学生综合素质的目标效果。正常完成的指标：供暖合格率：100；改善教学环境达标率：100；新增教学设备数量：10；学校享受条件改善的学生人数：513；供暖面积：6206；购置教学设备质量达标率：100；供暖时长：180；设备购置完成及时率：100；学校供暖成本：120；提高社会服务发展能力：有效提高；改善教学教育环境：有效改善；师生满意度：90</w:t>
            </w:r>
          </w:p>
        </w:tc>
      </w:tr>
      <w:tr w14:paraId="67181429">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D1BBD42">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C3849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66664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1226E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10875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CA161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62A8D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97C28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B2F77E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D508E00">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21CA661A">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CBBBAE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8FEFAE0">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8EB490D">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55E644C">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13A72A7">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A4D4F9B">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2F3A61A">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8382783">
            <w:pPr>
              <w:rPr>
                <w:rFonts w:hint="eastAsia" w:ascii="宋体" w:hAnsi="宋体" w:eastAsia="宋体" w:cs="宋体"/>
                <w:color w:val="000000"/>
                <w:sz w:val="18"/>
                <w:szCs w:val="18"/>
                <w:lang w:eastAsia="zh-CN"/>
              </w:rPr>
            </w:pPr>
          </w:p>
        </w:tc>
      </w:tr>
      <w:tr w14:paraId="48A17FD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66485C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96D96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1C4249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6102E3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享受教学条件改善学生数</w:t>
            </w:r>
          </w:p>
        </w:tc>
        <w:tc>
          <w:tcPr>
            <w:tcW w:w="1125" w:type="dxa"/>
            <w:tcBorders>
              <w:top w:val="nil"/>
              <w:left w:val="nil"/>
              <w:bottom w:val="single" w:color="auto" w:sz="4" w:space="0"/>
              <w:right w:val="single" w:color="auto" w:sz="4" w:space="0"/>
            </w:tcBorders>
            <w:vAlign w:val="center"/>
          </w:tcPr>
          <w:p w14:paraId="25C99D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&gt;=573人</w:t>
            </w:r>
          </w:p>
        </w:tc>
        <w:tc>
          <w:tcPr>
            <w:tcW w:w="1229" w:type="dxa"/>
            <w:tcBorders>
              <w:top w:val="nil"/>
              <w:left w:val="nil"/>
              <w:bottom w:val="single" w:color="auto" w:sz="4" w:space="0"/>
              <w:right w:val="single" w:color="auto" w:sz="4" w:space="0"/>
            </w:tcBorders>
            <w:vAlign w:val="center"/>
          </w:tcPr>
          <w:p w14:paraId="42A5F6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518人</w:t>
            </w:r>
          </w:p>
        </w:tc>
        <w:tc>
          <w:tcPr>
            <w:tcW w:w="755" w:type="dxa"/>
            <w:gridSpan w:val="2"/>
            <w:tcBorders>
              <w:top w:val="single" w:color="auto" w:sz="4" w:space="0"/>
              <w:left w:val="nil"/>
              <w:bottom w:val="single" w:color="auto" w:sz="4" w:space="0"/>
              <w:right w:val="single" w:color="000000" w:sz="4" w:space="0"/>
            </w:tcBorders>
            <w:vAlign w:val="center"/>
          </w:tcPr>
          <w:p w14:paraId="73F391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2219D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1984" w:type="dxa"/>
            <w:gridSpan w:val="2"/>
            <w:tcBorders>
              <w:top w:val="single" w:color="auto" w:sz="4" w:space="0"/>
              <w:left w:val="nil"/>
              <w:bottom w:val="single" w:color="auto" w:sz="4" w:space="0"/>
              <w:right w:val="single" w:color="auto" w:sz="4" w:space="0"/>
            </w:tcBorders>
            <w:vAlign w:val="center"/>
          </w:tcPr>
          <w:p w14:paraId="3EA4857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由于本年度转出学生较多</w:t>
            </w:r>
          </w:p>
        </w:tc>
      </w:tr>
      <w:tr w14:paraId="4BF989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B187B5">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3B02497">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677875D1">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134CBF46">
            <w:pPr>
              <w:rPr>
                <w:rFonts w:hint="eastAsia" w:ascii="宋体" w:hAnsi="宋体" w:eastAsia="宋体" w:cs="宋体"/>
                <w:color w:val="000000"/>
                <w:sz w:val="18"/>
                <w:szCs w:val="18"/>
              </w:rPr>
            </w:pPr>
            <w:r>
              <w:rPr>
                <w:rFonts w:hint="eastAsia" w:ascii="宋体" w:hAnsi="宋体" w:eastAsia="宋体" w:cs="宋体"/>
                <w:color w:val="000000"/>
                <w:sz w:val="18"/>
                <w:szCs w:val="18"/>
              </w:rPr>
              <w:t>水电费缴纳次数</w:t>
            </w:r>
          </w:p>
        </w:tc>
        <w:tc>
          <w:tcPr>
            <w:tcW w:w="1125" w:type="dxa"/>
            <w:tcBorders>
              <w:top w:val="nil"/>
              <w:left w:val="nil"/>
              <w:bottom w:val="single" w:color="auto" w:sz="4" w:space="0"/>
              <w:right w:val="single" w:color="auto" w:sz="4" w:space="0"/>
            </w:tcBorders>
            <w:vAlign w:val="center"/>
          </w:tcPr>
          <w:p w14:paraId="0252AC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&gt;=3次</w:t>
            </w:r>
          </w:p>
        </w:tc>
        <w:tc>
          <w:tcPr>
            <w:tcW w:w="1229" w:type="dxa"/>
            <w:tcBorders>
              <w:top w:val="nil"/>
              <w:left w:val="nil"/>
              <w:bottom w:val="single" w:color="auto" w:sz="4" w:space="0"/>
              <w:right w:val="single" w:color="auto" w:sz="4" w:space="0"/>
            </w:tcBorders>
            <w:vAlign w:val="center"/>
          </w:tcPr>
          <w:p w14:paraId="38C111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3次</w:t>
            </w:r>
          </w:p>
        </w:tc>
        <w:tc>
          <w:tcPr>
            <w:tcW w:w="755" w:type="dxa"/>
            <w:gridSpan w:val="2"/>
            <w:tcBorders>
              <w:top w:val="single" w:color="auto" w:sz="4" w:space="0"/>
              <w:left w:val="nil"/>
              <w:bottom w:val="single" w:color="auto" w:sz="4" w:space="0"/>
              <w:right w:val="single" w:color="000000" w:sz="4" w:space="0"/>
            </w:tcBorders>
            <w:vAlign w:val="center"/>
          </w:tcPr>
          <w:p w14:paraId="61D31D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B2019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98CDCA6">
            <w:pPr>
              <w:jc w:val="center"/>
              <w:rPr>
                <w:rFonts w:hint="eastAsia" w:ascii="宋体" w:hAnsi="宋体" w:eastAsia="宋体" w:cs="宋体"/>
                <w:color w:val="000000"/>
                <w:sz w:val="18"/>
                <w:szCs w:val="18"/>
              </w:rPr>
            </w:pPr>
          </w:p>
        </w:tc>
      </w:tr>
      <w:tr w14:paraId="044AD4B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2EDBBD">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3B0CA0A">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3043961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BE1832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学校公共设施日常维修改造次数</w:t>
            </w:r>
          </w:p>
        </w:tc>
        <w:tc>
          <w:tcPr>
            <w:tcW w:w="1125" w:type="dxa"/>
            <w:tcBorders>
              <w:top w:val="nil"/>
              <w:left w:val="nil"/>
              <w:bottom w:val="single" w:color="auto" w:sz="4" w:space="0"/>
              <w:right w:val="single" w:color="auto" w:sz="4" w:space="0"/>
            </w:tcBorders>
            <w:vAlign w:val="center"/>
          </w:tcPr>
          <w:p w14:paraId="0571AC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14:paraId="74F117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14:paraId="602A3E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FA6F5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32D19FD">
            <w:pPr>
              <w:jc w:val="center"/>
              <w:rPr>
                <w:rFonts w:hint="eastAsia" w:ascii="宋体" w:hAnsi="宋体" w:eastAsia="宋体" w:cs="宋体"/>
                <w:color w:val="000000"/>
                <w:sz w:val="18"/>
                <w:szCs w:val="18"/>
              </w:rPr>
            </w:pPr>
          </w:p>
        </w:tc>
      </w:tr>
      <w:tr w14:paraId="583FAB4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CED668">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B04258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9208C6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0B71585">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1AC181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=6206平方米</w:t>
            </w:r>
          </w:p>
        </w:tc>
        <w:tc>
          <w:tcPr>
            <w:tcW w:w="1229" w:type="dxa"/>
            <w:tcBorders>
              <w:top w:val="nil"/>
              <w:left w:val="nil"/>
              <w:bottom w:val="single" w:color="auto" w:sz="4" w:space="0"/>
              <w:right w:val="single" w:color="auto" w:sz="4" w:space="0"/>
            </w:tcBorders>
            <w:vAlign w:val="center"/>
          </w:tcPr>
          <w:p w14:paraId="0C9DAA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6206平方米</w:t>
            </w:r>
          </w:p>
        </w:tc>
        <w:tc>
          <w:tcPr>
            <w:tcW w:w="755" w:type="dxa"/>
            <w:gridSpan w:val="2"/>
            <w:tcBorders>
              <w:top w:val="single" w:color="auto" w:sz="4" w:space="0"/>
              <w:left w:val="nil"/>
              <w:bottom w:val="single" w:color="auto" w:sz="4" w:space="0"/>
              <w:right w:val="single" w:color="000000" w:sz="4" w:space="0"/>
            </w:tcBorders>
            <w:vAlign w:val="center"/>
          </w:tcPr>
          <w:p w14:paraId="17A8B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F269C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73F08C1">
            <w:pPr>
              <w:jc w:val="center"/>
              <w:rPr>
                <w:rFonts w:hint="eastAsia" w:ascii="宋体" w:hAnsi="宋体" w:eastAsia="宋体" w:cs="宋体"/>
                <w:color w:val="000000"/>
                <w:sz w:val="18"/>
                <w:szCs w:val="18"/>
              </w:rPr>
            </w:pPr>
          </w:p>
        </w:tc>
      </w:tr>
      <w:tr w14:paraId="3FC96A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99BFF8">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E666164">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8B2FA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530359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学校教育教学工作正常运转率</w:t>
            </w:r>
          </w:p>
        </w:tc>
        <w:tc>
          <w:tcPr>
            <w:tcW w:w="1125" w:type="dxa"/>
            <w:tcBorders>
              <w:top w:val="nil"/>
              <w:left w:val="nil"/>
              <w:bottom w:val="single" w:color="auto" w:sz="4" w:space="0"/>
              <w:right w:val="single" w:color="auto" w:sz="4" w:space="0"/>
            </w:tcBorders>
            <w:vAlign w:val="center"/>
          </w:tcPr>
          <w:p w14:paraId="5585C7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83A3F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DA92C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E2D8D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4AB041B">
            <w:pPr>
              <w:jc w:val="center"/>
              <w:rPr>
                <w:rFonts w:hint="eastAsia" w:ascii="宋体" w:hAnsi="宋体" w:eastAsia="宋体" w:cs="宋体"/>
                <w:color w:val="000000"/>
                <w:sz w:val="18"/>
                <w:szCs w:val="18"/>
              </w:rPr>
            </w:pPr>
          </w:p>
        </w:tc>
      </w:tr>
      <w:tr w14:paraId="2035C63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04EA02">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09225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71BDD9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B44BBE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对学校教学环境的改善</w:t>
            </w:r>
          </w:p>
        </w:tc>
        <w:tc>
          <w:tcPr>
            <w:tcW w:w="1125" w:type="dxa"/>
            <w:tcBorders>
              <w:top w:val="nil"/>
              <w:left w:val="nil"/>
              <w:bottom w:val="single" w:color="auto" w:sz="4" w:space="0"/>
              <w:right w:val="single" w:color="auto" w:sz="4" w:space="0"/>
            </w:tcBorders>
            <w:vAlign w:val="center"/>
          </w:tcPr>
          <w:p w14:paraId="36E866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0CBCAB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D1C7A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089B98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543F6C97">
            <w:pPr>
              <w:jc w:val="center"/>
              <w:rPr>
                <w:rFonts w:hint="eastAsia" w:ascii="宋体" w:hAnsi="宋体" w:eastAsia="宋体" w:cs="宋体"/>
                <w:color w:val="000000"/>
                <w:sz w:val="18"/>
                <w:szCs w:val="18"/>
              </w:rPr>
            </w:pPr>
          </w:p>
        </w:tc>
      </w:tr>
      <w:tr w14:paraId="794B28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01A191">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BA008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55FB7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3FE3966">
            <w:pPr>
              <w:rPr>
                <w:rFonts w:hint="eastAsia" w:ascii="宋体" w:hAnsi="宋体" w:eastAsia="宋体" w:cs="宋体"/>
                <w:color w:val="000000"/>
                <w:sz w:val="18"/>
                <w:szCs w:val="18"/>
              </w:rPr>
            </w:pPr>
            <w:r>
              <w:rPr>
                <w:rFonts w:hint="eastAsia" w:ascii="宋体" w:hAnsi="宋体" w:eastAsia="宋体" w:cs="宋体"/>
                <w:color w:val="000000"/>
                <w:sz w:val="18"/>
                <w:szCs w:val="18"/>
              </w:rPr>
              <w:t>学生和家长满意度</w:t>
            </w:r>
          </w:p>
        </w:tc>
        <w:tc>
          <w:tcPr>
            <w:tcW w:w="1125" w:type="dxa"/>
            <w:tcBorders>
              <w:top w:val="nil"/>
              <w:left w:val="nil"/>
              <w:bottom w:val="single" w:color="auto" w:sz="4" w:space="0"/>
              <w:right w:val="single" w:color="auto" w:sz="4" w:space="0"/>
            </w:tcBorders>
            <w:vAlign w:val="center"/>
          </w:tcPr>
          <w:p w14:paraId="0AECE9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3DC3DF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1E65EB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6F8AA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CB29000">
            <w:pPr>
              <w:jc w:val="center"/>
              <w:rPr>
                <w:rFonts w:hint="eastAsia" w:ascii="宋体" w:hAnsi="宋体" w:eastAsia="宋体" w:cs="宋体"/>
                <w:color w:val="000000"/>
                <w:sz w:val="18"/>
                <w:szCs w:val="18"/>
              </w:rPr>
            </w:pPr>
          </w:p>
        </w:tc>
      </w:tr>
      <w:tr w14:paraId="63E9E26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34ED1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1D19E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1B1B0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98.05分</w:t>
            </w:r>
          </w:p>
        </w:tc>
        <w:tc>
          <w:tcPr>
            <w:tcW w:w="1984" w:type="dxa"/>
            <w:gridSpan w:val="2"/>
            <w:tcBorders>
              <w:top w:val="single" w:color="auto" w:sz="4" w:space="0"/>
              <w:left w:val="nil"/>
              <w:bottom w:val="single" w:color="auto" w:sz="4" w:space="0"/>
              <w:right w:val="single" w:color="auto" w:sz="4" w:space="0"/>
            </w:tcBorders>
            <w:vAlign w:val="center"/>
          </w:tcPr>
          <w:p w14:paraId="08BA08A2">
            <w:pPr>
              <w:jc w:val="center"/>
              <w:rPr>
                <w:rFonts w:hint="eastAsia" w:ascii="宋体" w:hAnsi="宋体" w:eastAsia="宋体" w:cs="宋体"/>
                <w:b/>
                <w:bCs/>
                <w:color w:val="000000"/>
                <w:sz w:val="18"/>
                <w:szCs w:val="18"/>
              </w:rPr>
            </w:pPr>
          </w:p>
        </w:tc>
      </w:tr>
      <w:bookmarkEnd w:id="14"/>
    </w:tbl>
    <w:p w14:paraId="6ADEED75">
      <w:pPr>
        <w:jc w:val="center"/>
        <w:rPr>
          <w:rFonts w:ascii="宋体" w:hAnsi="宋体" w:eastAsia="宋体" w:cs="宋体"/>
          <w:b/>
          <w:bCs/>
          <w:sz w:val="28"/>
          <w:szCs w:val="28"/>
          <w:lang w:eastAsia="zh-CN"/>
        </w:rPr>
      </w:pPr>
    </w:p>
    <w:p w14:paraId="1E9F620F">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6381AEB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0966FA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11897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776B8A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乌财科教【2023】167号-关于提前下达2024年中央城乡义务教育补助经费（家庭经济困难学生生活补助（小学）</w:t>
            </w:r>
          </w:p>
        </w:tc>
      </w:tr>
      <w:tr w14:paraId="0D54F64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6472E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3C093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乌鲁木齐市第106小学</w:t>
            </w:r>
          </w:p>
        </w:tc>
        <w:tc>
          <w:tcPr>
            <w:tcW w:w="1275" w:type="dxa"/>
            <w:gridSpan w:val="2"/>
            <w:tcBorders>
              <w:top w:val="nil"/>
              <w:left w:val="nil"/>
              <w:bottom w:val="single" w:color="auto" w:sz="4" w:space="0"/>
              <w:right w:val="single" w:color="000000" w:sz="4" w:space="0"/>
            </w:tcBorders>
            <w:vAlign w:val="center"/>
          </w:tcPr>
          <w:p w14:paraId="2DE25F61">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071EB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乌鲁木齐市第106小学</w:t>
            </w:r>
          </w:p>
        </w:tc>
      </w:tr>
      <w:tr w14:paraId="330FF08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F78AD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39B5794">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97B8E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42028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0B50A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C627A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9117B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EBA10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8B7DE6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58B385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8FE59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0B768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10.24</w:t>
            </w:r>
          </w:p>
        </w:tc>
        <w:tc>
          <w:tcPr>
            <w:tcW w:w="1125" w:type="dxa"/>
            <w:tcBorders>
              <w:top w:val="nil"/>
              <w:left w:val="nil"/>
              <w:bottom w:val="single" w:color="auto" w:sz="4" w:space="0"/>
              <w:right w:val="single" w:color="auto" w:sz="4" w:space="0"/>
            </w:tcBorders>
            <w:noWrap/>
            <w:vAlign w:val="center"/>
          </w:tcPr>
          <w:p w14:paraId="7733D2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10.24</w:t>
            </w:r>
          </w:p>
        </w:tc>
        <w:tc>
          <w:tcPr>
            <w:tcW w:w="1275" w:type="dxa"/>
            <w:gridSpan w:val="2"/>
            <w:tcBorders>
              <w:top w:val="single" w:color="auto" w:sz="4" w:space="0"/>
              <w:left w:val="nil"/>
              <w:bottom w:val="single" w:color="auto" w:sz="4" w:space="0"/>
              <w:right w:val="single" w:color="000000" w:sz="4" w:space="0"/>
            </w:tcBorders>
            <w:noWrap/>
            <w:vAlign w:val="center"/>
          </w:tcPr>
          <w:p w14:paraId="1A11FA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5.19</w:t>
            </w:r>
          </w:p>
        </w:tc>
        <w:tc>
          <w:tcPr>
            <w:tcW w:w="1134" w:type="dxa"/>
            <w:gridSpan w:val="2"/>
            <w:tcBorders>
              <w:top w:val="single" w:color="auto" w:sz="4" w:space="0"/>
              <w:left w:val="nil"/>
              <w:bottom w:val="single" w:color="auto" w:sz="4" w:space="0"/>
              <w:right w:val="single" w:color="auto" w:sz="4" w:space="0"/>
            </w:tcBorders>
            <w:vAlign w:val="center"/>
          </w:tcPr>
          <w:p w14:paraId="3EC70C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54508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50.68%</w:t>
            </w:r>
          </w:p>
        </w:tc>
        <w:tc>
          <w:tcPr>
            <w:tcW w:w="1275" w:type="dxa"/>
            <w:tcBorders>
              <w:top w:val="nil"/>
              <w:left w:val="nil"/>
              <w:bottom w:val="single" w:color="auto" w:sz="4" w:space="0"/>
              <w:right w:val="single" w:color="auto" w:sz="4" w:space="0"/>
            </w:tcBorders>
            <w:vAlign w:val="center"/>
          </w:tcPr>
          <w:p w14:paraId="7464C3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5.07分</w:t>
            </w:r>
          </w:p>
        </w:tc>
      </w:tr>
      <w:tr w14:paraId="37AB4D2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0DBA39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51F4B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C975C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8.36</w:t>
            </w:r>
          </w:p>
        </w:tc>
        <w:tc>
          <w:tcPr>
            <w:tcW w:w="1125" w:type="dxa"/>
            <w:tcBorders>
              <w:top w:val="nil"/>
              <w:left w:val="nil"/>
              <w:bottom w:val="single" w:color="auto" w:sz="4" w:space="0"/>
              <w:right w:val="single" w:color="auto" w:sz="4" w:space="0"/>
            </w:tcBorders>
            <w:noWrap/>
            <w:vAlign w:val="center"/>
          </w:tcPr>
          <w:p w14:paraId="15B60B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8.36</w:t>
            </w:r>
          </w:p>
        </w:tc>
        <w:tc>
          <w:tcPr>
            <w:tcW w:w="1275" w:type="dxa"/>
            <w:gridSpan w:val="2"/>
            <w:tcBorders>
              <w:top w:val="single" w:color="auto" w:sz="4" w:space="0"/>
              <w:left w:val="nil"/>
              <w:bottom w:val="single" w:color="auto" w:sz="4" w:space="0"/>
              <w:right w:val="single" w:color="000000" w:sz="4" w:space="0"/>
            </w:tcBorders>
            <w:noWrap/>
            <w:vAlign w:val="center"/>
          </w:tcPr>
          <w:p w14:paraId="03D47E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3.31</w:t>
            </w:r>
          </w:p>
        </w:tc>
        <w:tc>
          <w:tcPr>
            <w:tcW w:w="1134" w:type="dxa"/>
            <w:gridSpan w:val="2"/>
            <w:tcBorders>
              <w:top w:val="single" w:color="auto" w:sz="4" w:space="0"/>
              <w:left w:val="nil"/>
              <w:bottom w:val="single" w:color="auto" w:sz="4" w:space="0"/>
              <w:right w:val="single" w:color="auto" w:sz="4" w:space="0"/>
            </w:tcBorders>
            <w:vAlign w:val="center"/>
          </w:tcPr>
          <w:p w14:paraId="0A14F5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11EE9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9F7EF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103FD9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1BA9FD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F91CA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71545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1.88</w:t>
            </w:r>
          </w:p>
        </w:tc>
        <w:tc>
          <w:tcPr>
            <w:tcW w:w="1125" w:type="dxa"/>
            <w:tcBorders>
              <w:top w:val="nil"/>
              <w:left w:val="nil"/>
              <w:bottom w:val="single" w:color="auto" w:sz="4" w:space="0"/>
              <w:right w:val="single" w:color="auto" w:sz="4" w:space="0"/>
            </w:tcBorders>
            <w:noWrap/>
            <w:vAlign w:val="center"/>
          </w:tcPr>
          <w:p w14:paraId="5611EF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1.88</w:t>
            </w:r>
          </w:p>
        </w:tc>
        <w:tc>
          <w:tcPr>
            <w:tcW w:w="1275" w:type="dxa"/>
            <w:gridSpan w:val="2"/>
            <w:tcBorders>
              <w:top w:val="single" w:color="auto" w:sz="4" w:space="0"/>
              <w:left w:val="nil"/>
              <w:bottom w:val="single" w:color="auto" w:sz="4" w:space="0"/>
              <w:right w:val="single" w:color="000000" w:sz="4" w:space="0"/>
            </w:tcBorders>
            <w:noWrap/>
            <w:vAlign w:val="center"/>
          </w:tcPr>
          <w:p w14:paraId="0920B3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1.88</w:t>
            </w:r>
          </w:p>
        </w:tc>
        <w:tc>
          <w:tcPr>
            <w:tcW w:w="1134" w:type="dxa"/>
            <w:gridSpan w:val="2"/>
            <w:tcBorders>
              <w:top w:val="single" w:color="auto" w:sz="4" w:space="0"/>
              <w:left w:val="nil"/>
              <w:bottom w:val="single" w:color="auto" w:sz="4" w:space="0"/>
              <w:right w:val="single" w:color="auto" w:sz="4" w:space="0"/>
            </w:tcBorders>
            <w:vAlign w:val="center"/>
          </w:tcPr>
          <w:p w14:paraId="4692C1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715B4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6C00E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B9D756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125BD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FDD80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FA157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927476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2AF2A31">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4F2983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义务教育经费保障机制-非寄宿生生活补助，为保障贫困生平等地享受合理的餐费补助，减轻贫困家庭负担。根据我校2023年秋季实际发放人数测算，预计2024年发放120人次，非寄宿生家庭困难生活补助小学312.5/元/学期。分为春秋两个学期发放，解决非寄宿生困难，促进贫困生平等享受教育资源，家长满意。</w:t>
            </w:r>
          </w:p>
        </w:tc>
        <w:tc>
          <w:tcPr>
            <w:tcW w:w="4677" w:type="dxa"/>
            <w:gridSpan w:val="7"/>
            <w:tcBorders>
              <w:top w:val="single" w:color="auto" w:sz="4" w:space="0"/>
              <w:left w:val="nil"/>
              <w:bottom w:val="single" w:color="auto" w:sz="4" w:space="0"/>
              <w:right w:val="single" w:color="000000" w:sz="4" w:space="0"/>
            </w:tcBorders>
          </w:tcPr>
          <w:p w14:paraId="19C5ED2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我校贫困生资助管理专干根据贫困生资助管理平台，提供人数，2024年共发放非寄宿生家庭困难生活补助春秋季补助共计166人/次，小学生312.5元/学期，初中学生375元/学期，支付2023年贫困生生活补助51875元，达到可改善贫困生家庭经济条件目的，帮助贫困生顺利完成学业</w:t>
            </w:r>
          </w:p>
        </w:tc>
      </w:tr>
      <w:tr w14:paraId="2F2BA9E0">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52EC407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C7313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5BD9E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6798D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0316E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35E4C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399B7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B213A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4C5466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A2FE771">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3920CDE4">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A8783A9">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BD2D072">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1938E63">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4CA583C">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1A7E1B2">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08A32B7">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0C89A82">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ADC22CD">
            <w:pPr>
              <w:rPr>
                <w:rFonts w:hint="eastAsia" w:ascii="宋体" w:hAnsi="宋体" w:eastAsia="宋体" w:cs="宋体"/>
                <w:color w:val="000000"/>
                <w:sz w:val="18"/>
                <w:szCs w:val="18"/>
                <w:lang w:eastAsia="zh-CN"/>
              </w:rPr>
            </w:pPr>
          </w:p>
        </w:tc>
      </w:tr>
      <w:tr w14:paraId="362BF37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ACEBEA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8748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5884EA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E17091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发放贫困补助学生人数</w:t>
            </w:r>
          </w:p>
        </w:tc>
        <w:tc>
          <w:tcPr>
            <w:tcW w:w="1125" w:type="dxa"/>
            <w:tcBorders>
              <w:top w:val="nil"/>
              <w:left w:val="nil"/>
              <w:bottom w:val="single" w:color="auto" w:sz="4" w:space="0"/>
              <w:right w:val="single" w:color="auto" w:sz="4" w:space="0"/>
            </w:tcBorders>
            <w:vAlign w:val="center"/>
          </w:tcPr>
          <w:p w14:paraId="54C4C9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&gt;=120人次</w:t>
            </w:r>
          </w:p>
        </w:tc>
        <w:tc>
          <w:tcPr>
            <w:tcW w:w="1229" w:type="dxa"/>
            <w:tcBorders>
              <w:top w:val="nil"/>
              <w:left w:val="nil"/>
              <w:bottom w:val="single" w:color="auto" w:sz="4" w:space="0"/>
              <w:right w:val="single" w:color="auto" w:sz="4" w:space="0"/>
            </w:tcBorders>
            <w:vAlign w:val="center"/>
          </w:tcPr>
          <w:p w14:paraId="1C6EDB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166人次</w:t>
            </w:r>
          </w:p>
        </w:tc>
        <w:tc>
          <w:tcPr>
            <w:tcW w:w="755" w:type="dxa"/>
            <w:gridSpan w:val="2"/>
            <w:tcBorders>
              <w:top w:val="single" w:color="auto" w:sz="4" w:space="0"/>
              <w:left w:val="nil"/>
              <w:bottom w:val="single" w:color="auto" w:sz="4" w:space="0"/>
              <w:right w:val="single" w:color="000000" w:sz="4" w:space="0"/>
            </w:tcBorders>
            <w:vAlign w:val="center"/>
          </w:tcPr>
          <w:p w14:paraId="63F790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B8283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8FD3D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春秋季有重复情况</w:t>
            </w:r>
          </w:p>
        </w:tc>
      </w:tr>
      <w:tr w14:paraId="606D39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290CE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4DFE0FD">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BC72E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342DC9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非寄宿贫困学生覆盖率</w:t>
            </w:r>
          </w:p>
        </w:tc>
        <w:tc>
          <w:tcPr>
            <w:tcW w:w="1125" w:type="dxa"/>
            <w:tcBorders>
              <w:top w:val="nil"/>
              <w:left w:val="nil"/>
              <w:bottom w:val="single" w:color="auto" w:sz="4" w:space="0"/>
              <w:right w:val="single" w:color="auto" w:sz="4" w:space="0"/>
            </w:tcBorders>
            <w:vAlign w:val="center"/>
          </w:tcPr>
          <w:p w14:paraId="27159D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33B4E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5384F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C4110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7227848">
            <w:pPr>
              <w:jc w:val="center"/>
              <w:rPr>
                <w:rFonts w:hint="eastAsia" w:ascii="宋体" w:hAnsi="宋体" w:eastAsia="宋体" w:cs="宋体"/>
                <w:color w:val="000000"/>
                <w:sz w:val="18"/>
                <w:szCs w:val="18"/>
              </w:rPr>
            </w:pPr>
          </w:p>
        </w:tc>
      </w:tr>
      <w:tr w14:paraId="773FCE1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335C5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26AC95B">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5BB67A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185137E">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594992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=2个学期</w:t>
            </w:r>
          </w:p>
        </w:tc>
        <w:tc>
          <w:tcPr>
            <w:tcW w:w="1229" w:type="dxa"/>
            <w:tcBorders>
              <w:top w:val="nil"/>
              <w:left w:val="nil"/>
              <w:bottom w:val="single" w:color="auto" w:sz="4" w:space="0"/>
              <w:right w:val="single" w:color="auto" w:sz="4" w:space="0"/>
            </w:tcBorders>
            <w:vAlign w:val="center"/>
          </w:tcPr>
          <w:p w14:paraId="768ECE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2个学期</w:t>
            </w:r>
          </w:p>
        </w:tc>
        <w:tc>
          <w:tcPr>
            <w:tcW w:w="755" w:type="dxa"/>
            <w:gridSpan w:val="2"/>
            <w:tcBorders>
              <w:top w:val="single" w:color="auto" w:sz="4" w:space="0"/>
              <w:left w:val="nil"/>
              <w:bottom w:val="single" w:color="auto" w:sz="4" w:space="0"/>
              <w:right w:val="single" w:color="000000" w:sz="4" w:space="0"/>
            </w:tcBorders>
            <w:vAlign w:val="center"/>
          </w:tcPr>
          <w:p w14:paraId="5F867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3DCA5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2CFC185">
            <w:pPr>
              <w:jc w:val="center"/>
              <w:rPr>
                <w:rFonts w:hint="eastAsia" w:ascii="宋体" w:hAnsi="宋体" w:eastAsia="宋体" w:cs="宋体"/>
                <w:color w:val="000000"/>
                <w:sz w:val="18"/>
                <w:szCs w:val="18"/>
              </w:rPr>
            </w:pPr>
          </w:p>
        </w:tc>
      </w:tr>
      <w:tr w14:paraId="3D66F44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D1A909">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74EB209">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110CF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CE5C507">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补助发放及时率</w:t>
            </w:r>
          </w:p>
        </w:tc>
        <w:tc>
          <w:tcPr>
            <w:tcW w:w="1125" w:type="dxa"/>
            <w:tcBorders>
              <w:top w:val="nil"/>
              <w:left w:val="nil"/>
              <w:bottom w:val="single" w:color="auto" w:sz="4" w:space="0"/>
              <w:right w:val="single" w:color="auto" w:sz="4" w:space="0"/>
            </w:tcBorders>
            <w:vAlign w:val="center"/>
          </w:tcPr>
          <w:p w14:paraId="75C47A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D94D7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211C4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EB138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FC96CFE">
            <w:pPr>
              <w:jc w:val="center"/>
              <w:rPr>
                <w:rFonts w:hint="eastAsia" w:ascii="宋体" w:hAnsi="宋体" w:eastAsia="宋体" w:cs="宋体"/>
                <w:color w:val="000000"/>
                <w:sz w:val="18"/>
                <w:szCs w:val="18"/>
              </w:rPr>
            </w:pPr>
          </w:p>
        </w:tc>
      </w:tr>
      <w:tr w14:paraId="7CFAFE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B66E36">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EAED1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53A24B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430A2F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减轻贫困家庭经济负担</w:t>
            </w:r>
          </w:p>
        </w:tc>
        <w:tc>
          <w:tcPr>
            <w:tcW w:w="1125" w:type="dxa"/>
            <w:tcBorders>
              <w:top w:val="nil"/>
              <w:left w:val="nil"/>
              <w:bottom w:val="single" w:color="auto" w:sz="4" w:space="0"/>
              <w:right w:val="single" w:color="auto" w:sz="4" w:space="0"/>
            </w:tcBorders>
            <w:vAlign w:val="center"/>
          </w:tcPr>
          <w:p w14:paraId="28E9BD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2A072A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FF10E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0DD645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02600D6">
            <w:pPr>
              <w:jc w:val="center"/>
              <w:rPr>
                <w:rFonts w:hint="eastAsia" w:ascii="宋体" w:hAnsi="宋体" w:eastAsia="宋体" w:cs="宋体"/>
                <w:color w:val="000000"/>
                <w:sz w:val="18"/>
                <w:szCs w:val="18"/>
              </w:rPr>
            </w:pPr>
          </w:p>
        </w:tc>
      </w:tr>
      <w:tr w14:paraId="52B3598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FE047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2FF183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F51940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7A9CA4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解决非寄宿贫困学生困难</w:t>
            </w:r>
          </w:p>
        </w:tc>
        <w:tc>
          <w:tcPr>
            <w:tcW w:w="1125" w:type="dxa"/>
            <w:tcBorders>
              <w:top w:val="nil"/>
              <w:left w:val="nil"/>
              <w:bottom w:val="single" w:color="auto" w:sz="4" w:space="0"/>
              <w:right w:val="single" w:color="auto" w:sz="4" w:space="0"/>
            </w:tcBorders>
            <w:vAlign w:val="center"/>
          </w:tcPr>
          <w:p w14:paraId="57C129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285E56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617C6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19393C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3D80E8F">
            <w:pPr>
              <w:jc w:val="center"/>
              <w:rPr>
                <w:rFonts w:hint="eastAsia" w:ascii="宋体" w:hAnsi="宋体" w:eastAsia="宋体" w:cs="宋体"/>
                <w:color w:val="000000"/>
                <w:sz w:val="18"/>
                <w:szCs w:val="18"/>
              </w:rPr>
            </w:pPr>
          </w:p>
        </w:tc>
      </w:tr>
      <w:tr w14:paraId="65BCAF6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7E076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EEFBE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E7404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3F03294">
            <w:pPr>
              <w:rPr>
                <w:rFonts w:hint="eastAsia" w:ascii="宋体" w:hAnsi="宋体" w:eastAsia="宋体" w:cs="宋体"/>
                <w:color w:val="000000"/>
                <w:sz w:val="18"/>
                <w:szCs w:val="18"/>
              </w:rPr>
            </w:pPr>
            <w:r>
              <w:rPr>
                <w:rFonts w:hint="eastAsia" w:ascii="宋体" w:hAnsi="宋体" w:eastAsia="宋体" w:cs="宋体"/>
                <w:color w:val="000000"/>
                <w:sz w:val="18"/>
                <w:szCs w:val="18"/>
              </w:rPr>
              <w:t>学生及家庭满意度</w:t>
            </w:r>
          </w:p>
        </w:tc>
        <w:tc>
          <w:tcPr>
            <w:tcW w:w="1125" w:type="dxa"/>
            <w:tcBorders>
              <w:top w:val="nil"/>
              <w:left w:val="nil"/>
              <w:bottom w:val="single" w:color="auto" w:sz="4" w:space="0"/>
              <w:right w:val="single" w:color="auto" w:sz="4" w:space="0"/>
            </w:tcBorders>
            <w:vAlign w:val="center"/>
          </w:tcPr>
          <w:p w14:paraId="10D13B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5DE88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051AB4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C8605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CA08935">
            <w:pPr>
              <w:jc w:val="center"/>
              <w:rPr>
                <w:rFonts w:hint="eastAsia" w:ascii="宋体" w:hAnsi="宋体" w:eastAsia="宋体" w:cs="宋体"/>
                <w:color w:val="000000"/>
                <w:sz w:val="18"/>
                <w:szCs w:val="18"/>
              </w:rPr>
            </w:pPr>
          </w:p>
        </w:tc>
      </w:tr>
      <w:tr w14:paraId="4CABF15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2A244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6272D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8182A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95.07分</w:t>
            </w:r>
          </w:p>
        </w:tc>
        <w:tc>
          <w:tcPr>
            <w:tcW w:w="1984" w:type="dxa"/>
            <w:gridSpan w:val="2"/>
            <w:tcBorders>
              <w:top w:val="single" w:color="auto" w:sz="4" w:space="0"/>
              <w:left w:val="nil"/>
              <w:bottom w:val="single" w:color="auto" w:sz="4" w:space="0"/>
              <w:right w:val="single" w:color="auto" w:sz="4" w:space="0"/>
            </w:tcBorders>
            <w:vAlign w:val="center"/>
          </w:tcPr>
          <w:p w14:paraId="322B92D0">
            <w:pPr>
              <w:jc w:val="center"/>
              <w:rPr>
                <w:rFonts w:hint="eastAsia" w:ascii="宋体" w:hAnsi="宋体" w:eastAsia="宋体" w:cs="宋体"/>
                <w:b/>
                <w:bCs/>
                <w:color w:val="000000"/>
                <w:sz w:val="18"/>
                <w:szCs w:val="18"/>
              </w:rPr>
            </w:pPr>
          </w:p>
        </w:tc>
      </w:tr>
    </w:tbl>
    <w:p w14:paraId="10CB9DF7">
      <w:pPr>
        <w:jc w:val="center"/>
        <w:rPr>
          <w:rFonts w:ascii="宋体" w:hAnsi="宋体" w:eastAsia="宋体" w:cs="宋体"/>
          <w:b/>
          <w:bCs/>
          <w:sz w:val="28"/>
          <w:szCs w:val="28"/>
          <w:lang w:eastAsia="zh-CN"/>
        </w:rPr>
      </w:pPr>
    </w:p>
    <w:p w14:paraId="7B5707F2">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54D8D19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AC90DE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CED5F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96DF7D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008DF5B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E263B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BC05B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乌鲁木齐市第106小学</w:t>
            </w:r>
          </w:p>
        </w:tc>
        <w:tc>
          <w:tcPr>
            <w:tcW w:w="1275" w:type="dxa"/>
            <w:gridSpan w:val="2"/>
            <w:tcBorders>
              <w:top w:val="nil"/>
              <w:left w:val="nil"/>
              <w:bottom w:val="single" w:color="auto" w:sz="4" w:space="0"/>
              <w:right w:val="single" w:color="000000" w:sz="4" w:space="0"/>
            </w:tcBorders>
            <w:vAlign w:val="center"/>
          </w:tcPr>
          <w:p w14:paraId="7D8A6745">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1A8B7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乌鲁木齐市第106小学</w:t>
            </w:r>
          </w:p>
        </w:tc>
      </w:tr>
      <w:tr w14:paraId="7F34595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11781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DDE9B3C">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FF633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32EF6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BA506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4FB78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E497F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4B56D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0BC72E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54883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3FB95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59D8D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5.44</w:t>
            </w:r>
          </w:p>
        </w:tc>
        <w:tc>
          <w:tcPr>
            <w:tcW w:w="1125" w:type="dxa"/>
            <w:tcBorders>
              <w:top w:val="nil"/>
              <w:left w:val="nil"/>
              <w:bottom w:val="single" w:color="auto" w:sz="4" w:space="0"/>
              <w:right w:val="single" w:color="auto" w:sz="4" w:space="0"/>
            </w:tcBorders>
            <w:noWrap/>
            <w:vAlign w:val="center"/>
          </w:tcPr>
          <w:p w14:paraId="285B0D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7.80</w:t>
            </w:r>
          </w:p>
        </w:tc>
        <w:tc>
          <w:tcPr>
            <w:tcW w:w="1275" w:type="dxa"/>
            <w:gridSpan w:val="2"/>
            <w:tcBorders>
              <w:top w:val="single" w:color="auto" w:sz="4" w:space="0"/>
              <w:left w:val="nil"/>
              <w:bottom w:val="single" w:color="auto" w:sz="4" w:space="0"/>
              <w:right w:val="single" w:color="000000" w:sz="4" w:space="0"/>
            </w:tcBorders>
            <w:noWrap/>
            <w:vAlign w:val="center"/>
          </w:tcPr>
          <w:p w14:paraId="482C39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7.80</w:t>
            </w:r>
          </w:p>
        </w:tc>
        <w:tc>
          <w:tcPr>
            <w:tcW w:w="1134" w:type="dxa"/>
            <w:gridSpan w:val="2"/>
            <w:tcBorders>
              <w:top w:val="single" w:color="auto" w:sz="4" w:space="0"/>
              <w:left w:val="nil"/>
              <w:bottom w:val="single" w:color="auto" w:sz="4" w:space="0"/>
              <w:right w:val="single" w:color="auto" w:sz="4" w:space="0"/>
            </w:tcBorders>
            <w:vAlign w:val="center"/>
          </w:tcPr>
          <w:p w14:paraId="63B045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C768F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6B7A5F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44911FD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8901A9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B5938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8E896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3.70</w:t>
            </w:r>
          </w:p>
        </w:tc>
        <w:tc>
          <w:tcPr>
            <w:tcW w:w="1125" w:type="dxa"/>
            <w:tcBorders>
              <w:top w:val="nil"/>
              <w:left w:val="nil"/>
              <w:bottom w:val="single" w:color="auto" w:sz="4" w:space="0"/>
              <w:right w:val="single" w:color="auto" w:sz="4" w:space="0"/>
            </w:tcBorders>
            <w:noWrap/>
            <w:vAlign w:val="center"/>
          </w:tcPr>
          <w:p w14:paraId="7DEE79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7.80</w:t>
            </w:r>
          </w:p>
        </w:tc>
        <w:tc>
          <w:tcPr>
            <w:tcW w:w="1275" w:type="dxa"/>
            <w:gridSpan w:val="2"/>
            <w:tcBorders>
              <w:top w:val="single" w:color="auto" w:sz="4" w:space="0"/>
              <w:left w:val="nil"/>
              <w:bottom w:val="single" w:color="auto" w:sz="4" w:space="0"/>
              <w:right w:val="single" w:color="000000" w:sz="4" w:space="0"/>
            </w:tcBorders>
            <w:noWrap/>
            <w:vAlign w:val="center"/>
          </w:tcPr>
          <w:p w14:paraId="40B869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6.06</w:t>
            </w:r>
          </w:p>
        </w:tc>
        <w:tc>
          <w:tcPr>
            <w:tcW w:w="1134" w:type="dxa"/>
            <w:gridSpan w:val="2"/>
            <w:tcBorders>
              <w:top w:val="single" w:color="auto" w:sz="4" w:space="0"/>
              <w:left w:val="nil"/>
              <w:bottom w:val="single" w:color="auto" w:sz="4" w:space="0"/>
              <w:right w:val="single" w:color="auto" w:sz="4" w:space="0"/>
            </w:tcBorders>
            <w:vAlign w:val="center"/>
          </w:tcPr>
          <w:p w14:paraId="7DA72A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10FA9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0E9CE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7396E5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7FFB7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EDDBA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B3E01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1.74</w:t>
            </w:r>
          </w:p>
        </w:tc>
        <w:tc>
          <w:tcPr>
            <w:tcW w:w="1125" w:type="dxa"/>
            <w:tcBorders>
              <w:top w:val="nil"/>
              <w:left w:val="nil"/>
              <w:bottom w:val="single" w:color="auto" w:sz="4" w:space="0"/>
              <w:right w:val="single" w:color="auto" w:sz="4" w:space="0"/>
            </w:tcBorders>
            <w:noWrap/>
            <w:vAlign w:val="center"/>
          </w:tcPr>
          <w:p w14:paraId="14DD16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00C35C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1.74</w:t>
            </w:r>
          </w:p>
        </w:tc>
        <w:tc>
          <w:tcPr>
            <w:tcW w:w="1134" w:type="dxa"/>
            <w:gridSpan w:val="2"/>
            <w:tcBorders>
              <w:top w:val="single" w:color="auto" w:sz="4" w:space="0"/>
              <w:left w:val="nil"/>
              <w:bottom w:val="single" w:color="auto" w:sz="4" w:space="0"/>
              <w:right w:val="single" w:color="auto" w:sz="4" w:space="0"/>
            </w:tcBorders>
            <w:vAlign w:val="center"/>
          </w:tcPr>
          <w:p w14:paraId="61B9CA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FA99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9406A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D88EF7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14B16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8A2D3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98850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D2D195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957D265">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92F33A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代课教师发放人数4人，完成同工同酬教师人数发放2人，保障资金发放准确性，此项目的实施可有效弥补现有师资力量的不足，保障学校各项正常教学工作的完成；调动代课教师的工作热情和积极性，提高教学质量提高教师的工作效率，提高受益对象的满意度。</w:t>
            </w:r>
          </w:p>
        </w:tc>
        <w:tc>
          <w:tcPr>
            <w:tcW w:w="4677" w:type="dxa"/>
            <w:gridSpan w:val="7"/>
            <w:tcBorders>
              <w:top w:val="single" w:color="auto" w:sz="4" w:space="0"/>
              <w:left w:val="nil"/>
              <w:bottom w:val="single" w:color="auto" w:sz="4" w:space="0"/>
              <w:right w:val="single" w:color="000000" w:sz="4" w:space="0"/>
            </w:tcBorders>
          </w:tcPr>
          <w:p w14:paraId="22DD41A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达到保障自聘教师工资薪酬发放的目的，提高代课教师的工资。</w:t>
            </w:r>
          </w:p>
        </w:tc>
      </w:tr>
      <w:tr w14:paraId="7E34A5D1">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6632A8E6">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0866E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04AE4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43BF3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AF33B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04839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DD67E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8B7E9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28C5F6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F67FBA6">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44CA33FE">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C3974D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344F0BD">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6D4742D">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F79C34D">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D4662D2">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04A0A41">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3780BC0">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F6777B4">
            <w:pPr>
              <w:rPr>
                <w:rFonts w:hint="eastAsia" w:ascii="宋体" w:hAnsi="宋体" w:eastAsia="宋体" w:cs="宋体"/>
                <w:color w:val="000000"/>
                <w:sz w:val="18"/>
                <w:szCs w:val="18"/>
                <w:lang w:eastAsia="zh-CN"/>
              </w:rPr>
            </w:pPr>
          </w:p>
        </w:tc>
      </w:tr>
      <w:tr w14:paraId="3A1CE88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32DDF2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1D7B3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B06E8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311065B">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代课教师发放人数</w:t>
            </w:r>
          </w:p>
        </w:tc>
        <w:tc>
          <w:tcPr>
            <w:tcW w:w="1125" w:type="dxa"/>
            <w:tcBorders>
              <w:top w:val="nil"/>
              <w:left w:val="nil"/>
              <w:bottom w:val="single" w:color="auto" w:sz="4" w:space="0"/>
              <w:right w:val="single" w:color="auto" w:sz="4" w:space="0"/>
            </w:tcBorders>
            <w:vAlign w:val="center"/>
          </w:tcPr>
          <w:p w14:paraId="2F2DA4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&gt;=4个</w:t>
            </w:r>
          </w:p>
        </w:tc>
        <w:tc>
          <w:tcPr>
            <w:tcW w:w="1229" w:type="dxa"/>
            <w:tcBorders>
              <w:top w:val="nil"/>
              <w:left w:val="nil"/>
              <w:bottom w:val="single" w:color="auto" w:sz="4" w:space="0"/>
              <w:right w:val="single" w:color="auto" w:sz="4" w:space="0"/>
            </w:tcBorders>
            <w:vAlign w:val="center"/>
          </w:tcPr>
          <w:p w14:paraId="051935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55" w:type="dxa"/>
            <w:gridSpan w:val="2"/>
            <w:tcBorders>
              <w:top w:val="single" w:color="auto" w:sz="4" w:space="0"/>
              <w:left w:val="nil"/>
              <w:bottom w:val="single" w:color="auto" w:sz="4" w:space="0"/>
              <w:right w:val="single" w:color="000000" w:sz="4" w:space="0"/>
            </w:tcBorders>
            <w:vAlign w:val="center"/>
          </w:tcPr>
          <w:p w14:paraId="332E08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801E1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B3B3995">
            <w:pPr>
              <w:jc w:val="center"/>
              <w:rPr>
                <w:rFonts w:hint="eastAsia" w:ascii="宋体" w:hAnsi="宋体" w:eastAsia="宋体" w:cs="宋体"/>
                <w:color w:val="000000"/>
                <w:sz w:val="18"/>
                <w:szCs w:val="18"/>
              </w:rPr>
            </w:pPr>
          </w:p>
        </w:tc>
      </w:tr>
      <w:tr w14:paraId="17E7F4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10CC3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9767580">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0869974">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6B9BB7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同工同酬教师发放人数</w:t>
            </w:r>
          </w:p>
        </w:tc>
        <w:tc>
          <w:tcPr>
            <w:tcW w:w="1125" w:type="dxa"/>
            <w:tcBorders>
              <w:top w:val="nil"/>
              <w:left w:val="nil"/>
              <w:bottom w:val="single" w:color="auto" w:sz="4" w:space="0"/>
              <w:right w:val="single" w:color="auto" w:sz="4" w:space="0"/>
            </w:tcBorders>
            <w:vAlign w:val="center"/>
          </w:tcPr>
          <w:p w14:paraId="0E5A03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&gt;=2个</w:t>
            </w:r>
          </w:p>
        </w:tc>
        <w:tc>
          <w:tcPr>
            <w:tcW w:w="1229" w:type="dxa"/>
            <w:tcBorders>
              <w:top w:val="nil"/>
              <w:left w:val="nil"/>
              <w:bottom w:val="single" w:color="auto" w:sz="4" w:space="0"/>
              <w:right w:val="single" w:color="auto" w:sz="4" w:space="0"/>
            </w:tcBorders>
            <w:vAlign w:val="center"/>
          </w:tcPr>
          <w:p w14:paraId="2E573A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2人</w:t>
            </w:r>
          </w:p>
        </w:tc>
        <w:tc>
          <w:tcPr>
            <w:tcW w:w="755" w:type="dxa"/>
            <w:gridSpan w:val="2"/>
            <w:tcBorders>
              <w:top w:val="single" w:color="auto" w:sz="4" w:space="0"/>
              <w:left w:val="nil"/>
              <w:bottom w:val="single" w:color="auto" w:sz="4" w:space="0"/>
              <w:right w:val="single" w:color="000000" w:sz="4" w:space="0"/>
            </w:tcBorders>
            <w:vAlign w:val="center"/>
          </w:tcPr>
          <w:p w14:paraId="63657E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7AB75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7CFBF3B">
            <w:pPr>
              <w:jc w:val="center"/>
              <w:rPr>
                <w:rFonts w:hint="eastAsia" w:ascii="宋体" w:hAnsi="宋体" w:eastAsia="宋体" w:cs="宋体"/>
                <w:color w:val="000000"/>
                <w:sz w:val="18"/>
                <w:szCs w:val="18"/>
              </w:rPr>
            </w:pPr>
          </w:p>
        </w:tc>
      </w:tr>
      <w:tr w14:paraId="756349E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98EA11">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D585A4D">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18D2A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FAF7A06">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49E90E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CE0E1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A355C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C3714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81554CE">
            <w:pPr>
              <w:jc w:val="center"/>
              <w:rPr>
                <w:rFonts w:hint="eastAsia" w:ascii="宋体" w:hAnsi="宋体" w:eastAsia="宋体" w:cs="宋体"/>
                <w:color w:val="000000"/>
                <w:sz w:val="18"/>
                <w:szCs w:val="18"/>
              </w:rPr>
            </w:pPr>
          </w:p>
        </w:tc>
      </w:tr>
      <w:tr w14:paraId="649481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1853A0">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294D20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0EE1E6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B60A503">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w:t>
            </w:r>
          </w:p>
        </w:tc>
        <w:tc>
          <w:tcPr>
            <w:tcW w:w="1125" w:type="dxa"/>
            <w:tcBorders>
              <w:top w:val="nil"/>
              <w:left w:val="nil"/>
              <w:bottom w:val="single" w:color="auto" w:sz="4" w:space="0"/>
              <w:right w:val="single" w:color="auto" w:sz="4" w:space="0"/>
            </w:tcBorders>
            <w:vAlign w:val="center"/>
          </w:tcPr>
          <w:p w14:paraId="15A729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=3.5万元</w:t>
            </w:r>
          </w:p>
        </w:tc>
        <w:tc>
          <w:tcPr>
            <w:tcW w:w="1229" w:type="dxa"/>
            <w:tcBorders>
              <w:top w:val="nil"/>
              <w:left w:val="nil"/>
              <w:bottom w:val="single" w:color="auto" w:sz="4" w:space="0"/>
              <w:right w:val="single" w:color="auto" w:sz="4" w:space="0"/>
            </w:tcBorders>
            <w:vAlign w:val="center"/>
          </w:tcPr>
          <w:p w14:paraId="48F788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3.5万元</w:t>
            </w:r>
          </w:p>
        </w:tc>
        <w:tc>
          <w:tcPr>
            <w:tcW w:w="755" w:type="dxa"/>
            <w:gridSpan w:val="2"/>
            <w:tcBorders>
              <w:top w:val="single" w:color="auto" w:sz="4" w:space="0"/>
              <w:left w:val="nil"/>
              <w:bottom w:val="single" w:color="auto" w:sz="4" w:space="0"/>
              <w:right w:val="single" w:color="000000" w:sz="4" w:space="0"/>
            </w:tcBorders>
            <w:vAlign w:val="center"/>
          </w:tcPr>
          <w:p w14:paraId="5B2B34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380CA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EE57A60">
            <w:pPr>
              <w:jc w:val="center"/>
              <w:rPr>
                <w:rFonts w:hint="eastAsia" w:ascii="宋体" w:hAnsi="宋体" w:eastAsia="宋体" w:cs="宋体"/>
                <w:color w:val="000000"/>
                <w:sz w:val="18"/>
                <w:szCs w:val="18"/>
              </w:rPr>
            </w:pPr>
          </w:p>
        </w:tc>
      </w:tr>
      <w:tr w14:paraId="6297B0D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3CCAC9">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73C52B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03D29B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5753986">
            <w:pPr>
              <w:rPr>
                <w:rFonts w:hint="eastAsia" w:ascii="宋体" w:hAnsi="宋体" w:eastAsia="宋体" w:cs="宋体"/>
                <w:color w:val="000000"/>
                <w:sz w:val="18"/>
                <w:szCs w:val="18"/>
              </w:rPr>
            </w:pPr>
            <w:r>
              <w:rPr>
                <w:rFonts w:hint="eastAsia" w:ascii="宋体" w:hAnsi="宋体" w:eastAsia="宋体" w:cs="宋体"/>
                <w:color w:val="000000"/>
                <w:sz w:val="18"/>
                <w:szCs w:val="18"/>
              </w:rPr>
              <w:t>同工同酬教师工资</w:t>
            </w:r>
          </w:p>
        </w:tc>
        <w:tc>
          <w:tcPr>
            <w:tcW w:w="1125" w:type="dxa"/>
            <w:tcBorders>
              <w:top w:val="nil"/>
              <w:left w:val="nil"/>
              <w:bottom w:val="single" w:color="auto" w:sz="4" w:space="0"/>
              <w:right w:val="single" w:color="auto" w:sz="4" w:space="0"/>
            </w:tcBorders>
            <w:vAlign w:val="center"/>
          </w:tcPr>
          <w:p w14:paraId="0D2CBB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=4.3万元</w:t>
            </w:r>
          </w:p>
        </w:tc>
        <w:tc>
          <w:tcPr>
            <w:tcW w:w="1229" w:type="dxa"/>
            <w:tcBorders>
              <w:top w:val="nil"/>
              <w:left w:val="nil"/>
              <w:bottom w:val="single" w:color="auto" w:sz="4" w:space="0"/>
              <w:right w:val="single" w:color="auto" w:sz="4" w:space="0"/>
            </w:tcBorders>
            <w:vAlign w:val="center"/>
          </w:tcPr>
          <w:p w14:paraId="082D4D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4.3万元</w:t>
            </w:r>
          </w:p>
        </w:tc>
        <w:tc>
          <w:tcPr>
            <w:tcW w:w="755" w:type="dxa"/>
            <w:gridSpan w:val="2"/>
            <w:tcBorders>
              <w:top w:val="single" w:color="auto" w:sz="4" w:space="0"/>
              <w:left w:val="nil"/>
              <w:bottom w:val="single" w:color="auto" w:sz="4" w:space="0"/>
              <w:right w:val="single" w:color="000000" w:sz="4" w:space="0"/>
            </w:tcBorders>
            <w:vAlign w:val="center"/>
          </w:tcPr>
          <w:p w14:paraId="4CF325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700D6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640E4D5">
            <w:pPr>
              <w:jc w:val="center"/>
              <w:rPr>
                <w:rFonts w:hint="eastAsia" w:ascii="宋体" w:hAnsi="宋体" w:eastAsia="宋体" w:cs="宋体"/>
                <w:color w:val="000000"/>
                <w:sz w:val="18"/>
                <w:szCs w:val="18"/>
              </w:rPr>
            </w:pPr>
          </w:p>
        </w:tc>
      </w:tr>
      <w:tr w14:paraId="70AFCF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674246">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4667D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2AE5A9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7A6EEA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调动代课教师的工作热情和积极性，提高教学质量</w:t>
            </w:r>
          </w:p>
        </w:tc>
        <w:tc>
          <w:tcPr>
            <w:tcW w:w="1125" w:type="dxa"/>
            <w:tcBorders>
              <w:top w:val="nil"/>
              <w:left w:val="nil"/>
              <w:bottom w:val="single" w:color="auto" w:sz="4" w:space="0"/>
              <w:right w:val="single" w:color="auto" w:sz="4" w:space="0"/>
            </w:tcBorders>
            <w:vAlign w:val="center"/>
          </w:tcPr>
          <w:p w14:paraId="6A1E41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25BEEF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8F1CD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F7022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BF9FEC6">
            <w:pPr>
              <w:jc w:val="center"/>
              <w:rPr>
                <w:rFonts w:hint="eastAsia" w:ascii="宋体" w:hAnsi="宋体" w:eastAsia="宋体" w:cs="宋体"/>
                <w:color w:val="000000"/>
                <w:sz w:val="18"/>
                <w:szCs w:val="18"/>
              </w:rPr>
            </w:pPr>
          </w:p>
        </w:tc>
      </w:tr>
      <w:tr w14:paraId="792030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C16F63">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EDAE7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3EFC99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B88EDF9">
            <w:pPr>
              <w:rPr>
                <w:rFonts w:hint="eastAsia" w:ascii="宋体" w:hAnsi="宋体" w:eastAsia="宋体" w:cs="宋体"/>
                <w:color w:val="000000"/>
                <w:sz w:val="18"/>
                <w:szCs w:val="18"/>
              </w:rPr>
            </w:pPr>
            <w:r>
              <w:rPr>
                <w:rFonts w:hint="eastAsia" w:ascii="宋体" w:hAnsi="宋体" w:eastAsia="宋体" w:cs="宋体"/>
                <w:color w:val="000000"/>
                <w:sz w:val="18"/>
                <w:szCs w:val="18"/>
              </w:rPr>
              <w:t>临聘教师满意度</w:t>
            </w:r>
          </w:p>
        </w:tc>
        <w:tc>
          <w:tcPr>
            <w:tcW w:w="1125" w:type="dxa"/>
            <w:tcBorders>
              <w:top w:val="nil"/>
              <w:left w:val="nil"/>
              <w:bottom w:val="single" w:color="auto" w:sz="4" w:space="0"/>
              <w:right w:val="single" w:color="auto" w:sz="4" w:space="0"/>
            </w:tcBorders>
            <w:vAlign w:val="center"/>
          </w:tcPr>
          <w:p w14:paraId="4F1E70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5DD39E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A62BF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95576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EB9CDFD">
            <w:pPr>
              <w:jc w:val="center"/>
              <w:rPr>
                <w:rFonts w:hint="eastAsia" w:ascii="宋体" w:hAnsi="宋体" w:eastAsia="宋体" w:cs="宋体"/>
                <w:color w:val="000000"/>
                <w:sz w:val="18"/>
                <w:szCs w:val="18"/>
              </w:rPr>
            </w:pPr>
          </w:p>
        </w:tc>
      </w:tr>
      <w:tr w14:paraId="7E00022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2FB78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43BD1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5D80A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2C1D6031">
            <w:pPr>
              <w:jc w:val="center"/>
              <w:rPr>
                <w:rFonts w:hint="eastAsia" w:ascii="宋体" w:hAnsi="宋体" w:eastAsia="宋体" w:cs="宋体"/>
                <w:b/>
                <w:bCs/>
                <w:color w:val="000000"/>
                <w:sz w:val="18"/>
                <w:szCs w:val="18"/>
              </w:rPr>
            </w:pPr>
          </w:p>
        </w:tc>
      </w:tr>
    </w:tbl>
    <w:p w14:paraId="66E33A91">
      <w:pPr>
        <w:rPr>
          <w:rFonts w:hint="eastAsia" w:ascii="仿宋_GB2312" w:eastAsia="仿宋_GB2312"/>
          <w:b/>
          <w:bCs/>
          <w:sz w:val="32"/>
          <w:szCs w:val="32"/>
          <w:lang w:eastAsia="zh-CN"/>
        </w:rPr>
      </w:pPr>
      <w:r>
        <w:rPr>
          <w:rFonts w:hint="eastAsia" w:ascii="仿宋_GB2312" w:eastAsia="仿宋_GB2312"/>
          <w:b/>
          <w:bCs/>
          <w:sz w:val="32"/>
          <w:szCs w:val="32"/>
          <w:lang w:eastAsia="zh-CN"/>
        </w:rPr>
        <w:br w:type="page"/>
      </w:r>
    </w:p>
    <w:p w14:paraId="52BAE2A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66953704">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056C9050">
      <w:pPr>
        <w:spacing w:after="0" w:line="240" w:lineRule="auto"/>
        <w:ind w:firstLine="640" w:firstLineChars="200"/>
        <w:rPr>
          <w:rFonts w:hint="eastAsia" w:ascii="仿宋_GB2312" w:eastAsia="仿宋_GB2312"/>
          <w:sz w:val="32"/>
          <w:szCs w:val="32"/>
          <w:lang w:eastAsia="zh-CN"/>
        </w:rPr>
      </w:pPr>
    </w:p>
    <w:p w14:paraId="30E90A35">
      <w:pPr>
        <w:rPr>
          <w:rFonts w:hint="eastAsia"/>
          <w:lang w:eastAsia="zh-CN"/>
        </w:rPr>
      </w:pPr>
      <w:r>
        <w:rPr>
          <w:sz w:val="0"/>
          <w:szCs w:val="0"/>
          <w:lang w:eastAsia="zh-CN"/>
        </w:rPr>
        <w:br w:type="page"/>
      </w:r>
    </w:p>
    <w:p w14:paraId="77394F1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C9D371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658789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B178BC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15A375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D0A141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6B1B07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69CC93A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848A11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58D72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C41FCC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A8B5EC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FC07F5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6E3090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EDDF6C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4513B0F">
      <w:pPr>
        <w:rPr>
          <w:rFonts w:hint="eastAsia"/>
          <w:lang w:eastAsia="zh-CN"/>
        </w:rPr>
      </w:pPr>
      <w:r>
        <w:rPr>
          <w:sz w:val="0"/>
          <w:szCs w:val="0"/>
          <w:lang w:eastAsia="zh-CN"/>
        </w:rPr>
        <w:br w:type="page"/>
      </w:r>
    </w:p>
    <w:p w14:paraId="1B53979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70EAB62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75B92A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0F169E7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71CAD85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DDA143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245511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844255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95A240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223DBD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517A87"/>
    <w:rsid w:val="00517A87"/>
    <w:rsid w:val="00701F44"/>
    <w:rsid w:val="00962952"/>
    <w:rsid w:val="00C17EF5"/>
    <w:rsid w:val="13CB7345"/>
    <w:rsid w:val="1A1A3838"/>
    <w:rsid w:val="1DD7098A"/>
    <w:rsid w:val="25557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1542</Words>
  <Characters>1605</Characters>
  <Lines>1379</Lines>
  <Paragraphs>1023</Paragraphs>
  <TotalTime>7</TotalTime>
  <ScaleCrop>false</ScaleCrop>
  <LinksUpToDate>false</LinksUpToDate>
  <CharactersWithSpaces>1613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2025-10-09T10:14:00Z</dcterms:created>
  <dc:creator>华为</dc:creator>
  <cp:lastModifiedBy>谢凤</cp:lastModifiedBy>
  <dcterms:modified xsi:type="dcterms:W3CDTF">2025-11-17T08:25:13Z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C8CBAC5D643D40B891040797CD0EBD12_12</vt:lpwstr>
  </property>
</Properties>
</file>