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DC2C6">
      <w:pPr>
        <w:widowControl/>
        <w:jc w:val="left"/>
        <w:rPr>
          <w:rFonts w:ascii="宋体" w:eastAsia="宋体"/>
          <w:sz w:val="32"/>
          <w:szCs w:val="32"/>
        </w:rPr>
      </w:pPr>
    </w:p>
    <w:p w14:paraId="0431C738">
      <w:pPr>
        <w:widowControl/>
        <w:jc w:val="left"/>
        <w:rPr>
          <w:rFonts w:ascii="宋体" w:eastAsia="宋体"/>
          <w:sz w:val="44"/>
          <w:szCs w:val="44"/>
        </w:rPr>
      </w:pPr>
    </w:p>
    <w:p w14:paraId="4FECF6AD">
      <w:pPr>
        <w:widowControl/>
        <w:jc w:val="left"/>
        <w:rPr>
          <w:rFonts w:ascii="宋体" w:eastAsia="宋体"/>
          <w:sz w:val="44"/>
          <w:szCs w:val="44"/>
        </w:rPr>
      </w:pPr>
    </w:p>
    <w:p w14:paraId="46E5AC37">
      <w:pPr>
        <w:widowControl/>
        <w:jc w:val="left"/>
        <w:rPr>
          <w:rFonts w:ascii="宋体" w:eastAsia="宋体"/>
          <w:sz w:val="44"/>
          <w:szCs w:val="44"/>
        </w:rPr>
      </w:pPr>
    </w:p>
    <w:p w14:paraId="04CBF09E">
      <w:pPr>
        <w:widowControl/>
        <w:jc w:val="center"/>
        <w:outlineLvl w:val="0"/>
        <w:rPr>
          <w:rFonts w:ascii="宋体" w:eastAsia="黑体"/>
          <w:sz w:val="44"/>
          <w:szCs w:val="44"/>
        </w:rPr>
      </w:pPr>
      <w:r>
        <w:rPr>
          <w:rFonts w:ascii="宋体" w:eastAsia="黑体"/>
          <w:sz w:val="44"/>
          <w:szCs w:val="44"/>
        </w:rPr>
        <w:t>乌鲁木齐市第六十一中学</w:t>
      </w:r>
    </w:p>
    <w:p w14:paraId="4C2F9190">
      <w:pPr>
        <w:widowControl/>
        <w:jc w:val="center"/>
        <w:outlineLvl w:val="0"/>
        <w:rPr>
          <w:rFonts w:ascii="黑体" w:eastAsia="黑体"/>
          <w:sz w:val="44"/>
          <w:szCs w:val="44"/>
        </w:rPr>
      </w:pPr>
      <w:r>
        <w:rPr>
          <w:rFonts w:ascii="黑体" w:eastAsia="黑体"/>
          <w:sz w:val="44"/>
          <w:szCs w:val="44"/>
        </w:rPr>
        <w:t>2024年度部门决算公开说明</w:t>
      </w:r>
    </w:p>
    <w:p w14:paraId="43812A4C">
      <w:pPr>
        <w:widowControl/>
      </w:pPr>
      <w:r>
        <w:rPr>
          <w:sz w:val="0"/>
          <w:szCs w:val="0"/>
        </w:rPr>
        <w:br w:type="page"/>
      </w:r>
    </w:p>
    <w:p w14:paraId="17B9FB37">
      <w:pPr>
        <w:widowControl/>
        <w:jc w:val="center"/>
        <w:rPr>
          <w:rFonts w:ascii="黑体" w:eastAsia="黑体"/>
          <w:sz w:val="32"/>
          <w:szCs w:val="32"/>
        </w:rPr>
      </w:pPr>
      <w:r>
        <w:rPr>
          <w:rFonts w:ascii="黑体" w:eastAsia="黑体"/>
          <w:b/>
          <w:sz w:val="32"/>
          <w:szCs w:val="32"/>
        </w:rPr>
        <w:t>目  录</w:t>
      </w:r>
    </w:p>
    <w:p w14:paraId="6E7274A0">
      <w:pPr>
        <w:widowControl/>
        <w:jc w:val="left"/>
        <w:rPr>
          <w:rFonts w:ascii="仿宋_GB2312" w:eastAsia="仿宋_GB2312"/>
          <w:sz w:val="32"/>
          <w:szCs w:val="32"/>
        </w:rPr>
      </w:pPr>
      <w:r>
        <w:rPr>
          <w:rFonts w:ascii="仿宋_GB2312" w:eastAsia="仿宋_GB2312"/>
          <w:b/>
          <w:sz w:val="32"/>
          <w:szCs w:val="32"/>
        </w:rPr>
        <w:t>第一部分单位概况</w:t>
      </w:r>
    </w:p>
    <w:p w14:paraId="3EDFEE12">
      <w:pPr>
        <w:widowControl/>
        <w:jc w:val="left"/>
        <w:rPr>
          <w:rFonts w:ascii="仿宋_GB2312" w:eastAsia="仿宋_GB2312"/>
          <w:sz w:val="32"/>
          <w:szCs w:val="32"/>
        </w:rPr>
      </w:pPr>
      <w:r>
        <w:rPr>
          <w:rFonts w:ascii="仿宋_GB2312" w:eastAsia="仿宋_GB2312"/>
          <w:sz w:val="32"/>
          <w:szCs w:val="32"/>
        </w:rPr>
        <w:t>一、主要职能</w:t>
      </w:r>
    </w:p>
    <w:p w14:paraId="2E045A2E">
      <w:pPr>
        <w:widowControl/>
        <w:jc w:val="left"/>
        <w:rPr>
          <w:rFonts w:ascii="仿宋_GB2312" w:eastAsia="仿宋_GB2312"/>
          <w:sz w:val="32"/>
          <w:szCs w:val="32"/>
        </w:rPr>
      </w:pPr>
      <w:r>
        <w:rPr>
          <w:rFonts w:ascii="仿宋_GB2312" w:eastAsia="仿宋_GB2312"/>
          <w:sz w:val="32"/>
          <w:szCs w:val="32"/>
        </w:rPr>
        <w:t>二、机构设置及人员情况</w:t>
      </w:r>
    </w:p>
    <w:p w14:paraId="690B11C8">
      <w:pPr>
        <w:widowControl/>
        <w:jc w:val="left"/>
        <w:rPr>
          <w:rFonts w:ascii="仿宋_GB2312" w:eastAsia="仿宋_GB2312"/>
          <w:sz w:val="32"/>
          <w:szCs w:val="32"/>
        </w:rPr>
      </w:pPr>
      <w:r>
        <w:rPr>
          <w:rFonts w:ascii="仿宋_GB2312" w:eastAsia="仿宋_GB2312"/>
          <w:b/>
          <w:sz w:val="32"/>
          <w:szCs w:val="32"/>
        </w:rPr>
        <w:t>第二部分 部门决算情况说明</w:t>
      </w:r>
    </w:p>
    <w:p w14:paraId="2B2C4BC0">
      <w:pPr>
        <w:widowControl/>
        <w:jc w:val="left"/>
        <w:rPr>
          <w:rFonts w:ascii="仿宋_GB2312" w:eastAsia="仿宋_GB2312"/>
          <w:sz w:val="32"/>
          <w:szCs w:val="32"/>
        </w:rPr>
      </w:pPr>
      <w:r>
        <w:rPr>
          <w:rFonts w:ascii="仿宋_GB2312" w:eastAsia="仿宋_GB2312"/>
          <w:sz w:val="32"/>
          <w:szCs w:val="32"/>
        </w:rPr>
        <w:t>一、收入支出决算总体情况说明</w:t>
      </w:r>
    </w:p>
    <w:p w14:paraId="3EB978D0">
      <w:pPr>
        <w:widowControl/>
        <w:jc w:val="left"/>
        <w:rPr>
          <w:rFonts w:ascii="仿宋_GB2312" w:eastAsia="仿宋_GB2312"/>
          <w:sz w:val="32"/>
          <w:szCs w:val="32"/>
        </w:rPr>
      </w:pPr>
      <w:r>
        <w:rPr>
          <w:rFonts w:ascii="仿宋_GB2312" w:eastAsia="仿宋_GB2312"/>
          <w:sz w:val="32"/>
          <w:szCs w:val="32"/>
        </w:rPr>
        <w:t>二、收入决算情况说明</w:t>
      </w:r>
    </w:p>
    <w:p w14:paraId="36F8D536">
      <w:pPr>
        <w:widowControl/>
        <w:jc w:val="left"/>
        <w:rPr>
          <w:rFonts w:ascii="仿宋_GB2312" w:eastAsia="仿宋_GB2312"/>
          <w:sz w:val="32"/>
          <w:szCs w:val="32"/>
        </w:rPr>
      </w:pPr>
      <w:r>
        <w:rPr>
          <w:rFonts w:ascii="仿宋_GB2312" w:eastAsia="仿宋_GB2312"/>
          <w:sz w:val="32"/>
          <w:szCs w:val="32"/>
        </w:rPr>
        <w:t>三、支出决算情况说明</w:t>
      </w:r>
    </w:p>
    <w:p w14:paraId="263B2DC5">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06BCC66A">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F2AE417">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873169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F43624B">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576D7CF">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20FA69D6">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2EBA1C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5D01042">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EC047F6">
      <w:pPr>
        <w:widowControl/>
        <w:jc w:val="left"/>
        <w:rPr>
          <w:rFonts w:ascii="仿宋_GB2312" w:eastAsia="仿宋_GB2312"/>
          <w:sz w:val="32"/>
          <w:szCs w:val="32"/>
        </w:rPr>
      </w:pPr>
      <w:r>
        <w:rPr>
          <w:rFonts w:ascii="仿宋_GB2312" w:eastAsia="仿宋_GB2312"/>
          <w:sz w:val="32"/>
          <w:szCs w:val="32"/>
        </w:rPr>
        <w:t>​十、其他重要事项的情况说明</w:t>
      </w:r>
    </w:p>
    <w:p w14:paraId="5BAB8778">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7EBF2B38">
      <w:pPr>
        <w:widowControl/>
        <w:jc w:val="left"/>
        <w:rPr>
          <w:rFonts w:ascii="仿宋_GB2312" w:eastAsia="仿宋_GB2312"/>
          <w:sz w:val="32"/>
          <w:szCs w:val="32"/>
        </w:rPr>
      </w:pPr>
      <w:r>
        <w:rPr>
          <w:rFonts w:ascii="仿宋_GB2312" w:eastAsia="仿宋_GB2312"/>
          <w:sz w:val="32"/>
          <w:szCs w:val="32"/>
        </w:rPr>
        <w:t>（二）政府采购情况</w:t>
      </w:r>
    </w:p>
    <w:p w14:paraId="11AA5F4D">
      <w:pPr>
        <w:widowControl/>
        <w:jc w:val="left"/>
        <w:rPr>
          <w:rFonts w:ascii="仿宋_GB2312" w:eastAsia="仿宋_GB2312"/>
          <w:sz w:val="32"/>
          <w:szCs w:val="32"/>
        </w:rPr>
      </w:pPr>
      <w:r>
        <w:rPr>
          <w:rFonts w:ascii="仿宋_GB2312" w:eastAsia="仿宋_GB2312"/>
          <w:sz w:val="32"/>
          <w:szCs w:val="32"/>
        </w:rPr>
        <w:t>（三）国有资产占用情况说明</w:t>
      </w:r>
    </w:p>
    <w:p w14:paraId="195F31B5">
      <w:pPr>
        <w:widowControl/>
        <w:jc w:val="left"/>
        <w:rPr>
          <w:rFonts w:ascii="仿宋_GB2312" w:eastAsia="仿宋_GB2312"/>
          <w:sz w:val="32"/>
          <w:szCs w:val="32"/>
        </w:rPr>
      </w:pPr>
      <w:r>
        <w:rPr>
          <w:rFonts w:ascii="仿宋_GB2312" w:eastAsia="仿宋_GB2312"/>
          <w:sz w:val="32"/>
          <w:szCs w:val="32"/>
        </w:rPr>
        <w:t>十一、预算绩效的情况说明</w:t>
      </w:r>
    </w:p>
    <w:p w14:paraId="213D32D1">
      <w:pPr>
        <w:widowControl/>
        <w:jc w:val="left"/>
        <w:rPr>
          <w:rFonts w:ascii="仿宋_GB2312" w:eastAsia="仿宋_GB2312"/>
          <w:sz w:val="32"/>
          <w:szCs w:val="32"/>
        </w:rPr>
      </w:pPr>
      <w:r>
        <w:rPr>
          <w:rFonts w:ascii="仿宋_GB2312" w:eastAsia="仿宋_GB2312"/>
          <w:sz w:val="32"/>
          <w:szCs w:val="32"/>
        </w:rPr>
        <w:t>十二、其他需说明的事项</w:t>
      </w:r>
    </w:p>
    <w:p w14:paraId="1812DCC7">
      <w:pPr>
        <w:widowControl/>
        <w:jc w:val="left"/>
        <w:rPr>
          <w:rFonts w:ascii="仿宋_GB2312" w:eastAsia="仿宋_GB2312"/>
          <w:sz w:val="32"/>
          <w:szCs w:val="32"/>
        </w:rPr>
      </w:pPr>
      <w:r>
        <w:rPr>
          <w:rFonts w:ascii="仿宋_GB2312" w:eastAsia="仿宋_GB2312"/>
          <w:b/>
          <w:sz w:val="32"/>
          <w:szCs w:val="32"/>
        </w:rPr>
        <w:t>第三部分 专业名词解释</w:t>
      </w:r>
    </w:p>
    <w:p w14:paraId="2329DBFB">
      <w:pPr>
        <w:widowControl/>
        <w:jc w:val="left"/>
        <w:rPr>
          <w:rFonts w:ascii="仿宋_GB2312" w:eastAsia="仿宋_GB2312"/>
          <w:sz w:val="32"/>
          <w:szCs w:val="32"/>
        </w:rPr>
      </w:pPr>
      <w:r>
        <w:rPr>
          <w:rFonts w:ascii="仿宋_GB2312" w:eastAsia="仿宋_GB2312"/>
          <w:b/>
          <w:sz w:val="32"/>
          <w:szCs w:val="32"/>
        </w:rPr>
        <w:t>第四部分 部门决算报表（见附表）</w:t>
      </w:r>
    </w:p>
    <w:p w14:paraId="5F97C460">
      <w:pPr>
        <w:widowControl/>
        <w:jc w:val="left"/>
        <w:rPr>
          <w:rFonts w:ascii="仿宋_GB2312" w:eastAsia="仿宋_GB2312"/>
          <w:sz w:val="32"/>
          <w:szCs w:val="32"/>
        </w:rPr>
      </w:pPr>
      <w:r>
        <w:rPr>
          <w:rFonts w:ascii="仿宋_GB2312" w:eastAsia="仿宋_GB2312"/>
          <w:sz w:val="32"/>
          <w:szCs w:val="32"/>
        </w:rPr>
        <w:t>一、《收入支出决算总表》</w:t>
      </w:r>
    </w:p>
    <w:p w14:paraId="2122A2A9">
      <w:pPr>
        <w:widowControl/>
        <w:jc w:val="left"/>
        <w:rPr>
          <w:rFonts w:ascii="仿宋_GB2312" w:eastAsia="仿宋_GB2312"/>
          <w:sz w:val="32"/>
          <w:szCs w:val="32"/>
        </w:rPr>
      </w:pPr>
      <w:r>
        <w:rPr>
          <w:rFonts w:ascii="仿宋_GB2312" w:eastAsia="仿宋_GB2312"/>
          <w:sz w:val="32"/>
          <w:szCs w:val="32"/>
        </w:rPr>
        <w:t>二、《收入决算表》</w:t>
      </w:r>
    </w:p>
    <w:p w14:paraId="5F85B7D1">
      <w:pPr>
        <w:widowControl/>
        <w:jc w:val="left"/>
        <w:rPr>
          <w:rFonts w:ascii="仿宋_GB2312" w:eastAsia="仿宋_GB2312"/>
          <w:sz w:val="32"/>
          <w:szCs w:val="32"/>
        </w:rPr>
      </w:pPr>
      <w:r>
        <w:rPr>
          <w:rFonts w:ascii="仿宋_GB2312" w:eastAsia="仿宋_GB2312"/>
          <w:sz w:val="32"/>
          <w:szCs w:val="32"/>
        </w:rPr>
        <w:t>三、《支出决算表》</w:t>
      </w:r>
    </w:p>
    <w:p w14:paraId="0537FE7F">
      <w:pPr>
        <w:widowControl/>
        <w:jc w:val="left"/>
        <w:rPr>
          <w:rFonts w:ascii="仿宋_GB2312" w:eastAsia="仿宋_GB2312"/>
          <w:sz w:val="32"/>
          <w:szCs w:val="32"/>
        </w:rPr>
      </w:pPr>
      <w:r>
        <w:rPr>
          <w:rFonts w:ascii="仿宋_GB2312" w:eastAsia="仿宋_GB2312"/>
          <w:sz w:val="32"/>
          <w:szCs w:val="32"/>
        </w:rPr>
        <w:t>四、《财政拨款收入支出决算总表》</w:t>
      </w:r>
    </w:p>
    <w:p w14:paraId="7444518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EFFDD6E">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07F7139A">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CEB9445">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36A40407">
      <w:pPr>
        <w:widowControl/>
        <w:jc w:val="left"/>
        <w:rPr>
          <w:rFonts w:ascii="仿宋_GB2312" w:eastAsia="仿宋_GB2312"/>
          <w:sz w:val="32"/>
          <w:szCs w:val="32"/>
        </w:rPr>
      </w:pPr>
      <w:r>
        <w:rPr>
          <w:rFonts w:ascii="仿宋_GB2312" w:eastAsia="仿宋_GB2312"/>
          <w:sz w:val="32"/>
          <w:szCs w:val="32"/>
        </w:rPr>
        <w:t>九、《财政拨款“三公”经费支出决算表》</w:t>
      </w:r>
    </w:p>
    <w:p w14:paraId="14749844">
      <w:pPr>
        <w:widowControl/>
      </w:pPr>
      <w:r>
        <w:rPr>
          <w:sz w:val="0"/>
          <w:szCs w:val="0"/>
        </w:rPr>
        <w:br w:type="page"/>
      </w:r>
    </w:p>
    <w:p w14:paraId="2E0009C4">
      <w:pPr>
        <w:widowControl/>
        <w:jc w:val="center"/>
        <w:outlineLvl w:val="0"/>
        <w:rPr>
          <w:rFonts w:ascii="黑体" w:eastAsia="黑体"/>
          <w:sz w:val="32"/>
          <w:szCs w:val="32"/>
        </w:rPr>
      </w:pPr>
      <w:r>
        <w:rPr>
          <w:rFonts w:ascii="黑体" w:eastAsia="黑体"/>
          <w:sz w:val="32"/>
          <w:szCs w:val="32"/>
        </w:rPr>
        <w:t>第一部分 单位概况</w:t>
      </w:r>
    </w:p>
    <w:p w14:paraId="38110E84">
      <w:pPr>
        <w:widowControl/>
        <w:ind w:firstLine="640" w:firstLineChars="200"/>
        <w:jc w:val="left"/>
        <w:outlineLvl w:val="1"/>
        <w:rPr>
          <w:rFonts w:ascii="黑体" w:eastAsia="黑体"/>
          <w:sz w:val="32"/>
          <w:szCs w:val="32"/>
        </w:rPr>
      </w:pPr>
      <w:r>
        <w:rPr>
          <w:rFonts w:ascii="黑体" w:eastAsia="黑体"/>
          <w:sz w:val="32"/>
          <w:szCs w:val="32"/>
        </w:rPr>
        <w:t> 一、主要职能</w:t>
      </w:r>
    </w:p>
    <w:p w14:paraId="04D4479A">
      <w:pPr>
        <w:widowControl/>
        <w:ind w:firstLine="640" w:firstLineChars="200"/>
        <w:rPr>
          <w:rFonts w:ascii="仿宋_GB2312" w:eastAsia="仿宋_GB2312"/>
          <w:sz w:val="32"/>
          <w:szCs w:val="32"/>
        </w:rPr>
      </w:pPr>
      <w:r>
        <w:rPr>
          <w:rFonts w:hint="eastAsia" w:ascii="仿宋_GB2312" w:eastAsia="仿宋_GB2312"/>
          <w:sz w:val="32"/>
          <w:szCs w:val="32"/>
        </w:rPr>
        <w:t>（一）正确贯彻执行党和国家的教育方针、政策、法规。</w:t>
      </w:r>
    </w:p>
    <w:p w14:paraId="6ED35143">
      <w:pPr>
        <w:widowControl/>
        <w:ind w:firstLine="640" w:firstLineChars="200"/>
        <w:rPr>
          <w:rFonts w:ascii="仿宋_GB2312" w:eastAsia="仿宋_GB2312"/>
          <w:sz w:val="32"/>
          <w:szCs w:val="32"/>
        </w:rPr>
      </w:pPr>
      <w:r>
        <w:rPr>
          <w:rFonts w:hint="eastAsia" w:ascii="仿宋_GB2312" w:eastAsia="仿宋_GB2312"/>
          <w:sz w:val="32"/>
          <w:szCs w:val="32"/>
        </w:rPr>
        <w:t>（二）维护学校的教学秩序，为学生创造良好的学习环境。</w:t>
      </w:r>
    </w:p>
    <w:p w14:paraId="2797A65B">
      <w:pPr>
        <w:widowControl/>
        <w:ind w:firstLine="640" w:firstLineChars="200"/>
        <w:rPr>
          <w:rFonts w:ascii="仿宋_GB2312" w:eastAsia="仿宋_GB2312"/>
          <w:sz w:val="32"/>
          <w:szCs w:val="32"/>
        </w:rPr>
      </w:pPr>
      <w:r>
        <w:rPr>
          <w:rFonts w:hint="eastAsia" w:ascii="仿宋_GB2312" w:eastAsia="仿宋_GB2312"/>
          <w:sz w:val="32"/>
          <w:szCs w:val="32"/>
        </w:rPr>
        <w:t>（三）积极稳妥地推进教育改革，按教育规律办事，不断提高教育质量。</w:t>
      </w:r>
    </w:p>
    <w:p w14:paraId="575EE4F9">
      <w:pPr>
        <w:widowControl/>
        <w:ind w:firstLine="640" w:firstLineChars="200"/>
        <w:rPr>
          <w:rFonts w:ascii="仿宋_GB2312" w:eastAsia="仿宋_GB2312"/>
          <w:sz w:val="32"/>
          <w:szCs w:val="32"/>
        </w:rPr>
      </w:pPr>
      <w:r>
        <w:rPr>
          <w:rFonts w:hint="eastAsia" w:ascii="仿宋_GB2312" w:eastAsia="仿宋_GB2312"/>
          <w:sz w:val="32"/>
          <w:szCs w:val="32"/>
        </w:rPr>
        <w:t>（四）根据学校规模，设置学校管理机构，建立健全各项规章制度和岗位责任制。</w:t>
      </w:r>
    </w:p>
    <w:p w14:paraId="1A16EBE0">
      <w:pPr>
        <w:widowControl/>
        <w:ind w:firstLine="640" w:firstLineChars="200"/>
        <w:rPr>
          <w:rFonts w:ascii="仿宋_GB2312" w:eastAsia="仿宋_GB2312"/>
          <w:sz w:val="32"/>
          <w:szCs w:val="32"/>
        </w:rPr>
      </w:pPr>
      <w:r>
        <w:rPr>
          <w:rFonts w:hint="eastAsia" w:ascii="仿宋_GB2312" w:eastAsia="仿宋_GB2312"/>
          <w:sz w:val="32"/>
          <w:szCs w:val="32"/>
        </w:rPr>
        <w:t>（五）坚持教书育人，服务育人，环境育人方针，加强对学生的思想品德教育，使学生的德智体全面发展。</w:t>
      </w:r>
    </w:p>
    <w:p w14:paraId="3DFA692B">
      <w:pPr>
        <w:widowControl/>
        <w:ind w:firstLine="640" w:firstLineChars="200"/>
        <w:rPr>
          <w:rFonts w:ascii="仿宋_GB2312" w:eastAsia="仿宋_GB2312"/>
          <w:sz w:val="32"/>
          <w:szCs w:val="32"/>
        </w:rPr>
      </w:pPr>
      <w:r>
        <w:rPr>
          <w:rFonts w:hint="eastAsia" w:ascii="仿宋_GB2312" w:eastAsia="仿宋_GB2312"/>
          <w:sz w:val="32"/>
          <w:szCs w:val="32"/>
        </w:rPr>
        <w:t>（六）抓好教师队伍建设，使每个教师都热心于教育事业。</w:t>
      </w:r>
    </w:p>
    <w:p w14:paraId="1BDAE68A">
      <w:pPr>
        <w:widowControl/>
        <w:ind w:firstLine="640" w:firstLineChars="200"/>
        <w:rPr>
          <w:rFonts w:ascii="仿宋_GB2312" w:eastAsia="仿宋_GB2312"/>
          <w:sz w:val="32"/>
          <w:szCs w:val="32"/>
        </w:rPr>
      </w:pPr>
      <w:r>
        <w:rPr>
          <w:rFonts w:hint="eastAsia" w:ascii="仿宋_GB2312" w:eastAsia="仿宋_GB2312"/>
          <w:sz w:val="32"/>
          <w:szCs w:val="32"/>
        </w:rPr>
        <w:t>（七）做好安全防范，保证学生的人身安全。</w:t>
      </w:r>
    </w:p>
    <w:p w14:paraId="59C601C7">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1A67772F">
      <w:pPr>
        <w:widowControl/>
        <w:ind w:firstLine="640" w:firstLineChars="200"/>
        <w:rPr>
          <w:rFonts w:ascii="仿宋_GB2312" w:eastAsia="仿宋_GB2312"/>
          <w:sz w:val="32"/>
          <w:szCs w:val="32"/>
        </w:rPr>
      </w:pPr>
      <w:r>
        <w:rPr>
          <w:rFonts w:ascii="仿宋_GB2312" w:eastAsia="仿宋_GB2312"/>
          <w:sz w:val="32"/>
          <w:szCs w:val="32"/>
        </w:rPr>
        <w:t>乌鲁木齐市第六十一中学2024年度，实有人数216人，其中：在职人员134人，增加1人；离休人员0人，较上年无变化；退休人员82人，增加2人。</w:t>
      </w:r>
    </w:p>
    <w:p w14:paraId="0CA5E1C7">
      <w:pPr>
        <w:widowControl/>
        <w:ind w:firstLine="640" w:firstLineChars="200"/>
        <w:rPr>
          <w:rFonts w:ascii="仿宋_GB2312" w:eastAsia="仿宋_GB2312"/>
          <w:sz w:val="32"/>
          <w:szCs w:val="32"/>
        </w:rPr>
      </w:pPr>
      <w:r>
        <w:rPr>
          <w:rFonts w:ascii="仿宋_GB2312" w:eastAsia="仿宋_GB2312"/>
          <w:sz w:val="32"/>
          <w:szCs w:val="32"/>
        </w:rPr>
        <w:t>乌鲁木齐市第六十一中学无下属预算单位，下设5个科室，分别是：党政办、教研科、总务科、教务科、德育科。</w:t>
      </w:r>
    </w:p>
    <w:p w14:paraId="3205B9F6">
      <w:pPr>
        <w:widowControl/>
      </w:pPr>
      <w:r>
        <w:rPr>
          <w:sz w:val="0"/>
          <w:szCs w:val="0"/>
        </w:rPr>
        <w:br w:type="page"/>
      </w:r>
    </w:p>
    <w:p w14:paraId="238E4AB7">
      <w:pPr>
        <w:widowControl/>
        <w:jc w:val="center"/>
        <w:outlineLvl w:val="0"/>
        <w:rPr>
          <w:rFonts w:ascii="黑体" w:eastAsia="黑体"/>
          <w:sz w:val="32"/>
          <w:szCs w:val="32"/>
        </w:rPr>
      </w:pPr>
      <w:r>
        <w:rPr>
          <w:rFonts w:ascii="黑体" w:eastAsia="黑体"/>
          <w:sz w:val="32"/>
          <w:szCs w:val="32"/>
        </w:rPr>
        <w:t>第二部分 部门决算情况说明</w:t>
      </w:r>
    </w:p>
    <w:p w14:paraId="1C1BCDDA">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24602428">
      <w:pPr>
        <w:widowControl/>
        <w:ind w:firstLine="640" w:firstLineChars="200"/>
        <w:rPr>
          <w:rFonts w:ascii="仿宋_GB2312" w:eastAsia="仿宋_GB2312"/>
          <w:sz w:val="32"/>
          <w:szCs w:val="32"/>
        </w:rPr>
      </w:pPr>
      <w:r>
        <w:rPr>
          <w:rFonts w:ascii="仿宋_GB2312" w:eastAsia="仿宋_GB2312"/>
          <w:sz w:val="32"/>
          <w:szCs w:val="32"/>
        </w:rPr>
        <w:t>2024年度收入总计2,857.55万元，其中：本年收入合计2,797.80万元，使用非财政拨款结余（含专用结余）0.00万元，年初结转和结余59.76万元。</w:t>
      </w:r>
    </w:p>
    <w:p w14:paraId="63FC07B9">
      <w:pPr>
        <w:widowControl/>
        <w:ind w:firstLine="640" w:firstLineChars="200"/>
        <w:rPr>
          <w:rFonts w:ascii="仿宋_GB2312" w:eastAsia="仿宋_GB2312"/>
          <w:sz w:val="32"/>
          <w:szCs w:val="32"/>
        </w:rPr>
      </w:pPr>
      <w:r>
        <w:rPr>
          <w:rFonts w:ascii="仿宋_GB2312" w:eastAsia="仿宋_GB2312"/>
          <w:sz w:val="32"/>
          <w:szCs w:val="32"/>
        </w:rPr>
        <w:t>2024年度支出总计2,857.55万元，其中：本年支出合计2,796.03万元，结余分配0.00万元，年末结转和结余61.53万元。</w:t>
      </w:r>
    </w:p>
    <w:p w14:paraId="34657032">
      <w:pPr>
        <w:widowControl/>
        <w:ind w:firstLine="640" w:firstLineChars="200"/>
        <w:rPr>
          <w:rFonts w:ascii="仿宋_GB2312" w:eastAsia="仿宋_GB2312"/>
          <w:sz w:val="32"/>
          <w:szCs w:val="32"/>
        </w:rPr>
      </w:pPr>
      <w:r>
        <w:rPr>
          <w:rFonts w:ascii="仿宋_GB2312" w:eastAsia="仿宋_GB2312"/>
          <w:sz w:val="32"/>
          <w:szCs w:val="32"/>
        </w:rPr>
        <w:t>收入支出总体与上年相比，减少893.38万元，下降23.82%，主要原因是：</w:t>
      </w:r>
      <w:r>
        <w:rPr>
          <w:rFonts w:hint="eastAsia" w:ascii="仿宋_GB2312" w:eastAsia="仿宋_GB2312"/>
          <w:sz w:val="32"/>
          <w:szCs w:val="32"/>
        </w:rPr>
        <w:t>改善普通高中办学条件资金、新建综合教学楼等项目经费减少。</w:t>
      </w:r>
    </w:p>
    <w:p w14:paraId="6DA0AC44">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0E5A8592">
      <w:pPr>
        <w:widowControl/>
        <w:ind w:firstLine="640" w:firstLineChars="200"/>
        <w:rPr>
          <w:rFonts w:ascii="仿宋_GB2312" w:eastAsia="仿宋_GB2312"/>
          <w:sz w:val="32"/>
          <w:szCs w:val="32"/>
        </w:rPr>
      </w:pPr>
      <w:r>
        <w:rPr>
          <w:rFonts w:ascii="仿宋_GB2312" w:eastAsia="仿宋_GB2312"/>
          <w:sz w:val="32"/>
          <w:szCs w:val="32"/>
        </w:rPr>
        <w:t>本年收入2,797.80万元，其中：财政拨款收入2,716.56万元,占97.10%；上级补助收入0.00万元,占0.00%；事业收入81.24万元，占2.90%；经营收入0.00万元,占0.00%；附属单位上缴收入0.00万元，占0.00%；其他收入0.00万元，占0.00%。</w:t>
      </w:r>
    </w:p>
    <w:p w14:paraId="784C62CE">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28742510">
      <w:pPr>
        <w:widowControl/>
        <w:ind w:firstLine="640" w:firstLineChars="200"/>
        <w:rPr>
          <w:rFonts w:ascii="仿宋_GB2312" w:eastAsia="仿宋_GB2312"/>
          <w:sz w:val="32"/>
          <w:szCs w:val="32"/>
        </w:rPr>
      </w:pPr>
      <w:r>
        <w:rPr>
          <w:rFonts w:ascii="仿宋_GB2312" w:eastAsia="仿宋_GB2312"/>
          <w:sz w:val="32"/>
          <w:szCs w:val="32"/>
        </w:rPr>
        <w:t>本年支出2,796.03万元，其中：基本支出2,523.07万元，占90.24%；项目支出272.96万元，占9.76%；上缴上级支出0.00万元，占0.00%；经营支出0.00万元，占0.00%；对附属单位补助支出0.00万元，占0.00%。</w:t>
      </w:r>
    </w:p>
    <w:p w14:paraId="35228418">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4E888DB9">
      <w:pPr>
        <w:widowControl/>
        <w:ind w:firstLine="640" w:firstLineChars="200"/>
        <w:rPr>
          <w:rFonts w:ascii="仿宋_GB2312" w:eastAsia="仿宋_GB2312"/>
          <w:sz w:val="32"/>
          <w:szCs w:val="32"/>
        </w:rPr>
      </w:pPr>
      <w:r>
        <w:rPr>
          <w:rFonts w:ascii="仿宋_GB2312" w:eastAsia="仿宋_GB2312"/>
          <w:sz w:val="32"/>
          <w:szCs w:val="32"/>
        </w:rPr>
        <w:t>2024年度财政拨款收入总计2,776.31万元，其中：年初财政拨款结转和结余59.76万元，本年财政拨款收入2,716.56万元。财政拨款支出总计2,776.31万元，其中：年末财政拨款结转和结余61.53万元，本年财政拨款支出2,714.79万元。</w:t>
      </w:r>
    </w:p>
    <w:p w14:paraId="65488512">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财政拨款收入支出总体与上年相比，减少974.62万元，下降25.98%，主要原因是：</w:t>
      </w:r>
      <w:r>
        <w:rPr>
          <w:rFonts w:hint="eastAsia" w:ascii="仿宋_GB2312" w:eastAsia="仿宋_GB2312"/>
          <w:sz w:val="32"/>
          <w:szCs w:val="32"/>
        </w:rPr>
        <w:t>改善普通高中办学条件资金、新建综合教学楼等项目经费减少。</w:t>
      </w:r>
      <w:r>
        <w:rPr>
          <w:rFonts w:ascii="仿宋_GB2312" w:eastAsia="仿宋_GB2312"/>
          <w:sz w:val="32"/>
          <w:szCs w:val="32"/>
        </w:rPr>
        <w:t>与年初预算相比，年初预算数3,057.45万元，决算数2,776.31万元，预决算差异率-9.20%，主要原因是：</w:t>
      </w:r>
      <w:r>
        <w:rPr>
          <w:rFonts w:hint="eastAsia" w:ascii="仿宋_GB2312" w:eastAsia="仿宋_GB2312"/>
          <w:sz w:val="32"/>
          <w:szCs w:val="32"/>
        </w:rPr>
        <w:t>较预算减少改善普通高中办学条件资金、新建综合教学楼等项目经费。</w:t>
      </w:r>
    </w:p>
    <w:p w14:paraId="08934C39">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2BD6F6EE">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15C9DDE8">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2024年度一般公共预算财政拨款支出2,561.58万元，占本年支出合计的91.61%。与上年相比，减少1,078.60万元，下降29.63%，主要原因是：</w:t>
      </w:r>
      <w:r>
        <w:rPr>
          <w:rFonts w:hint="eastAsia" w:ascii="仿宋_GB2312" w:eastAsia="仿宋_GB2312"/>
          <w:sz w:val="32"/>
          <w:szCs w:val="32"/>
        </w:rPr>
        <w:t>改善普通高中办学条件资金、新建综合教学楼等项目经费减少。</w:t>
      </w:r>
      <w:r>
        <w:rPr>
          <w:rFonts w:ascii="仿宋_GB2312" w:eastAsia="仿宋_GB2312"/>
          <w:sz w:val="32"/>
          <w:szCs w:val="32"/>
        </w:rPr>
        <w:t>与年初预算相比，年初预算数3,057.45万元，决算数2,561.58万元，预决算差异率-16.22%，主要原因是：</w:t>
      </w:r>
      <w:r>
        <w:rPr>
          <w:rFonts w:hint="eastAsia" w:ascii="仿宋_GB2312" w:eastAsia="仿宋_GB2312"/>
          <w:sz w:val="32"/>
          <w:szCs w:val="32"/>
        </w:rPr>
        <w:t>较预算减少改善普通高中办学条件资金、新建综合教学楼等项目经费。</w:t>
      </w:r>
    </w:p>
    <w:p w14:paraId="534BAF55">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56997A48">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教育支出（类）2,561.58万元，占100.00%。</w:t>
      </w:r>
    </w:p>
    <w:p w14:paraId="767FA257">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166E8FFE">
      <w:pPr>
        <w:widowControl/>
        <w:ind w:firstLine="640" w:firstLineChars="200"/>
        <w:rPr>
          <w:rFonts w:ascii="仿宋_GB2312" w:eastAsia="仿宋_GB2312"/>
          <w:sz w:val="32"/>
          <w:szCs w:val="32"/>
        </w:rPr>
      </w:pPr>
      <w:r>
        <w:rPr>
          <w:rFonts w:ascii="仿宋_GB2312" w:eastAsia="仿宋_GB2312"/>
          <w:sz w:val="32"/>
          <w:szCs w:val="32"/>
        </w:rPr>
        <w:t>1、教育支出（类）普通教育（款）高中教育（项）：支出决算数为2,561.58万元，比上年决算减少1,078.60万元，下降29.63%，主要原因是：</w:t>
      </w:r>
      <w:r>
        <w:rPr>
          <w:rFonts w:hint="eastAsia" w:ascii="仿宋_GB2312" w:eastAsia="仿宋_GB2312"/>
          <w:sz w:val="32"/>
          <w:szCs w:val="32"/>
        </w:rPr>
        <w:t>改善普通高中办学条件资金、新建综合教学楼等项目经费减少。</w:t>
      </w:r>
    </w:p>
    <w:p w14:paraId="6B9A30F8">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6481F0B0">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2,523.07万元，其中：人员经费2,308.49万元，包括：基本工资、津贴补贴、奖金、绩效工资、机关事业单位基本养老保险缴费、职工基本医疗保险缴费、公务员医疗补助缴费、其他社会保障缴费和住房公积金。</w:t>
      </w:r>
    </w:p>
    <w:p w14:paraId="3B2C0842">
      <w:pPr>
        <w:widowControl/>
        <w:ind w:firstLine="640" w:firstLineChars="200"/>
        <w:rPr>
          <w:rFonts w:ascii="仿宋_GB2312" w:eastAsia="仿宋_GB2312"/>
          <w:sz w:val="32"/>
          <w:szCs w:val="32"/>
        </w:rPr>
      </w:pPr>
      <w:r>
        <w:rPr>
          <w:rFonts w:ascii="仿宋_GB2312" w:eastAsia="仿宋_GB2312"/>
          <w:sz w:val="32"/>
          <w:szCs w:val="32"/>
        </w:rPr>
        <w:t>公用经费214.58万元，包括：办公费、水费、电费、邮电费、取暖费、维修（护）费、培训费、专用材料费、工会经费、福利费、公务用车运行维护费、其他商品和服务支出和办公设备购置。</w:t>
      </w:r>
    </w:p>
    <w:p w14:paraId="367E8F25">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62AE0B12">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2F6C8EF9">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6055848F">
      <w:pPr>
        <w:widowControl/>
        <w:ind w:firstLine="640" w:firstLineChars="200"/>
        <w:rPr>
          <w:rFonts w:ascii="仿宋_GB2312" w:eastAsia="仿宋_GB2312"/>
          <w:sz w:val="32"/>
          <w:szCs w:val="32"/>
        </w:rPr>
      </w:pPr>
      <w:r>
        <w:rPr>
          <w:rFonts w:ascii="仿宋_GB2312" w:eastAsia="仿宋_GB2312"/>
          <w:sz w:val="32"/>
          <w:szCs w:val="32"/>
        </w:rPr>
        <w:t>2024年度国有资本经营预算财政拨款收入总计153.21万元，其中：年初结转和结余0.00万元，本年收入153.21万元。国有资本经营预算财政拨款支出总计153.21万元，其中：年末结转和结余0.00万元，本年支出153.21万元。</w:t>
      </w:r>
    </w:p>
    <w:p w14:paraId="312397E2">
      <w:pPr>
        <w:widowControl/>
        <w:ind w:firstLine="640" w:firstLineChars="200"/>
        <w:rPr>
          <w:rFonts w:ascii="仿宋_GB2312" w:eastAsia="仿宋_GB2312"/>
          <w:sz w:val="32"/>
          <w:szCs w:val="32"/>
        </w:rPr>
      </w:pPr>
      <w:r>
        <w:rPr>
          <w:rFonts w:ascii="仿宋_GB2312" w:eastAsia="仿宋_GB2312"/>
          <w:sz w:val="32"/>
          <w:szCs w:val="32"/>
        </w:rPr>
        <w:t>国有资本经营预算财政拨款收入支出总体与上年相比，增加153.21万元，增长100%，主要原因是：</w:t>
      </w:r>
      <w:r>
        <w:rPr>
          <w:rFonts w:hint="eastAsia" w:ascii="仿宋_GB2312" w:eastAsia="仿宋_GB2312"/>
          <w:sz w:val="32"/>
          <w:szCs w:val="32"/>
        </w:rPr>
        <w:t>单位本年新增退休企业移交人员经费</w:t>
      </w:r>
      <w:r>
        <w:rPr>
          <w:rFonts w:ascii="仿宋_GB2312" w:eastAsia="仿宋_GB2312"/>
          <w:sz w:val="32"/>
          <w:szCs w:val="32"/>
        </w:rPr>
        <w:t>。与年初预算相比，年初预算数0.00万元，决算数153.21万元，预决算差异率100%，主要原因是：年中</w:t>
      </w:r>
      <w:r>
        <w:rPr>
          <w:rFonts w:hint="eastAsia" w:ascii="仿宋_GB2312" w:eastAsia="仿宋_GB2312"/>
          <w:sz w:val="32"/>
          <w:szCs w:val="32"/>
        </w:rPr>
        <w:t>追加退休企业移交人员经费</w:t>
      </w:r>
      <w:r>
        <w:rPr>
          <w:rFonts w:ascii="仿宋_GB2312" w:eastAsia="仿宋_GB2312"/>
          <w:sz w:val="32"/>
          <w:szCs w:val="32"/>
        </w:rPr>
        <w:t>。</w:t>
      </w:r>
    </w:p>
    <w:p w14:paraId="787F723B">
      <w:pPr>
        <w:widowControl/>
        <w:ind w:firstLine="640" w:firstLineChars="200"/>
        <w:rPr>
          <w:rFonts w:ascii="仿宋_GB2312" w:eastAsia="仿宋_GB2312"/>
          <w:sz w:val="32"/>
          <w:szCs w:val="32"/>
        </w:rPr>
      </w:pPr>
      <w:r>
        <w:rPr>
          <w:rFonts w:ascii="仿宋_GB2312" w:eastAsia="仿宋_GB2312"/>
          <w:sz w:val="32"/>
          <w:szCs w:val="32"/>
        </w:rPr>
        <w:t>国有资本经营预算财政拨款支出153.21万元。</w:t>
      </w:r>
    </w:p>
    <w:p w14:paraId="4F9FAA6E">
      <w:pPr>
        <w:widowControl/>
        <w:ind w:firstLine="640" w:firstLineChars="200"/>
        <w:rPr>
          <w:rFonts w:ascii="仿宋_GB2312" w:eastAsia="仿宋_GB2312"/>
          <w:sz w:val="32"/>
          <w:szCs w:val="32"/>
        </w:rPr>
      </w:pPr>
      <w:r>
        <w:rPr>
          <w:rFonts w:ascii="仿宋_GB2312" w:eastAsia="仿宋_GB2312"/>
          <w:sz w:val="32"/>
          <w:szCs w:val="32"/>
        </w:rPr>
        <w:t>1、国有资本经营预算支出（类）解决历史遗留问题及改革成本支出（款）国有企业退休人员社会化管理补助支出（项）：支出决算数为153.21万元，比上年决算增加153.21万元，增长100.00%，主要原因是：</w:t>
      </w:r>
      <w:r>
        <w:rPr>
          <w:rFonts w:hint="eastAsia" w:ascii="仿宋_GB2312" w:eastAsia="仿宋_GB2312"/>
          <w:sz w:val="32"/>
          <w:szCs w:val="32"/>
        </w:rPr>
        <w:t>单位本年新增退休企业移交人员经费。</w:t>
      </w:r>
    </w:p>
    <w:p w14:paraId="05041031">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7432A0B6">
      <w:pPr>
        <w:widowControl/>
        <w:ind w:firstLine="640" w:firstLineChars="200"/>
        <w:rPr>
          <w:rFonts w:ascii="仿宋_GB2312" w:eastAsia="仿宋_GB2312"/>
          <w:sz w:val="32"/>
          <w:szCs w:val="32"/>
        </w:rPr>
      </w:pPr>
      <w:r>
        <w:rPr>
          <w:rFonts w:ascii="仿宋_GB2312" w:eastAsia="仿宋_GB2312"/>
          <w:sz w:val="32"/>
          <w:szCs w:val="32"/>
        </w:rPr>
        <w:t>2024年度财政拨款“三公”经费支出4.85万元，比上年增加4.35万元，增长870.00%，主要原因是：</w:t>
      </w:r>
      <w:r>
        <w:rPr>
          <w:rFonts w:hint="eastAsia" w:ascii="仿宋_GB2312" w:eastAsia="仿宋_GB2312"/>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；公务用车购置及运行维护费支出4.85万元，占100.00%，比上年增加4.35万元，增长870.00%，主要原因是：</w:t>
      </w:r>
      <w:r>
        <w:rPr>
          <w:rFonts w:hint="eastAsia" w:ascii="仿宋_GB2312" w:eastAsia="仿宋_GB2312"/>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0B0A5E02">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01243F6E">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4AA02645">
      <w:pPr>
        <w:widowControl/>
        <w:ind w:firstLine="640" w:firstLineChars="200"/>
        <w:rPr>
          <w:rFonts w:ascii="仿宋_GB2312" w:eastAsia="仿宋_GB2312"/>
          <w:sz w:val="32"/>
          <w:szCs w:val="32"/>
        </w:rPr>
      </w:pPr>
      <w:r>
        <w:rPr>
          <w:rFonts w:ascii="仿宋_GB2312" w:eastAsia="仿宋_GB2312"/>
          <w:sz w:val="32"/>
          <w:szCs w:val="32"/>
        </w:rPr>
        <w:t>公务用车购置及运行维护费4.85万元，其中：公务用车购置费0.00万元，公务用车运行维护费4.85万元。公务用车运行维护费开支内容包括</w:t>
      </w:r>
      <w:r>
        <w:rPr>
          <w:rFonts w:hint="eastAsia" w:ascii="仿宋_GB2312" w:eastAsia="仿宋_GB2312"/>
          <w:sz w:val="32"/>
          <w:szCs w:val="32"/>
        </w:rPr>
        <w:t>公务用车维修维护费、燃油费、保险费、过路费等</w:t>
      </w:r>
      <w:r>
        <w:rPr>
          <w:rFonts w:ascii="仿宋_GB2312" w:eastAsia="仿宋_GB2312"/>
          <w:sz w:val="32"/>
          <w:szCs w:val="32"/>
        </w:rPr>
        <w:t>。公务用车购置数0辆，公务用车保有量2辆。国有资产占用情况中固定资产车辆3辆，与公务用车保有量差异原因是：</w:t>
      </w:r>
      <w:r>
        <w:rPr>
          <w:rFonts w:hint="eastAsia" w:ascii="仿宋_GB2312" w:eastAsia="仿宋_GB2312"/>
          <w:sz w:val="32"/>
          <w:szCs w:val="32"/>
        </w:rPr>
        <w:t>差异车辆为一般业务用车1辆，车辆费用未使用财政拨款公务用车运行维护费支付</w:t>
      </w:r>
      <w:r>
        <w:rPr>
          <w:rFonts w:ascii="仿宋_GB2312" w:eastAsia="仿宋_GB2312"/>
          <w:sz w:val="32"/>
          <w:szCs w:val="32"/>
        </w:rPr>
        <w:t>。</w:t>
      </w:r>
    </w:p>
    <w:p w14:paraId="7E050D81">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6C69D08E">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与全年预算相比，财政拨款“三公”经费支出全年预算数4.85万元，决算数4.85万元，预决算差异率0.00%，主要原因是：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；公务用车运行维护费全年预算数4.85万元，决算数4.85万元，预决算差异率0.00%，主要原因是：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6DB4D52A">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537794D9">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33D77052">
      <w:pPr>
        <w:widowControl/>
        <w:ind w:firstLine="640" w:firstLineChars="200"/>
        <w:rPr>
          <w:rFonts w:ascii="仿宋_GB2312" w:eastAsia="仿宋_GB2312"/>
          <w:sz w:val="32"/>
          <w:szCs w:val="32"/>
        </w:rPr>
      </w:pPr>
      <w:r>
        <w:rPr>
          <w:rFonts w:ascii="仿宋_GB2312" w:eastAsia="仿宋_GB2312"/>
          <w:sz w:val="32"/>
          <w:szCs w:val="32"/>
        </w:rPr>
        <w:t>2024年度乌鲁木齐市第六十一中学单位（事业单位）公用经费支出214.58万元，比上年减少207.73万元，下降49.19%，主要原因是：</w:t>
      </w:r>
      <w:r>
        <w:rPr>
          <w:rFonts w:hint="eastAsia" w:ascii="仿宋_GB2312" w:eastAsia="仿宋_GB2312"/>
          <w:sz w:val="32"/>
          <w:szCs w:val="32"/>
        </w:rPr>
        <w:t>单位本年电费、取暖费、培训费等经费</w:t>
      </w:r>
      <w:r>
        <w:rPr>
          <w:rFonts w:ascii="仿宋_GB2312" w:eastAsia="仿宋_GB2312"/>
          <w:sz w:val="32"/>
          <w:szCs w:val="32"/>
        </w:rPr>
        <w:t>减少。</w:t>
      </w:r>
    </w:p>
    <w:p w14:paraId="066C964C">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6DD01F4B">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7888152E">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4B2D0CD8">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0B420920">
      <w:pPr>
        <w:widowControl/>
        <w:ind w:firstLine="640" w:firstLineChars="200"/>
        <w:rPr>
          <w:rFonts w:ascii="仿宋_GB2312" w:eastAsia="仿宋_GB2312"/>
          <w:sz w:val="32"/>
          <w:szCs w:val="32"/>
        </w:rPr>
      </w:pPr>
      <w:r>
        <w:rPr>
          <w:rFonts w:ascii="仿宋_GB2312" w:eastAsia="仿宋_GB2312"/>
          <w:sz w:val="32"/>
          <w:szCs w:val="32"/>
        </w:rPr>
        <w:t>截至2024年12月31日，房屋35,225.14平方米，价值9,332.74万元。车辆3辆，价值36.00万元，其中：副部（省）级及以上领导用车0辆、主要负责人用车0辆、机要通信用车0辆、应急保障用车0辆、执法执勤用车0辆、特种专业技术用车0辆、离退休干部服务用车0辆、其他用车3辆，其他用车主要是：校车;单价100万元（含）以上设备（不含车辆）1台（套）。</w:t>
      </w:r>
    </w:p>
    <w:p w14:paraId="5F4489C3">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1CE02486">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根据预算绩效管理要求，本单位2024年度预算绩效管理形成整体支出绩效自评表1个，全年预算总额2,857.55万元，实际执行总额</w:t>
      </w:r>
      <w:r>
        <w:rPr>
          <w:rFonts w:hint="eastAsia" w:ascii="仿宋_GB2312" w:eastAsia="仿宋_GB2312"/>
          <w:sz w:val="32"/>
          <w:szCs w:val="32"/>
        </w:rPr>
        <w:t>2,796.03</w:t>
      </w:r>
      <w:r>
        <w:rPr>
          <w:rFonts w:ascii="仿宋_GB2312" w:eastAsia="仿宋_GB2312"/>
          <w:sz w:val="32"/>
          <w:szCs w:val="32"/>
        </w:rPr>
        <w:t>万元；预算绩效评价项目</w:t>
      </w:r>
      <w:r>
        <w:rPr>
          <w:rFonts w:hint="eastAsia" w:ascii="仿宋_GB2312" w:eastAsia="仿宋_GB2312"/>
          <w:sz w:val="32"/>
          <w:szCs w:val="32"/>
        </w:rPr>
        <w:t>4</w:t>
      </w:r>
      <w:r>
        <w:rPr>
          <w:rFonts w:ascii="仿宋_GB2312" w:eastAsia="仿宋_GB2312"/>
          <w:sz w:val="32"/>
          <w:szCs w:val="32"/>
        </w:rPr>
        <w:t>个，全年预算数</w:t>
      </w:r>
      <w:r>
        <w:rPr>
          <w:rFonts w:hint="eastAsia" w:ascii="仿宋_GB2312" w:eastAsia="仿宋_GB2312"/>
          <w:sz w:val="32"/>
          <w:szCs w:val="32"/>
        </w:rPr>
        <w:t>148.76</w:t>
      </w:r>
      <w:r>
        <w:rPr>
          <w:rFonts w:ascii="仿宋_GB2312" w:eastAsia="仿宋_GB2312"/>
          <w:sz w:val="32"/>
          <w:szCs w:val="32"/>
        </w:rPr>
        <w:t>万元，全年执行数</w:t>
      </w:r>
      <w:r>
        <w:rPr>
          <w:rFonts w:hint="eastAsia" w:ascii="仿宋_GB2312" w:eastAsia="仿宋_GB2312"/>
          <w:sz w:val="32"/>
          <w:szCs w:val="32"/>
        </w:rPr>
        <w:t>111.20</w:t>
      </w:r>
      <w:r>
        <w:rPr>
          <w:rFonts w:ascii="仿宋_GB2312" w:eastAsia="仿宋_GB2312"/>
          <w:sz w:val="32"/>
          <w:szCs w:val="32"/>
        </w:rPr>
        <w:t>万元。预算绩效管理取得的成效：</w:t>
      </w:r>
      <w:r>
        <w:rPr>
          <w:rFonts w:hint="eastAsia" w:ascii="仿宋_GB2312" w:eastAsia="仿宋_GB2312"/>
          <w:sz w:val="32"/>
          <w:szCs w:val="32"/>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w:t>
      </w:r>
      <w:r>
        <w:rPr>
          <w:rFonts w:ascii="仿宋_GB2312" w:eastAsia="仿宋_GB2312"/>
          <w:sz w:val="32"/>
          <w:szCs w:val="32"/>
        </w:rPr>
        <w:t>发现的问题及原因：一是我校正处于全面巩固提高、科学跨越发展的关键时期，同时面临高中改革和人才培养建设的挑战，任务艰巨。目前存在一些短板，如增强教职工全员德育意识、提高教师教研积极性、主动性方面有待进一步完善相关激励机制，提高物质保障基础</w:t>
      </w:r>
      <w:r>
        <w:rPr>
          <w:rFonts w:hint="eastAsia" w:ascii="仿宋_GB2312" w:eastAsia="仿宋_GB2312"/>
          <w:sz w:val="32"/>
          <w:szCs w:val="32"/>
        </w:rPr>
        <w:t>；</w:t>
      </w:r>
      <w:r>
        <w:rPr>
          <w:rFonts w:ascii="仿宋_GB2312" w:eastAsia="仿宋_GB2312"/>
          <w:sz w:val="32"/>
          <w:szCs w:val="32"/>
        </w:rPr>
        <w:t>二是预算编制前瞻性的问题。对于预算经费的前瞻性估计不足，不能站在全局高度合理统筹及编制预算指标，以至于预算指标不能做到“钱尽其用”，这也是造成我校目前实验室和室内运动场不足的原因之一。下一步改进措施：一是目前面临高中改革和人才培养建设的关键时期，增强教职工全员德育意识、提高教师教研积极性、主动性方面有待进一步完善相关激励机制，提高物质保障基础的现状，将在后期增加现有教师培训力度，积极引进高质量人才，进一步完善相关激励机制，提高教师待遇水平，留住高水平人才，为学校整体向上向好发展提供物质保障</w:t>
      </w:r>
      <w:r>
        <w:rPr>
          <w:rFonts w:hint="eastAsia" w:ascii="仿宋_GB2312" w:eastAsia="仿宋_GB2312"/>
          <w:sz w:val="32"/>
          <w:szCs w:val="32"/>
        </w:rPr>
        <w:t>；</w:t>
      </w:r>
      <w:r>
        <w:rPr>
          <w:rFonts w:ascii="仿宋_GB2312" w:eastAsia="仿宋_GB2312"/>
          <w:sz w:val="32"/>
          <w:szCs w:val="32"/>
        </w:rPr>
        <w:t>二是进一步提高经费预算的全局观和前瞻性。在编制预算前期做好基础调研工作，使基本预算指标与实际需求相符，做好项目预算指标的调研和立项相关工作，使项目预算指标全面落地实施，做到预算指标的高效使用。具体附部门整体支出绩效自评表，项目支出绩效自评表和部门评价报告。</w:t>
      </w:r>
    </w:p>
    <w:p w14:paraId="26FBDC89">
      <w:pPr>
        <w:jc w:val="center"/>
        <w:rPr>
          <w:rFonts w:hint="eastAsia" w:ascii="宋体" w:hAnsi="宋体" w:eastAsia="宋体" w:cs="宋体"/>
          <w:b/>
          <w:bCs/>
          <w:sz w:val="28"/>
          <w:szCs w:val="28"/>
        </w:rPr>
      </w:pPr>
      <w:r>
        <w:rPr>
          <w:rFonts w:hint="eastAsia" w:ascii="宋体" w:hAnsi="宋体" w:eastAsia="宋体" w:cs="宋体"/>
          <w:b/>
          <w:bCs/>
          <w:sz w:val="28"/>
          <w:szCs w:val="28"/>
        </w:rPr>
        <w:br w:type="page"/>
      </w:r>
      <w:r>
        <w:rPr>
          <w:rFonts w:hint="eastAsia" w:ascii="宋体" w:hAnsi="宋体" w:eastAsia="宋体" w:cs="宋体"/>
          <w:b/>
          <w:bCs/>
          <w:sz w:val="28"/>
          <w:szCs w:val="28"/>
        </w:rPr>
        <w:t>部门（单位）整体支出绩效目标自评表</w:t>
      </w:r>
    </w:p>
    <w:p w14:paraId="66CEC27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2429B4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BBECA41">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CC7A529">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乌鲁木齐市第六十一中学</w:t>
            </w:r>
          </w:p>
        </w:tc>
        <w:tc>
          <w:tcPr>
            <w:tcW w:w="284" w:type="dxa"/>
            <w:tcBorders>
              <w:top w:val="nil"/>
              <w:left w:val="nil"/>
              <w:bottom w:val="nil"/>
              <w:right w:val="nil"/>
            </w:tcBorders>
            <w:noWrap/>
            <w:vAlign w:val="center"/>
          </w:tcPr>
          <w:p w14:paraId="2F16C971">
            <w:pPr>
              <w:widowControl/>
              <w:jc w:val="left"/>
              <w:rPr>
                <w:rFonts w:hint="eastAsia" w:ascii="宋体" w:hAnsi="宋体" w:eastAsia="宋体" w:cs="宋体"/>
                <w:b/>
                <w:bCs/>
                <w:sz w:val="18"/>
                <w:szCs w:val="18"/>
              </w:rPr>
            </w:pPr>
          </w:p>
        </w:tc>
      </w:tr>
      <w:tr w14:paraId="1D5C461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4020225">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713EE4E">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21D4E16">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A60F119">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FD20B93">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D8B72CB">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762D724">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9CB270F">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571F7C4">
            <w:pPr>
              <w:widowControl/>
              <w:jc w:val="center"/>
              <w:rPr>
                <w:rFonts w:hint="eastAsia" w:ascii="宋体" w:hAnsi="宋体" w:eastAsia="宋体" w:cs="宋体"/>
                <w:b/>
                <w:bCs/>
                <w:sz w:val="18"/>
                <w:szCs w:val="18"/>
              </w:rPr>
            </w:pPr>
          </w:p>
        </w:tc>
      </w:tr>
      <w:tr w14:paraId="37F5528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7B945C">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E0F2140">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22073F4">
            <w:pPr>
              <w:widowControl/>
              <w:jc w:val="center"/>
              <w:rPr>
                <w:rFonts w:hint="eastAsia" w:ascii="宋体" w:hAnsi="宋体" w:eastAsia="宋体" w:cs="宋体"/>
                <w:sz w:val="18"/>
                <w:szCs w:val="18"/>
              </w:rPr>
            </w:pPr>
            <w:r>
              <w:rPr>
                <w:rFonts w:hint="eastAsia" w:ascii="宋体" w:hAnsi="宋体" w:eastAsia="宋体" w:cs="宋体"/>
                <w:sz w:val="18"/>
                <w:szCs w:val="18"/>
              </w:rPr>
              <w:t>3,157.45</w:t>
            </w:r>
          </w:p>
        </w:tc>
        <w:tc>
          <w:tcPr>
            <w:tcW w:w="1276" w:type="dxa"/>
            <w:tcBorders>
              <w:top w:val="nil"/>
              <w:left w:val="nil"/>
              <w:bottom w:val="single" w:color="auto" w:sz="4" w:space="0"/>
              <w:right w:val="single" w:color="auto" w:sz="4" w:space="0"/>
            </w:tcBorders>
            <w:vAlign w:val="center"/>
          </w:tcPr>
          <w:p w14:paraId="672E0890">
            <w:pPr>
              <w:widowControl/>
              <w:jc w:val="center"/>
              <w:rPr>
                <w:rFonts w:hint="eastAsia" w:ascii="宋体" w:hAnsi="宋体" w:eastAsia="宋体" w:cs="宋体"/>
                <w:sz w:val="18"/>
                <w:szCs w:val="18"/>
              </w:rPr>
            </w:pPr>
            <w:r>
              <w:rPr>
                <w:rFonts w:hint="eastAsia" w:ascii="宋体" w:hAnsi="宋体" w:eastAsia="宋体" w:cs="宋体"/>
                <w:sz w:val="18"/>
                <w:szCs w:val="18"/>
              </w:rPr>
              <w:t>2,857.55</w:t>
            </w:r>
          </w:p>
        </w:tc>
        <w:tc>
          <w:tcPr>
            <w:tcW w:w="1701" w:type="dxa"/>
            <w:tcBorders>
              <w:top w:val="nil"/>
              <w:left w:val="nil"/>
              <w:bottom w:val="single" w:color="auto" w:sz="4" w:space="0"/>
              <w:right w:val="single" w:color="auto" w:sz="4" w:space="0"/>
            </w:tcBorders>
            <w:vAlign w:val="center"/>
          </w:tcPr>
          <w:p w14:paraId="4DABD4C7">
            <w:pPr>
              <w:widowControl/>
              <w:jc w:val="center"/>
              <w:rPr>
                <w:rFonts w:hint="eastAsia" w:ascii="宋体" w:hAnsi="宋体" w:eastAsia="宋体" w:cs="宋体"/>
                <w:sz w:val="18"/>
                <w:szCs w:val="18"/>
              </w:rPr>
            </w:pPr>
            <w:r>
              <w:rPr>
                <w:rFonts w:hint="eastAsia" w:ascii="宋体" w:hAnsi="宋体" w:eastAsia="宋体" w:cs="宋体"/>
                <w:sz w:val="18"/>
                <w:szCs w:val="18"/>
              </w:rPr>
              <w:t>2,796.03</w:t>
            </w:r>
          </w:p>
        </w:tc>
        <w:tc>
          <w:tcPr>
            <w:tcW w:w="1134" w:type="dxa"/>
            <w:tcBorders>
              <w:top w:val="nil"/>
              <w:left w:val="nil"/>
              <w:bottom w:val="single" w:color="auto" w:sz="4" w:space="0"/>
              <w:right w:val="single" w:color="auto" w:sz="4" w:space="0"/>
            </w:tcBorders>
            <w:vAlign w:val="center"/>
          </w:tcPr>
          <w:p w14:paraId="37E73D0C">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DC6C471">
            <w:pPr>
              <w:widowControl/>
              <w:jc w:val="center"/>
              <w:rPr>
                <w:rFonts w:hint="eastAsia" w:ascii="宋体" w:hAnsi="宋体" w:eastAsia="宋体" w:cs="宋体"/>
                <w:sz w:val="18"/>
                <w:szCs w:val="18"/>
              </w:rPr>
            </w:pPr>
            <w:r>
              <w:rPr>
                <w:rFonts w:hint="eastAsia" w:ascii="宋体" w:hAnsi="宋体" w:eastAsia="宋体" w:cs="宋体"/>
                <w:sz w:val="18"/>
                <w:szCs w:val="18"/>
              </w:rPr>
              <w:t>97.85%</w:t>
            </w:r>
          </w:p>
        </w:tc>
        <w:tc>
          <w:tcPr>
            <w:tcW w:w="720" w:type="dxa"/>
            <w:tcBorders>
              <w:top w:val="nil"/>
              <w:left w:val="nil"/>
              <w:bottom w:val="single" w:color="auto" w:sz="4" w:space="0"/>
              <w:right w:val="single" w:color="auto" w:sz="4" w:space="0"/>
            </w:tcBorders>
            <w:vAlign w:val="center"/>
          </w:tcPr>
          <w:p w14:paraId="114AEE12">
            <w:pPr>
              <w:widowControl/>
              <w:jc w:val="center"/>
              <w:rPr>
                <w:rFonts w:hint="eastAsia" w:ascii="宋体" w:hAnsi="宋体" w:eastAsia="宋体" w:cs="宋体"/>
                <w:sz w:val="18"/>
                <w:szCs w:val="18"/>
              </w:rPr>
            </w:pPr>
            <w:r>
              <w:rPr>
                <w:rFonts w:hint="eastAsia" w:ascii="宋体" w:hAnsi="宋体" w:eastAsia="宋体" w:cs="宋体"/>
                <w:sz w:val="18"/>
                <w:szCs w:val="18"/>
              </w:rPr>
              <w:t>9.79</w:t>
            </w:r>
          </w:p>
        </w:tc>
        <w:tc>
          <w:tcPr>
            <w:tcW w:w="284" w:type="dxa"/>
            <w:tcBorders>
              <w:top w:val="nil"/>
              <w:left w:val="nil"/>
              <w:bottom w:val="nil"/>
              <w:right w:val="nil"/>
            </w:tcBorders>
            <w:noWrap/>
            <w:vAlign w:val="center"/>
          </w:tcPr>
          <w:p w14:paraId="0B02A168">
            <w:pPr>
              <w:widowControl/>
              <w:jc w:val="center"/>
              <w:rPr>
                <w:rFonts w:hint="eastAsia" w:ascii="宋体" w:hAnsi="宋体" w:eastAsia="宋体" w:cs="宋体"/>
                <w:b/>
                <w:bCs/>
                <w:sz w:val="18"/>
                <w:szCs w:val="18"/>
              </w:rPr>
            </w:pPr>
          </w:p>
        </w:tc>
      </w:tr>
      <w:tr w14:paraId="7417BA2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580EAE">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B3ECD15">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3057578B">
            <w:pPr>
              <w:widowControl/>
              <w:jc w:val="center"/>
              <w:rPr>
                <w:rFonts w:hint="eastAsia" w:ascii="宋体" w:hAnsi="宋体" w:eastAsia="宋体" w:cs="宋体"/>
                <w:sz w:val="18"/>
                <w:szCs w:val="18"/>
              </w:rPr>
            </w:pPr>
            <w:r>
              <w:rPr>
                <w:rFonts w:hint="eastAsia" w:ascii="宋体" w:hAnsi="宋体" w:eastAsia="宋体" w:cs="宋体"/>
                <w:sz w:val="18"/>
                <w:szCs w:val="18"/>
              </w:rPr>
              <w:t>48.28</w:t>
            </w:r>
          </w:p>
        </w:tc>
        <w:tc>
          <w:tcPr>
            <w:tcW w:w="1276" w:type="dxa"/>
            <w:tcBorders>
              <w:top w:val="nil"/>
              <w:left w:val="nil"/>
              <w:bottom w:val="single" w:color="auto" w:sz="4" w:space="0"/>
              <w:right w:val="single" w:color="auto" w:sz="4" w:space="0"/>
            </w:tcBorders>
            <w:vAlign w:val="center"/>
          </w:tcPr>
          <w:p w14:paraId="2A30B17A">
            <w:pPr>
              <w:widowControl/>
              <w:jc w:val="center"/>
              <w:rPr>
                <w:rFonts w:hint="eastAsia" w:ascii="宋体" w:hAnsi="宋体" w:eastAsia="宋体" w:cs="宋体"/>
                <w:sz w:val="18"/>
                <w:szCs w:val="18"/>
              </w:rPr>
            </w:pPr>
            <w:r>
              <w:rPr>
                <w:rFonts w:hint="eastAsia" w:ascii="宋体" w:hAnsi="宋体" w:eastAsia="宋体" w:cs="宋体"/>
                <w:sz w:val="18"/>
                <w:szCs w:val="18"/>
              </w:rPr>
              <w:t>31.33</w:t>
            </w:r>
          </w:p>
        </w:tc>
        <w:tc>
          <w:tcPr>
            <w:tcW w:w="1701" w:type="dxa"/>
            <w:tcBorders>
              <w:top w:val="nil"/>
              <w:left w:val="nil"/>
              <w:bottom w:val="single" w:color="auto" w:sz="4" w:space="0"/>
              <w:right w:val="single" w:color="auto" w:sz="4" w:space="0"/>
            </w:tcBorders>
            <w:vAlign w:val="center"/>
          </w:tcPr>
          <w:p w14:paraId="1304447D">
            <w:pPr>
              <w:widowControl/>
              <w:jc w:val="center"/>
              <w:rPr>
                <w:rFonts w:hint="eastAsia" w:ascii="宋体" w:hAnsi="宋体" w:eastAsia="宋体" w:cs="宋体"/>
                <w:sz w:val="18"/>
                <w:szCs w:val="18"/>
              </w:rPr>
            </w:pPr>
            <w:r>
              <w:rPr>
                <w:rFonts w:hint="eastAsia" w:ascii="宋体" w:hAnsi="宋体" w:eastAsia="宋体" w:cs="宋体"/>
                <w:sz w:val="18"/>
                <w:szCs w:val="18"/>
              </w:rPr>
              <w:t>31.33</w:t>
            </w:r>
          </w:p>
        </w:tc>
        <w:tc>
          <w:tcPr>
            <w:tcW w:w="1134" w:type="dxa"/>
            <w:tcBorders>
              <w:top w:val="nil"/>
              <w:left w:val="nil"/>
              <w:bottom w:val="single" w:color="auto" w:sz="4" w:space="0"/>
              <w:right w:val="single" w:color="auto" w:sz="4" w:space="0"/>
            </w:tcBorders>
            <w:vAlign w:val="center"/>
          </w:tcPr>
          <w:p w14:paraId="659C5A1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6746ED1F">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6749980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043B6C0">
            <w:pPr>
              <w:widowControl/>
              <w:jc w:val="center"/>
              <w:rPr>
                <w:rFonts w:hint="eastAsia" w:ascii="宋体" w:hAnsi="宋体" w:eastAsia="宋体" w:cs="宋体"/>
                <w:sz w:val="18"/>
                <w:szCs w:val="18"/>
              </w:rPr>
            </w:pPr>
          </w:p>
        </w:tc>
      </w:tr>
      <w:tr w14:paraId="3F332C1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4FCAE6">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FFBB6B1">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056837A">
            <w:pPr>
              <w:widowControl/>
              <w:jc w:val="center"/>
              <w:rPr>
                <w:rFonts w:hint="eastAsia" w:ascii="宋体" w:hAnsi="宋体" w:eastAsia="宋体" w:cs="宋体"/>
                <w:sz w:val="18"/>
                <w:szCs w:val="18"/>
              </w:rPr>
            </w:pPr>
            <w:r>
              <w:rPr>
                <w:rFonts w:hint="eastAsia" w:ascii="宋体" w:hAnsi="宋体" w:eastAsia="宋体" w:cs="宋体"/>
                <w:sz w:val="18"/>
                <w:szCs w:val="18"/>
              </w:rPr>
              <w:t>3,008.83</w:t>
            </w:r>
          </w:p>
        </w:tc>
        <w:tc>
          <w:tcPr>
            <w:tcW w:w="1276" w:type="dxa"/>
            <w:tcBorders>
              <w:top w:val="nil"/>
              <w:left w:val="nil"/>
              <w:bottom w:val="single" w:color="auto" w:sz="4" w:space="0"/>
              <w:right w:val="single" w:color="auto" w:sz="4" w:space="0"/>
            </w:tcBorders>
            <w:vAlign w:val="center"/>
          </w:tcPr>
          <w:p w14:paraId="11EB4D1D">
            <w:pPr>
              <w:widowControl/>
              <w:jc w:val="center"/>
              <w:rPr>
                <w:rFonts w:hint="eastAsia" w:ascii="宋体" w:hAnsi="宋体" w:eastAsia="宋体" w:cs="宋体"/>
                <w:sz w:val="18"/>
                <w:szCs w:val="18"/>
              </w:rPr>
            </w:pPr>
            <w:r>
              <w:rPr>
                <w:rFonts w:hint="eastAsia" w:ascii="宋体" w:hAnsi="宋体" w:eastAsia="宋体" w:cs="宋体"/>
                <w:sz w:val="18"/>
                <w:szCs w:val="18"/>
              </w:rPr>
              <w:t>2,584.25</w:t>
            </w:r>
          </w:p>
        </w:tc>
        <w:tc>
          <w:tcPr>
            <w:tcW w:w="1701" w:type="dxa"/>
            <w:tcBorders>
              <w:top w:val="nil"/>
              <w:left w:val="nil"/>
              <w:bottom w:val="single" w:color="auto" w:sz="4" w:space="0"/>
              <w:right w:val="single" w:color="auto" w:sz="4" w:space="0"/>
            </w:tcBorders>
            <w:vAlign w:val="center"/>
          </w:tcPr>
          <w:p w14:paraId="5C87C7E2">
            <w:pPr>
              <w:widowControl/>
              <w:jc w:val="center"/>
              <w:rPr>
                <w:rFonts w:hint="eastAsia" w:ascii="宋体" w:hAnsi="宋体" w:eastAsia="宋体" w:cs="宋体"/>
                <w:sz w:val="18"/>
                <w:szCs w:val="18"/>
              </w:rPr>
            </w:pPr>
            <w:r>
              <w:rPr>
                <w:rFonts w:hint="eastAsia" w:ascii="宋体" w:hAnsi="宋体" w:eastAsia="宋体" w:cs="宋体"/>
                <w:sz w:val="18"/>
                <w:szCs w:val="18"/>
              </w:rPr>
              <w:t>2,522.73</w:t>
            </w:r>
          </w:p>
        </w:tc>
        <w:tc>
          <w:tcPr>
            <w:tcW w:w="1134" w:type="dxa"/>
            <w:tcBorders>
              <w:top w:val="nil"/>
              <w:left w:val="nil"/>
              <w:bottom w:val="single" w:color="auto" w:sz="4" w:space="0"/>
              <w:right w:val="single" w:color="auto" w:sz="4" w:space="0"/>
            </w:tcBorders>
            <w:vAlign w:val="center"/>
          </w:tcPr>
          <w:p w14:paraId="2C1AEBF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77541CA5">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6D1FE8E7">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0BDD4A19">
            <w:pPr>
              <w:widowControl/>
              <w:jc w:val="center"/>
              <w:rPr>
                <w:rFonts w:hint="eastAsia" w:ascii="宋体" w:hAnsi="宋体" w:eastAsia="宋体" w:cs="宋体"/>
                <w:sz w:val="18"/>
                <w:szCs w:val="18"/>
              </w:rPr>
            </w:pPr>
          </w:p>
        </w:tc>
      </w:tr>
      <w:tr w14:paraId="401DEC2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DB6521">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1F5EF47">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D14A886">
            <w:pPr>
              <w:widowControl/>
              <w:jc w:val="center"/>
              <w:rPr>
                <w:rFonts w:hint="eastAsia" w:ascii="宋体" w:hAnsi="宋体" w:eastAsia="宋体" w:cs="宋体"/>
                <w:sz w:val="18"/>
                <w:szCs w:val="18"/>
              </w:rPr>
            </w:pPr>
            <w:r>
              <w:rPr>
                <w:rFonts w:hint="eastAsia" w:ascii="宋体" w:hAnsi="宋体" w:eastAsia="宋体" w:cs="宋体"/>
                <w:sz w:val="18"/>
                <w:szCs w:val="18"/>
              </w:rPr>
              <w:t>100.34</w:t>
            </w:r>
          </w:p>
        </w:tc>
        <w:tc>
          <w:tcPr>
            <w:tcW w:w="1276" w:type="dxa"/>
            <w:tcBorders>
              <w:top w:val="nil"/>
              <w:left w:val="nil"/>
              <w:bottom w:val="single" w:color="auto" w:sz="4" w:space="0"/>
              <w:right w:val="single" w:color="auto" w:sz="4" w:space="0"/>
            </w:tcBorders>
            <w:vAlign w:val="center"/>
          </w:tcPr>
          <w:p w14:paraId="143D83FB">
            <w:pPr>
              <w:widowControl/>
              <w:jc w:val="center"/>
              <w:rPr>
                <w:rFonts w:hint="eastAsia" w:ascii="宋体" w:hAnsi="宋体" w:eastAsia="宋体" w:cs="宋体"/>
                <w:sz w:val="18"/>
                <w:szCs w:val="18"/>
              </w:rPr>
            </w:pPr>
            <w:r>
              <w:rPr>
                <w:rFonts w:hint="eastAsia" w:ascii="宋体" w:hAnsi="宋体" w:eastAsia="宋体" w:cs="宋体"/>
                <w:sz w:val="18"/>
                <w:szCs w:val="18"/>
              </w:rPr>
              <w:t>241.97</w:t>
            </w:r>
          </w:p>
        </w:tc>
        <w:tc>
          <w:tcPr>
            <w:tcW w:w="1701" w:type="dxa"/>
            <w:tcBorders>
              <w:top w:val="nil"/>
              <w:left w:val="nil"/>
              <w:bottom w:val="single" w:color="auto" w:sz="4" w:space="0"/>
              <w:right w:val="single" w:color="auto" w:sz="4" w:space="0"/>
            </w:tcBorders>
            <w:vAlign w:val="center"/>
          </w:tcPr>
          <w:p w14:paraId="73156697">
            <w:pPr>
              <w:widowControl/>
              <w:jc w:val="center"/>
              <w:rPr>
                <w:rFonts w:hint="eastAsia" w:ascii="宋体" w:hAnsi="宋体" w:eastAsia="宋体" w:cs="宋体"/>
                <w:sz w:val="18"/>
                <w:szCs w:val="18"/>
              </w:rPr>
            </w:pPr>
            <w:r>
              <w:rPr>
                <w:rFonts w:hint="eastAsia" w:ascii="宋体" w:hAnsi="宋体" w:eastAsia="宋体" w:cs="宋体"/>
                <w:sz w:val="18"/>
                <w:szCs w:val="18"/>
              </w:rPr>
              <w:t>241.97</w:t>
            </w:r>
          </w:p>
        </w:tc>
        <w:tc>
          <w:tcPr>
            <w:tcW w:w="1134" w:type="dxa"/>
            <w:tcBorders>
              <w:top w:val="nil"/>
              <w:left w:val="nil"/>
              <w:bottom w:val="single" w:color="auto" w:sz="4" w:space="0"/>
              <w:right w:val="single" w:color="auto" w:sz="4" w:space="0"/>
            </w:tcBorders>
            <w:vAlign w:val="center"/>
          </w:tcPr>
          <w:p w14:paraId="36F7355A">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9684F5E">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8057D12">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03A02258">
            <w:pPr>
              <w:widowControl/>
              <w:jc w:val="center"/>
              <w:rPr>
                <w:rFonts w:hint="eastAsia" w:ascii="宋体" w:hAnsi="宋体" w:eastAsia="宋体" w:cs="宋体"/>
                <w:sz w:val="18"/>
                <w:szCs w:val="18"/>
              </w:rPr>
            </w:pPr>
          </w:p>
        </w:tc>
      </w:tr>
      <w:tr w14:paraId="7C74FB1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9C17722">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B658696">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DF84BAD">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7B975E49">
            <w:pPr>
              <w:widowControl/>
              <w:jc w:val="left"/>
              <w:rPr>
                <w:rFonts w:hint="eastAsia" w:ascii="宋体" w:hAnsi="宋体" w:eastAsia="宋体" w:cs="宋体"/>
                <w:b/>
                <w:bCs/>
                <w:sz w:val="18"/>
                <w:szCs w:val="18"/>
              </w:rPr>
            </w:pPr>
          </w:p>
        </w:tc>
      </w:tr>
      <w:tr w14:paraId="4C1D6DB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FAC1C0">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0F4ADCB">
            <w:pPr>
              <w:widowControl/>
              <w:jc w:val="left"/>
              <w:rPr>
                <w:rFonts w:hint="eastAsia" w:ascii="宋体" w:hAnsi="宋体" w:eastAsia="宋体" w:cs="宋体"/>
                <w:sz w:val="18"/>
                <w:szCs w:val="18"/>
              </w:rPr>
            </w:pPr>
            <w:r>
              <w:rPr>
                <w:rFonts w:hint="eastAsia" w:ascii="宋体" w:hAnsi="宋体" w:eastAsia="宋体" w:cs="宋体"/>
                <w:sz w:val="18"/>
                <w:szCs w:val="18"/>
              </w:rPr>
              <w:t>1.单位职责：帮助学生顺利完成高中学业，拿到高中毕业证。2.2024年重点工作：①保障我单位各项人员经费及公用经费的使用。②保障学生享受高中教育，促进教育发展，学校为学生提高质量教学，提供高质量平台，开拓学生视野。③有效保障高中建档立卡贫困学生助学金的发放帮助他们顺利完成学业。④县域普通高中学校基本办学条件得到改善，按照“五项管理”相关要求，立足图书室建设的建、配、管、用，开拓进取，扎实工作，努力提高我校图书室建设水平，实现馆设水平，实现馆设配套、管理机制完善、管理人员素质较高、藏书充足、藏书种类丰富的适应现代教学发展的合格图书馆的总体目标。</w:t>
            </w:r>
          </w:p>
        </w:tc>
        <w:tc>
          <w:tcPr>
            <w:tcW w:w="4547" w:type="dxa"/>
            <w:gridSpan w:val="4"/>
            <w:tcBorders>
              <w:top w:val="single" w:color="auto" w:sz="4" w:space="0"/>
              <w:left w:val="nil"/>
              <w:bottom w:val="single" w:color="auto" w:sz="4" w:space="0"/>
              <w:right w:val="single" w:color="auto" w:sz="4" w:space="0"/>
            </w:tcBorders>
          </w:tcPr>
          <w:p w14:paraId="38D1C1DC">
            <w:pPr>
              <w:widowControl/>
              <w:jc w:val="left"/>
              <w:rPr>
                <w:rFonts w:hint="eastAsia" w:ascii="宋体" w:hAnsi="宋体" w:eastAsia="宋体" w:cs="宋体"/>
                <w:sz w:val="18"/>
                <w:szCs w:val="18"/>
              </w:rPr>
            </w:pPr>
            <w:r>
              <w:rPr>
                <w:rFonts w:hint="eastAsia" w:ascii="宋体" w:hAnsi="宋体" w:eastAsia="宋体" w:cs="宋体"/>
                <w:sz w:val="18"/>
                <w:szCs w:val="18"/>
              </w:rPr>
              <w:t>1.在职人员及退休人员待遇基本得到保障，工资及时发放到位。福利待遇基本得到保障。2.2024年高三高考本科上线率超70%，较去年大幅提高20%，高一高二年级在五校联考中成绩优异，新高一录取分数线逐年上升。3.建档立卡贫困生助学金发放做到及时到人到卡，使贫困生学习条件实现逐步改善，帮助贫困生完成高中学业。4.县域普通高中学校基本办学条件得到改善，按照“五项管理”相关要求，立足图书室建设的建、配、管、用，开拓进取，扎实工作，努力提高我校图书室建设水平，实现馆设水平，实现馆设配套、管理机制完善、管理人员素质较高、藏书充足、藏书种类丰富的适应现代教学发展的合格图书馆的总体目标。</w:t>
            </w:r>
          </w:p>
        </w:tc>
        <w:tc>
          <w:tcPr>
            <w:tcW w:w="284" w:type="dxa"/>
            <w:tcBorders>
              <w:top w:val="nil"/>
              <w:left w:val="nil"/>
              <w:bottom w:val="nil"/>
              <w:right w:val="nil"/>
            </w:tcBorders>
            <w:noWrap/>
            <w:vAlign w:val="center"/>
          </w:tcPr>
          <w:p w14:paraId="4D92E53A">
            <w:pPr>
              <w:widowControl/>
              <w:jc w:val="left"/>
              <w:rPr>
                <w:rFonts w:hint="eastAsia" w:ascii="宋体" w:hAnsi="宋体" w:eastAsia="宋体" w:cs="宋体"/>
                <w:sz w:val="18"/>
                <w:szCs w:val="18"/>
              </w:rPr>
            </w:pPr>
          </w:p>
        </w:tc>
      </w:tr>
      <w:tr w14:paraId="6FA7AD4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ADBBBBB">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F71C302">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AA36132">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11BE615">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BAABB71">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A9B8145">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519C623">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F0E2D35">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15D6B73">
            <w:pPr>
              <w:widowControl/>
              <w:jc w:val="left"/>
              <w:rPr>
                <w:rFonts w:hint="eastAsia" w:ascii="宋体" w:hAnsi="宋体" w:eastAsia="宋体" w:cs="宋体"/>
                <w:b/>
                <w:bCs/>
                <w:sz w:val="18"/>
                <w:szCs w:val="18"/>
              </w:rPr>
            </w:pPr>
          </w:p>
        </w:tc>
      </w:tr>
      <w:tr w14:paraId="3E203A6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949F8CF">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EBCACDC">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F74DBF6">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6493B070">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4C02A9C">
            <w:pPr>
              <w:widowControl/>
              <w:jc w:val="left"/>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新疆维吾尔自治区</w:t>
            </w:r>
            <w:bookmarkStart w:id="0" w:name="_GoBack"/>
            <w:bookmarkEnd w:id="0"/>
            <w:r>
              <w:rPr>
                <w:rFonts w:hint="eastAsia" w:ascii="宋体" w:hAnsi="宋体" w:eastAsia="宋体" w:cs="宋体"/>
                <w:sz w:val="18"/>
                <w:szCs w:val="18"/>
              </w:rPr>
              <w:t>中小学教学常规管理基本要求》</w:t>
            </w:r>
          </w:p>
        </w:tc>
        <w:tc>
          <w:tcPr>
            <w:tcW w:w="1134" w:type="dxa"/>
            <w:tcBorders>
              <w:top w:val="nil"/>
              <w:left w:val="nil"/>
              <w:bottom w:val="single" w:color="auto" w:sz="4" w:space="0"/>
              <w:right w:val="single" w:color="auto" w:sz="4" w:space="0"/>
            </w:tcBorders>
            <w:noWrap/>
            <w:vAlign w:val="center"/>
          </w:tcPr>
          <w:p w14:paraId="09D8A1C0">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600428F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2EB2408">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430971D">
            <w:pPr>
              <w:widowControl/>
              <w:jc w:val="center"/>
              <w:rPr>
                <w:rFonts w:hint="eastAsia" w:ascii="宋体" w:hAnsi="宋体" w:eastAsia="宋体" w:cs="宋体"/>
                <w:sz w:val="18"/>
                <w:szCs w:val="18"/>
              </w:rPr>
            </w:pPr>
          </w:p>
        </w:tc>
      </w:tr>
      <w:tr w14:paraId="41A5FA9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949AACC">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45C6953">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5E68EF6">
            <w:pPr>
              <w:widowControl/>
              <w:jc w:val="center"/>
              <w:rPr>
                <w:rFonts w:hint="eastAsia" w:ascii="宋体" w:hAnsi="宋体" w:eastAsia="宋体" w:cs="宋体"/>
                <w:sz w:val="18"/>
                <w:szCs w:val="18"/>
              </w:rPr>
            </w:pPr>
            <w:r>
              <w:rPr>
                <w:rFonts w:hint="eastAsia" w:ascii="宋体" w:hAnsi="宋体" w:eastAsia="宋体" w:cs="宋体"/>
                <w:sz w:val="18"/>
                <w:szCs w:val="18"/>
              </w:rPr>
              <w:t>教研组每2周开展活动次数</w:t>
            </w:r>
          </w:p>
        </w:tc>
        <w:tc>
          <w:tcPr>
            <w:tcW w:w="1276" w:type="dxa"/>
            <w:tcBorders>
              <w:top w:val="nil"/>
              <w:left w:val="nil"/>
              <w:bottom w:val="single" w:color="auto" w:sz="4" w:space="0"/>
              <w:right w:val="single" w:color="auto" w:sz="4" w:space="0"/>
            </w:tcBorders>
            <w:noWrap/>
            <w:vAlign w:val="center"/>
          </w:tcPr>
          <w:p w14:paraId="63168306">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F73D512">
            <w:pPr>
              <w:widowControl/>
              <w:jc w:val="left"/>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新疆维吾尔自治区</w:t>
            </w:r>
            <w:r>
              <w:rPr>
                <w:rFonts w:hint="eastAsia" w:ascii="宋体" w:hAnsi="宋体" w:eastAsia="宋体" w:cs="宋体"/>
                <w:sz w:val="18"/>
                <w:szCs w:val="18"/>
              </w:rPr>
              <w:t>中小学教学常规管理基本要求》</w:t>
            </w:r>
          </w:p>
        </w:tc>
        <w:tc>
          <w:tcPr>
            <w:tcW w:w="1134" w:type="dxa"/>
            <w:tcBorders>
              <w:top w:val="nil"/>
              <w:left w:val="nil"/>
              <w:bottom w:val="single" w:color="auto" w:sz="4" w:space="0"/>
              <w:right w:val="single" w:color="auto" w:sz="4" w:space="0"/>
            </w:tcBorders>
            <w:noWrap/>
            <w:vAlign w:val="center"/>
          </w:tcPr>
          <w:p w14:paraId="571E6798">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1538700">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232902F">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9D979BA">
            <w:pPr>
              <w:widowControl/>
              <w:jc w:val="center"/>
              <w:rPr>
                <w:rFonts w:hint="eastAsia" w:ascii="宋体" w:hAnsi="宋体" w:eastAsia="宋体" w:cs="宋体"/>
                <w:sz w:val="18"/>
                <w:szCs w:val="18"/>
              </w:rPr>
            </w:pPr>
          </w:p>
        </w:tc>
      </w:tr>
      <w:tr w14:paraId="3D5F352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45DA776">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58977C1">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80B3D3B">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2683767">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ACFACBE">
            <w:pPr>
              <w:widowControl/>
              <w:jc w:val="left"/>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新疆维吾尔自治区</w:t>
            </w:r>
            <w:r>
              <w:rPr>
                <w:rFonts w:hint="eastAsia" w:ascii="宋体" w:hAnsi="宋体" w:eastAsia="宋体" w:cs="宋体"/>
                <w:sz w:val="18"/>
                <w:szCs w:val="18"/>
              </w:rPr>
              <w:t>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4DC215F">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0A2ED6A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0BCDA5F">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071AAC3">
            <w:pPr>
              <w:widowControl/>
              <w:jc w:val="center"/>
              <w:rPr>
                <w:rFonts w:hint="eastAsia" w:ascii="宋体" w:hAnsi="宋体" w:eastAsia="宋体" w:cs="宋体"/>
                <w:sz w:val="18"/>
                <w:szCs w:val="18"/>
              </w:rPr>
            </w:pPr>
          </w:p>
        </w:tc>
      </w:tr>
      <w:tr w14:paraId="625CD224">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F7F69A0">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4381AD0">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FFCF301">
            <w:pPr>
              <w:widowControl/>
              <w:jc w:val="center"/>
              <w:rPr>
                <w:rFonts w:hint="eastAsia" w:ascii="宋体" w:hAnsi="宋体" w:eastAsia="宋体" w:cs="宋体"/>
                <w:sz w:val="18"/>
                <w:szCs w:val="18"/>
              </w:rPr>
            </w:pPr>
            <w:r>
              <w:rPr>
                <w:rFonts w:hint="eastAsia" w:ascii="宋体" w:hAnsi="宋体" w:eastAsia="宋体" w:cs="宋体"/>
                <w:sz w:val="18"/>
                <w:szCs w:val="18"/>
              </w:rPr>
              <w:t>99.79</w:t>
            </w:r>
          </w:p>
        </w:tc>
        <w:tc>
          <w:tcPr>
            <w:tcW w:w="284" w:type="dxa"/>
            <w:tcBorders>
              <w:top w:val="nil"/>
              <w:left w:val="nil"/>
              <w:bottom w:val="nil"/>
              <w:right w:val="nil"/>
            </w:tcBorders>
            <w:noWrap/>
            <w:vAlign w:val="center"/>
          </w:tcPr>
          <w:p w14:paraId="7E5EA8D1">
            <w:pPr>
              <w:widowControl/>
              <w:jc w:val="center"/>
              <w:rPr>
                <w:rFonts w:hint="eastAsia" w:ascii="宋体" w:hAnsi="宋体" w:eastAsia="宋体" w:cs="宋体"/>
                <w:sz w:val="18"/>
                <w:szCs w:val="18"/>
              </w:rPr>
            </w:pPr>
          </w:p>
        </w:tc>
      </w:tr>
    </w:tbl>
    <w:p w14:paraId="59DE85B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27CCBF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41C3F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F1A7A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7B04C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乌财科教【2023】168号-关于提前下达2024年中央学生资助补助经费（高中免学费）</w:t>
            </w:r>
          </w:p>
        </w:tc>
      </w:tr>
      <w:tr w14:paraId="1B1D90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A9BA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1EC2E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BBA7391">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3D8DE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乌鲁木齐市第六十一中学</w:t>
            </w:r>
          </w:p>
        </w:tc>
      </w:tr>
      <w:tr w14:paraId="65233F7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2B3336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54834F5">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C8453B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4763B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A29890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F1F7F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872C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C31F9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C11E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C18A2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DFC36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085F0D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5.72</w:t>
            </w:r>
          </w:p>
        </w:tc>
        <w:tc>
          <w:tcPr>
            <w:tcW w:w="1125" w:type="dxa"/>
            <w:tcBorders>
              <w:top w:val="nil"/>
              <w:left w:val="nil"/>
              <w:bottom w:val="single" w:color="auto" w:sz="4" w:space="0"/>
              <w:right w:val="single" w:color="auto" w:sz="4" w:space="0"/>
            </w:tcBorders>
            <w:noWrap/>
            <w:vAlign w:val="center"/>
          </w:tcPr>
          <w:p w14:paraId="09A58C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275" w:type="dxa"/>
            <w:gridSpan w:val="2"/>
            <w:tcBorders>
              <w:top w:val="single" w:color="auto" w:sz="4" w:space="0"/>
              <w:left w:val="nil"/>
              <w:bottom w:val="single" w:color="auto" w:sz="4" w:space="0"/>
              <w:right w:val="single" w:color="000000" w:sz="4" w:space="0"/>
            </w:tcBorders>
            <w:noWrap/>
            <w:vAlign w:val="center"/>
          </w:tcPr>
          <w:p w14:paraId="03A5F5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134" w:type="dxa"/>
            <w:gridSpan w:val="2"/>
            <w:tcBorders>
              <w:top w:val="single" w:color="auto" w:sz="4" w:space="0"/>
              <w:left w:val="nil"/>
              <w:bottom w:val="single" w:color="auto" w:sz="4" w:space="0"/>
              <w:right w:val="single" w:color="auto" w:sz="4" w:space="0"/>
            </w:tcBorders>
            <w:vAlign w:val="center"/>
          </w:tcPr>
          <w:p w14:paraId="0C5939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4163D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0B977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C14CE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B6D4F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4125F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069C8B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5.72</w:t>
            </w:r>
          </w:p>
        </w:tc>
        <w:tc>
          <w:tcPr>
            <w:tcW w:w="1125" w:type="dxa"/>
            <w:tcBorders>
              <w:top w:val="nil"/>
              <w:left w:val="nil"/>
              <w:bottom w:val="single" w:color="auto" w:sz="4" w:space="0"/>
              <w:right w:val="single" w:color="auto" w:sz="4" w:space="0"/>
            </w:tcBorders>
            <w:noWrap/>
            <w:vAlign w:val="center"/>
          </w:tcPr>
          <w:p w14:paraId="63EF89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275" w:type="dxa"/>
            <w:gridSpan w:val="2"/>
            <w:tcBorders>
              <w:top w:val="single" w:color="auto" w:sz="4" w:space="0"/>
              <w:left w:val="nil"/>
              <w:bottom w:val="single" w:color="auto" w:sz="4" w:space="0"/>
              <w:right w:val="single" w:color="000000" w:sz="4" w:space="0"/>
            </w:tcBorders>
            <w:noWrap/>
            <w:vAlign w:val="center"/>
          </w:tcPr>
          <w:p w14:paraId="5D9FAA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134" w:type="dxa"/>
            <w:gridSpan w:val="2"/>
            <w:tcBorders>
              <w:top w:val="single" w:color="auto" w:sz="4" w:space="0"/>
              <w:left w:val="nil"/>
              <w:bottom w:val="single" w:color="auto" w:sz="4" w:space="0"/>
              <w:right w:val="single" w:color="auto" w:sz="4" w:space="0"/>
            </w:tcBorders>
            <w:vAlign w:val="center"/>
          </w:tcPr>
          <w:p w14:paraId="3C522E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2F31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40031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3C8C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ED9D6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BAEF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C1849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944C7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048EE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DD549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81B23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F6A28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8D79C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447A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3157A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0F3006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0223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D768148">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7E86CF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我校免学费人数为40人，标准为715元/生/学期，预算金额为5.863万元。减少贫困生家庭负担。</w:t>
            </w:r>
          </w:p>
        </w:tc>
        <w:tc>
          <w:tcPr>
            <w:tcW w:w="4677" w:type="dxa"/>
            <w:gridSpan w:val="7"/>
            <w:tcBorders>
              <w:top w:val="single" w:color="auto" w:sz="4" w:space="0"/>
              <w:left w:val="nil"/>
              <w:bottom w:val="single" w:color="auto" w:sz="4" w:space="0"/>
              <w:right w:val="single" w:color="000000" w:sz="4" w:space="0"/>
            </w:tcBorders>
          </w:tcPr>
          <w:p w14:paraId="3B179E3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我校免学费补助金额为5.863万元，用于弥补公用经费不足。</w:t>
            </w:r>
          </w:p>
        </w:tc>
      </w:tr>
      <w:tr w14:paraId="60DC360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76669A4">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199167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C0C11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D0B95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FBD6B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821B7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9A391E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F421AF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BFDC6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271642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EB1E6A4">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E0E717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A7FCA26">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7019F7">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629217B">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9B588F1">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9B0D5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D7FC19">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7825903">
            <w:pPr>
              <w:widowControl/>
              <w:jc w:val="left"/>
              <w:rPr>
                <w:rFonts w:hint="eastAsia" w:ascii="宋体" w:hAnsi="宋体" w:eastAsia="宋体" w:cs="宋体"/>
                <w:color w:val="000000"/>
                <w:sz w:val="18"/>
                <w:szCs w:val="18"/>
              </w:rPr>
            </w:pPr>
          </w:p>
        </w:tc>
      </w:tr>
      <w:tr w14:paraId="7E500C4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8A9C4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08BD73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D04C1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7A6DE0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免学杂费人数</w:t>
            </w:r>
          </w:p>
        </w:tc>
        <w:tc>
          <w:tcPr>
            <w:tcW w:w="1125" w:type="dxa"/>
            <w:tcBorders>
              <w:top w:val="nil"/>
              <w:left w:val="nil"/>
              <w:bottom w:val="single" w:color="auto" w:sz="4" w:space="0"/>
              <w:right w:val="single" w:color="auto" w:sz="4" w:space="0"/>
            </w:tcBorders>
            <w:vAlign w:val="center"/>
          </w:tcPr>
          <w:p w14:paraId="2D23F6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&gt;=40人</w:t>
            </w:r>
          </w:p>
        </w:tc>
        <w:tc>
          <w:tcPr>
            <w:tcW w:w="1229" w:type="dxa"/>
            <w:tcBorders>
              <w:top w:val="nil"/>
              <w:left w:val="nil"/>
              <w:bottom w:val="single" w:color="auto" w:sz="4" w:space="0"/>
              <w:right w:val="single" w:color="auto" w:sz="4" w:space="0"/>
            </w:tcBorders>
            <w:vAlign w:val="center"/>
          </w:tcPr>
          <w:p w14:paraId="325B9A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82人</w:t>
            </w:r>
          </w:p>
        </w:tc>
        <w:tc>
          <w:tcPr>
            <w:tcW w:w="755" w:type="dxa"/>
            <w:gridSpan w:val="2"/>
            <w:tcBorders>
              <w:top w:val="single" w:color="auto" w:sz="4" w:space="0"/>
              <w:left w:val="nil"/>
              <w:bottom w:val="single" w:color="auto" w:sz="4" w:space="0"/>
              <w:right w:val="single" w:color="000000" w:sz="4" w:space="0"/>
            </w:tcBorders>
            <w:vAlign w:val="center"/>
          </w:tcPr>
          <w:p w14:paraId="323E16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05A83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BB312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差异原因为实际人数比预算人数增加，根据金额配比完成</w:t>
            </w:r>
          </w:p>
        </w:tc>
      </w:tr>
      <w:tr w14:paraId="4829DD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B0615E">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0564920">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3E675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E75E56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72D025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1ED5B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CCA94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B988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3522548">
            <w:pPr>
              <w:widowControl/>
              <w:jc w:val="center"/>
              <w:rPr>
                <w:rFonts w:hint="eastAsia" w:ascii="宋体" w:hAnsi="宋体" w:eastAsia="宋体" w:cs="宋体"/>
                <w:color w:val="000000"/>
                <w:sz w:val="18"/>
                <w:szCs w:val="18"/>
              </w:rPr>
            </w:pPr>
          </w:p>
        </w:tc>
      </w:tr>
      <w:tr w14:paraId="2EA850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44522">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C7CE794">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C9023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84B073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4D0BF7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C1307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8B18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E13B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C7DC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使劲执行率为100%。</w:t>
            </w:r>
          </w:p>
        </w:tc>
      </w:tr>
      <w:tr w14:paraId="137149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FD8128">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DB4BC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37200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2D73B6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免学杂费标准</w:t>
            </w:r>
          </w:p>
        </w:tc>
        <w:tc>
          <w:tcPr>
            <w:tcW w:w="1125" w:type="dxa"/>
            <w:tcBorders>
              <w:top w:val="nil"/>
              <w:left w:val="nil"/>
              <w:bottom w:val="single" w:color="auto" w:sz="4" w:space="0"/>
              <w:right w:val="single" w:color="auto" w:sz="4" w:space="0"/>
            </w:tcBorders>
            <w:vAlign w:val="center"/>
          </w:tcPr>
          <w:p w14:paraId="0C61E9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=715元/生/学期</w:t>
            </w:r>
          </w:p>
        </w:tc>
        <w:tc>
          <w:tcPr>
            <w:tcW w:w="1229" w:type="dxa"/>
            <w:tcBorders>
              <w:top w:val="nil"/>
              <w:left w:val="nil"/>
              <w:bottom w:val="single" w:color="auto" w:sz="4" w:space="0"/>
              <w:right w:val="single" w:color="auto" w:sz="4" w:space="0"/>
            </w:tcBorders>
            <w:vAlign w:val="center"/>
          </w:tcPr>
          <w:p w14:paraId="1F7769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715元/生/学期</w:t>
            </w:r>
          </w:p>
        </w:tc>
        <w:tc>
          <w:tcPr>
            <w:tcW w:w="755" w:type="dxa"/>
            <w:gridSpan w:val="2"/>
            <w:tcBorders>
              <w:top w:val="single" w:color="auto" w:sz="4" w:space="0"/>
              <w:left w:val="nil"/>
              <w:bottom w:val="single" w:color="auto" w:sz="4" w:space="0"/>
              <w:right w:val="single" w:color="000000" w:sz="4" w:space="0"/>
            </w:tcBorders>
            <w:vAlign w:val="center"/>
          </w:tcPr>
          <w:p w14:paraId="2344C5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D50CB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0A9A522">
            <w:pPr>
              <w:widowControl/>
              <w:jc w:val="center"/>
              <w:rPr>
                <w:rFonts w:hint="eastAsia" w:ascii="宋体" w:hAnsi="宋体" w:eastAsia="宋体" w:cs="宋体"/>
                <w:color w:val="000000"/>
                <w:sz w:val="18"/>
                <w:szCs w:val="18"/>
              </w:rPr>
            </w:pPr>
          </w:p>
        </w:tc>
      </w:tr>
      <w:tr w14:paraId="5DF869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8A92C5">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AE811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342DEB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E7FC56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减轻贫困学生家庭负担</w:t>
            </w:r>
          </w:p>
        </w:tc>
        <w:tc>
          <w:tcPr>
            <w:tcW w:w="1125" w:type="dxa"/>
            <w:tcBorders>
              <w:top w:val="nil"/>
              <w:left w:val="nil"/>
              <w:bottom w:val="single" w:color="auto" w:sz="4" w:space="0"/>
              <w:right w:val="single" w:color="auto" w:sz="4" w:space="0"/>
            </w:tcBorders>
            <w:vAlign w:val="center"/>
          </w:tcPr>
          <w:p w14:paraId="77D582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1229" w:type="dxa"/>
            <w:tcBorders>
              <w:top w:val="nil"/>
              <w:left w:val="nil"/>
              <w:bottom w:val="single" w:color="auto" w:sz="4" w:space="0"/>
              <w:right w:val="single" w:color="auto" w:sz="4" w:space="0"/>
            </w:tcBorders>
            <w:vAlign w:val="center"/>
          </w:tcPr>
          <w:p w14:paraId="489919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008C7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7105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755BC0F">
            <w:pPr>
              <w:widowControl/>
              <w:jc w:val="center"/>
              <w:rPr>
                <w:rFonts w:hint="eastAsia" w:ascii="宋体" w:hAnsi="宋体" w:eastAsia="宋体" w:cs="宋体"/>
                <w:color w:val="000000"/>
                <w:sz w:val="18"/>
                <w:szCs w:val="18"/>
              </w:rPr>
            </w:pPr>
          </w:p>
        </w:tc>
      </w:tr>
      <w:tr w14:paraId="0F9D32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2FDABD">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A5E31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ABFA843">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62F873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保障家庭经济困难学生接受教育</w:t>
            </w:r>
          </w:p>
        </w:tc>
        <w:tc>
          <w:tcPr>
            <w:tcW w:w="1125" w:type="dxa"/>
            <w:tcBorders>
              <w:top w:val="nil"/>
              <w:left w:val="nil"/>
              <w:bottom w:val="single" w:color="auto" w:sz="4" w:space="0"/>
              <w:right w:val="single" w:color="auto" w:sz="4" w:space="0"/>
            </w:tcBorders>
            <w:vAlign w:val="center"/>
          </w:tcPr>
          <w:p w14:paraId="00213C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1229" w:type="dxa"/>
            <w:tcBorders>
              <w:top w:val="nil"/>
              <w:left w:val="nil"/>
              <w:bottom w:val="single" w:color="auto" w:sz="4" w:space="0"/>
              <w:right w:val="single" w:color="auto" w:sz="4" w:space="0"/>
            </w:tcBorders>
            <w:vAlign w:val="center"/>
          </w:tcPr>
          <w:p w14:paraId="6ACBA8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5A5ED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6209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0E6CF3">
            <w:pPr>
              <w:widowControl/>
              <w:jc w:val="center"/>
              <w:rPr>
                <w:rFonts w:hint="eastAsia" w:ascii="宋体" w:hAnsi="宋体" w:eastAsia="宋体" w:cs="宋体"/>
                <w:color w:val="000000"/>
                <w:sz w:val="18"/>
                <w:szCs w:val="18"/>
              </w:rPr>
            </w:pPr>
          </w:p>
        </w:tc>
      </w:tr>
      <w:tr w14:paraId="321BE2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78D2FD">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4177F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58CEA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B487DE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40AB7A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EE5E8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9E7DD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4F72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0101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使劲执行率为100%。</w:t>
            </w:r>
          </w:p>
        </w:tc>
      </w:tr>
      <w:tr w14:paraId="4D73D85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54C21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F5638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3DD85E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FB9506E">
            <w:pPr>
              <w:widowControl/>
              <w:jc w:val="center"/>
              <w:rPr>
                <w:rFonts w:hint="eastAsia" w:ascii="宋体" w:hAnsi="宋体" w:eastAsia="宋体" w:cs="宋体"/>
                <w:b/>
                <w:bCs/>
                <w:color w:val="000000"/>
                <w:sz w:val="18"/>
                <w:szCs w:val="18"/>
              </w:rPr>
            </w:pPr>
          </w:p>
        </w:tc>
      </w:tr>
    </w:tbl>
    <w:p w14:paraId="52A564D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C8209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4D1DF3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B01AD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0AA29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乌财科教【2023】168号-关于提前下达2024年中央学生资助补助经费（高中助学金）</w:t>
            </w:r>
          </w:p>
        </w:tc>
      </w:tr>
      <w:tr w14:paraId="17DA22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1669E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139A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C58012E">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7880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乌鲁木齐市第六十一中学</w:t>
            </w:r>
          </w:p>
        </w:tc>
      </w:tr>
      <w:tr w14:paraId="742BCF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00BAB4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0293C3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62D4AC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631B6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9247B2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005D1D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7CD610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6933E5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FB9B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1A951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E37E6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1E65D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52.80</w:t>
            </w:r>
          </w:p>
        </w:tc>
        <w:tc>
          <w:tcPr>
            <w:tcW w:w="1125" w:type="dxa"/>
            <w:tcBorders>
              <w:top w:val="nil"/>
              <w:left w:val="nil"/>
              <w:bottom w:val="single" w:color="auto" w:sz="4" w:space="0"/>
              <w:right w:val="single" w:color="auto" w:sz="4" w:space="0"/>
            </w:tcBorders>
            <w:noWrap/>
            <w:vAlign w:val="center"/>
          </w:tcPr>
          <w:p w14:paraId="216D3F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42.00</w:t>
            </w:r>
          </w:p>
        </w:tc>
        <w:tc>
          <w:tcPr>
            <w:tcW w:w="1275" w:type="dxa"/>
            <w:gridSpan w:val="2"/>
            <w:tcBorders>
              <w:top w:val="single" w:color="auto" w:sz="4" w:space="0"/>
              <w:left w:val="nil"/>
              <w:bottom w:val="single" w:color="auto" w:sz="4" w:space="0"/>
              <w:right w:val="single" w:color="000000" w:sz="4" w:space="0"/>
            </w:tcBorders>
            <w:noWrap/>
            <w:vAlign w:val="center"/>
          </w:tcPr>
          <w:p w14:paraId="369D19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23.20</w:t>
            </w:r>
          </w:p>
        </w:tc>
        <w:tc>
          <w:tcPr>
            <w:tcW w:w="1134" w:type="dxa"/>
            <w:gridSpan w:val="2"/>
            <w:tcBorders>
              <w:top w:val="single" w:color="auto" w:sz="4" w:space="0"/>
              <w:left w:val="nil"/>
              <w:bottom w:val="single" w:color="auto" w:sz="4" w:space="0"/>
              <w:right w:val="single" w:color="auto" w:sz="4" w:space="0"/>
            </w:tcBorders>
            <w:vAlign w:val="center"/>
          </w:tcPr>
          <w:p w14:paraId="632F48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05ED5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55.24%</w:t>
            </w:r>
          </w:p>
        </w:tc>
        <w:tc>
          <w:tcPr>
            <w:tcW w:w="1275" w:type="dxa"/>
            <w:tcBorders>
              <w:top w:val="nil"/>
              <w:left w:val="nil"/>
              <w:bottom w:val="single" w:color="auto" w:sz="4" w:space="0"/>
              <w:right w:val="single" w:color="auto" w:sz="4" w:space="0"/>
            </w:tcBorders>
            <w:vAlign w:val="center"/>
          </w:tcPr>
          <w:p w14:paraId="0AB34C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5.52分</w:t>
            </w:r>
          </w:p>
        </w:tc>
      </w:tr>
      <w:tr w14:paraId="066ABB5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BA07B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740E4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87B3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52.80</w:t>
            </w:r>
          </w:p>
        </w:tc>
        <w:tc>
          <w:tcPr>
            <w:tcW w:w="1125" w:type="dxa"/>
            <w:tcBorders>
              <w:top w:val="nil"/>
              <w:left w:val="nil"/>
              <w:bottom w:val="single" w:color="auto" w:sz="4" w:space="0"/>
              <w:right w:val="single" w:color="auto" w:sz="4" w:space="0"/>
            </w:tcBorders>
            <w:noWrap/>
            <w:vAlign w:val="center"/>
          </w:tcPr>
          <w:p w14:paraId="13C5B2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42.00</w:t>
            </w:r>
          </w:p>
        </w:tc>
        <w:tc>
          <w:tcPr>
            <w:tcW w:w="1275" w:type="dxa"/>
            <w:gridSpan w:val="2"/>
            <w:tcBorders>
              <w:top w:val="single" w:color="auto" w:sz="4" w:space="0"/>
              <w:left w:val="nil"/>
              <w:bottom w:val="single" w:color="auto" w:sz="4" w:space="0"/>
              <w:right w:val="single" w:color="000000" w:sz="4" w:space="0"/>
            </w:tcBorders>
            <w:noWrap/>
            <w:vAlign w:val="center"/>
          </w:tcPr>
          <w:p w14:paraId="4483DE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23.20</w:t>
            </w:r>
          </w:p>
        </w:tc>
        <w:tc>
          <w:tcPr>
            <w:tcW w:w="1134" w:type="dxa"/>
            <w:gridSpan w:val="2"/>
            <w:tcBorders>
              <w:top w:val="single" w:color="auto" w:sz="4" w:space="0"/>
              <w:left w:val="nil"/>
              <w:bottom w:val="single" w:color="auto" w:sz="4" w:space="0"/>
              <w:right w:val="single" w:color="auto" w:sz="4" w:space="0"/>
            </w:tcBorders>
            <w:vAlign w:val="center"/>
          </w:tcPr>
          <w:p w14:paraId="7FA88E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E24D8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40605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0972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31836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AFB214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37378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B76D5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27059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912A4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49891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2092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4053D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EB112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5651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9C16E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72FD0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EC812E">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C90AD3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我校2024年享受国家助学金人数为262人，本项目补助分春季和秋季两次发放，按政策规定资金落实到位；该资金满足了家庭经济困难学生基本学习生活需求，帮助家庭经济困难学生接受普通高中教育。</w:t>
            </w:r>
          </w:p>
        </w:tc>
        <w:tc>
          <w:tcPr>
            <w:tcW w:w="4677" w:type="dxa"/>
            <w:gridSpan w:val="7"/>
            <w:tcBorders>
              <w:top w:val="single" w:color="auto" w:sz="4" w:space="0"/>
              <w:left w:val="nil"/>
              <w:bottom w:val="single" w:color="auto" w:sz="4" w:space="0"/>
              <w:right w:val="single" w:color="000000" w:sz="4" w:space="0"/>
            </w:tcBorders>
          </w:tcPr>
          <w:p w14:paraId="2A6C63B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我校2024年享受国家助学金人数为262人，本项目补助分春季和秋季两次发放，秋季按政策规定资金因财政资金不足造成拨付未到位；但是在区财政的资金调整中已完成指标额度。</w:t>
            </w:r>
          </w:p>
        </w:tc>
      </w:tr>
      <w:tr w14:paraId="1418770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E5E711D">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4ECC634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D2231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551035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72883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8FF49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E45AC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25093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1A4EB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43188C8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8758F0B">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952D94D">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16F63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EF02BC1">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F4B7A8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435E1BE">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F5B9D01">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EAF626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710301">
            <w:pPr>
              <w:widowControl/>
              <w:jc w:val="left"/>
              <w:rPr>
                <w:rFonts w:hint="eastAsia" w:ascii="宋体" w:hAnsi="宋体" w:eastAsia="宋体" w:cs="宋体"/>
                <w:color w:val="000000"/>
                <w:sz w:val="18"/>
                <w:szCs w:val="18"/>
              </w:rPr>
            </w:pPr>
          </w:p>
        </w:tc>
      </w:tr>
      <w:tr w14:paraId="55CC62B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202DAE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30FB3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69A4B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497B97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资助学生人数</w:t>
            </w:r>
          </w:p>
        </w:tc>
        <w:tc>
          <w:tcPr>
            <w:tcW w:w="1125" w:type="dxa"/>
            <w:tcBorders>
              <w:top w:val="nil"/>
              <w:left w:val="nil"/>
              <w:bottom w:val="single" w:color="auto" w:sz="4" w:space="0"/>
              <w:right w:val="single" w:color="auto" w:sz="4" w:space="0"/>
            </w:tcBorders>
            <w:vAlign w:val="center"/>
          </w:tcPr>
          <w:p w14:paraId="114C92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&gt;=262人</w:t>
            </w:r>
          </w:p>
        </w:tc>
        <w:tc>
          <w:tcPr>
            <w:tcW w:w="1229" w:type="dxa"/>
            <w:tcBorders>
              <w:top w:val="nil"/>
              <w:left w:val="nil"/>
              <w:bottom w:val="single" w:color="auto" w:sz="4" w:space="0"/>
              <w:right w:val="single" w:color="auto" w:sz="4" w:space="0"/>
            </w:tcBorders>
            <w:vAlign w:val="center"/>
          </w:tcPr>
          <w:p w14:paraId="2B39F9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241人</w:t>
            </w:r>
          </w:p>
        </w:tc>
        <w:tc>
          <w:tcPr>
            <w:tcW w:w="755" w:type="dxa"/>
            <w:gridSpan w:val="2"/>
            <w:tcBorders>
              <w:top w:val="single" w:color="auto" w:sz="4" w:space="0"/>
              <w:left w:val="nil"/>
              <w:bottom w:val="single" w:color="auto" w:sz="4" w:space="0"/>
              <w:right w:val="single" w:color="000000" w:sz="4" w:space="0"/>
            </w:tcBorders>
            <w:vAlign w:val="center"/>
          </w:tcPr>
          <w:p w14:paraId="158153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45B89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984" w:type="dxa"/>
            <w:gridSpan w:val="2"/>
            <w:tcBorders>
              <w:top w:val="single" w:color="auto" w:sz="4" w:space="0"/>
              <w:left w:val="nil"/>
              <w:bottom w:val="single" w:color="auto" w:sz="4" w:space="0"/>
              <w:right w:val="single" w:color="auto" w:sz="4" w:space="0"/>
            </w:tcBorders>
            <w:vAlign w:val="center"/>
          </w:tcPr>
          <w:p w14:paraId="6B8D2C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本区财力不足，造成资金拨付问题</w:t>
            </w:r>
          </w:p>
        </w:tc>
      </w:tr>
      <w:tr w14:paraId="0C60C7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DEE36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F81C62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EFA8B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A4ACB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受助学生应助尽助率</w:t>
            </w:r>
          </w:p>
        </w:tc>
        <w:tc>
          <w:tcPr>
            <w:tcW w:w="1125" w:type="dxa"/>
            <w:tcBorders>
              <w:top w:val="nil"/>
              <w:left w:val="nil"/>
              <w:bottom w:val="single" w:color="auto" w:sz="4" w:space="0"/>
              <w:right w:val="single" w:color="auto" w:sz="4" w:space="0"/>
            </w:tcBorders>
            <w:vAlign w:val="center"/>
          </w:tcPr>
          <w:p w14:paraId="61AE89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09AAC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FFF3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43EE7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166D773">
            <w:pPr>
              <w:widowControl/>
              <w:jc w:val="center"/>
              <w:rPr>
                <w:rFonts w:hint="eastAsia" w:ascii="宋体" w:hAnsi="宋体" w:eastAsia="宋体" w:cs="宋体"/>
                <w:color w:val="000000"/>
                <w:sz w:val="18"/>
                <w:szCs w:val="18"/>
              </w:rPr>
            </w:pPr>
          </w:p>
        </w:tc>
      </w:tr>
      <w:tr w14:paraId="0B4BC2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F952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ADF591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B2AD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BFA300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助学金及时发放率</w:t>
            </w:r>
          </w:p>
        </w:tc>
        <w:tc>
          <w:tcPr>
            <w:tcW w:w="1125" w:type="dxa"/>
            <w:tcBorders>
              <w:top w:val="nil"/>
              <w:left w:val="nil"/>
              <w:bottom w:val="single" w:color="auto" w:sz="4" w:space="0"/>
              <w:right w:val="single" w:color="auto" w:sz="4" w:space="0"/>
            </w:tcBorders>
            <w:vAlign w:val="center"/>
          </w:tcPr>
          <w:p w14:paraId="6E6048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006F1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9ED01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B0C7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9E0EC41">
            <w:pPr>
              <w:widowControl/>
              <w:jc w:val="center"/>
              <w:rPr>
                <w:rFonts w:hint="eastAsia" w:ascii="宋体" w:hAnsi="宋体" w:eastAsia="宋体" w:cs="宋体"/>
                <w:color w:val="000000"/>
                <w:sz w:val="18"/>
                <w:szCs w:val="18"/>
              </w:rPr>
            </w:pPr>
          </w:p>
        </w:tc>
      </w:tr>
      <w:tr w14:paraId="0C92C2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9398A7">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3B68F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E1097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F53F55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人均补助金额一档</w:t>
            </w:r>
          </w:p>
        </w:tc>
        <w:tc>
          <w:tcPr>
            <w:tcW w:w="1125" w:type="dxa"/>
            <w:tcBorders>
              <w:top w:val="nil"/>
              <w:left w:val="nil"/>
              <w:bottom w:val="single" w:color="auto" w:sz="4" w:space="0"/>
              <w:right w:val="single" w:color="auto" w:sz="4" w:space="0"/>
            </w:tcBorders>
            <w:vAlign w:val="center"/>
          </w:tcPr>
          <w:p w14:paraId="1B90DD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=1500元/人/学期</w:t>
            </w:r>
          </w:p>
        </w:tc>
        <w:tc>
          <w:tcPr>
            <w:tcW w:w="1229" w:type="dxa"/>
            <w:tcBorders>
              <w:top w:val="nil"/>
              <w:left w:val="nil"/>
              <w:bottom w:val="single" w:color="auto" w:sz="4" w:space="0"/>
              <w:right w:val="single" w:color="auto" w:sz="4" w:space="0"/>
            </w:tcBorders>
            <w:vAlign w:val="center"/>
          </w:tcPr>
          <w:p w14:paraId="3D2CC2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1500元/人/学期</w:t>
            </w:r>
          </w:p>
        </w:tc>
        <w:tc>
          <w:tcPr>
            <w:tcW w:w="755" w:type="dxa"/>
            <w:gridSpan w:val="2"/>
            <w:tcBorders>
              <w:top w:val="single" w:color="auto" w:sz="4" w:space="0"/>
              <w:left w:val="nil"/>
              <w:bottom w:val="single" w:color="auto" w:sz="4" w:space="0"/>
              <w:right w:val="single" w:color="000000" w:sz="4" w:space="0"/>
            </w:tcBorders>
            <w:vAlign w:val="center"/>
          </w:tcPr>
          <w:p w14:paraId="72A1D1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39B8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C13631">
            <w:pPr>
              <w:widowControl/>
              <w:jc w:val="center"/>
              <w:rPr>
                <w:rFonts w:hint="eastAsia" w:ascii="宋体" w:hAnsi="宋体" w:eastAsia="宋体" w:cs="宋体"/>
                <w:color w:val="000000"/>
                <w:sz w:val="18"/>
                <w:szCs w:val="18"/>
              </w:rPr>
            </w:pPr>
          </w:p>
        </w:tc>
      </w:tr>
      <w:tr w14:paraId="7289E2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A64AA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7F9510">
            <w:pPr>
              <w:widowControl/>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98AC87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CE6D56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人均补助金额二档</w:t>
            </w:r>
          </w:p>
        </w:tc>
        <w:tc>
          <w:tcPr>
            <w:tcW w:w="1125" w:type="dxa"/>
            <w:tcBorders>
              <w:top w:val="nil"/>
              <w:left w:val="nil"/>
              <w:bottom w:val="single" w:color="auto" w:sz="4" w:space="0"/>
              <w:right w:val="single" w:color="auto" w:sz="4" w:space="0"/>
            </w:tcBorders>
            <w:vAlign w:val="center"/>
          </w:tcPr>
          <w:p w14:paraId="789D54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=1000元/人/学期</w:t>
            </w:r>
          </w:p>
        </w:tc>
        <w:tc>
          <w:tcPr>
            <w:tcW w:w="1229" w:type="dxa"/>
            <w:tcBorders>
              <w:top w:val="nil"/>
              <w:left w:val="nil"/>
              <w:bottom w:val="single" w:color="auto" w:sz="4" w:space="0"/>
              <w:right w:val="single" w:color="auto" w:sz="4" w:space="0"/>
            </w:tcBorders>
            <w:vAlign w:val="center"/>
          </w:tcPr>
          <w:p w14:paraId="2880ED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1000元/人/学期</w:t>
            </w:r>
          </w:p>
        </w:tc>
        <w:tc>
          <w:tcPr>
            <w:tcW w:w="755" w:type="dxa"/>
            <w:gridSpan w:val="2"/>
            <w:tcBorders>
              <w:top w:val="single" w:color="auto" w:sz="4" w:space="0"/>
              <w:left w:val="nil"/>
              <w:bottom w:val="single" w:color="auto" w:sz="4" w:space="0"/>
              <w:right w:val="single" w:color="000000" w:sz="4" w:space="0"/>
            </w:tcBorders>
            <w:vAlign w:val="center"/>
          </w:tcPr>
          <w:p w14:paraId="0CB63C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C5BF0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FD8ED5E">
            <w:pPr>
              <w:widowControl/>
              <w:jc w:val="center"/>
              <w:rPr>
                <w:rFonts w:hint="eastAsia" w:ascii="宋体" w:hAnsi="宋体" w:eastAsia="宋体" w:cs="宋体"/>
                <w:color w:val="000000"/>
                <w:sz w:val="18"/>
                <w:szCs w:val="18"/>
              </w:rPr>
            </w:pPr>
          </w:p>
        </w:tc>
      </w:tr>
      <w:tr w14:paraId="08058C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EBD8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0A9001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BCF05C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519647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人均补助金额三档</w:t>
            </w:r>
          </w:p>
        </w:tc>
        <w:tc>
          <w:tcPr>
            <w:tcW w:w="1125" w:type="dxa"/>
            <w:tcBorders>
              <w:top w:val="nil"/>
              <w:left w:val="nil"/>
              <w:bottom w:val="single" w:color="auto" w:sz="4" w:space="0"/>
              <w:right w:val="single" w:color="auto" w:sz="4" w:space="0"/>
            </w:tcBorders>
            <w:vAlign w:val="center"/>
          </w:tcPr>
          <w:p w14:paraId="74909C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=500元/人/学期</w:t>
            </w:r>
          </w:p>
        </w:tc>
        <w:tc>
          <w:tcPr>
            <w:tcW w:w="1229" w:type="dxa"/>
            <w:tcBorders>
              <w:top w:val="nil"/>
              <w:left w:val="nil"/>
              <w:bottom w:val="single" w:color="auto" w:sz="4" w:space="0"/>
              <w:right w:val="single" w:color="auto" w:sz="4" w:space="0"/>
            </w:tcBorders>
            <w:vAlign w:val="center"/>
          </w:tcPr>
          <w:p w14:paraId="1134B9C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500元/人/学期</w:t>
            </w:r>
          </w:p>
        </w:tc>
        <w:tc>
          <w:tcPr>
            <w:tcW w:w="755" w:type="dxa"/>
            <w:gridSpan w:val="2"/>
            <w:tcBorders>
              <w:top w:val="single" w:color="auto" w:sz="4" w:space="0"/>
              <w:left w:val="nil"/>
              <w:bottom w:val="single" w:color="auto" w:sz="4" w:space="0"/>
              <w:right w:val="single" w:color="000000" w:sz="4" w:space="0"/>
            </w:tcBorders>
            <w:vAlign w:val="center"/>
          </w:tcPr>
          <w:p w14:paraId="1C963D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66AF0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6FA44F7">
            <w:pPr>
              <w:widowControl/>
              <w:jc w:val="center"/>
              <w:rPr>
                <w:rFonts w:hint="eastAsia" w:ascii="宋体" w:hAnsi="宋体" w:eastAsia="宋体" w:cs="宋体"/>
                <w:color w:val="000000"/>
                <w:sz w:val="18"/>
                <w:szCs w:val="18"/>
              </w:rPr>
            </w:pPr>
          </w:p>
        </w:tc>
      </w:tr>
      <w:tr w14:paraId="57743E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6EDF6">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E7EB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194B8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27CBA5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减轻普通高中学生经济压力</w:t>
            </w:r>
          </w:p>
        </w:tc>
        <w:tc>
          <w:tcPr>
            <w:tcW w:w="1125" w:type="dxa"/>
            <w:tcBorders>
              <w:top w:val="nil"/>
              <w:left w:val="nil"/>
              <w:bottom w:val="single" w:color="auto" w:sz="4" w:space="0"/>
              <w:right w:val="single" w:color="auto" w:sz="4" w:space="0"/>
            </w:tcBorders>
            <w:vAlign w:val="center"/>
          </w:tcPr>
          <w:p w14:paraId="36F2C4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1229" w:type="dxa"/>
            <w:tcBorders>
              <w:top w:val="nil"/>
              <w:left w:val="nil"/>
              <w:bottom w:val="single" w:color="auto" w:sz="4" w:space="0"/>
              <w:right w:val="single" w:color="auto" w:sz="4" w:space="0"/>
            </w:tcBorders>
            <w:vAlign w:val="center"/>
          </w:tcPr>
          <w:p w14:paraId="5E4C53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DDD36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3D177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9879366">
            <w:pPr>
              <w:widowControl/>
              <w:jc w:val="center"/>
              <w:rPr>
                <w:rFonts w:hint="eastAsia" w:ascii="宋体" w:hAnsi="宋体" w:eastAsia="宋体" w:cs="宋体"/>
                <w:color w:val="000000"/>
                <w:sz w:val="18"/>
                <w:szCs w:val="18"/>
              </w:rPr>
            </w:pPr>
          </w:p>
        </w:tc>
      </w:tr>
      <w:tr w14:paraId="2E723F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7F7F2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AD7DE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B5F1F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7ED4EC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受助学生满意度</w:t>
            </w:r>
          </w:p>
        </w:tc>
        <w:tc>
          <w:tcPr>
            <w:tcW w:w="1125" w:type="dxa"/>
            <w:tcBorders>
              <w:top w:val="nil"/>
              <w:left w:val="nil"/>
              <w:bottom w:val="single" w:color="auto" w:sz="4" w:space="0"/>
              <w:right w:val="single" w:color="auto" w:sz="4" w:space="0"/>
            </w:tcBorders>
            <w:vAlign w:val="center"/>
          </w:tcPr>
          <w:p w14:paraId="1AFDFF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878F4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47567F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92C2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9ED7CF">
            <w:pPr>
              <w:widowControl/>
              <w:jc w:val="center"/>
              <w:rPr>
                <w:rFonts w:hint="eastAsia" w:ascii="宋体" w:hAnsi="宋体" w:eastAsia="宋体" w:cs="宋体"/>
                <w:color w:val="000000"/>
                <w:sz w:val="18"/>
                <w:szCs w:val="18"/>
              </w:rPr>
            </w:pPr>
          </w:p>
        </w:tc>
      </w:tr>
      <w:tr w14:paraId="0C9693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2DC42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B8AD14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A98EB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94.32分</w:t>
            </w:r>
          </w:p>
        </w:tc>
        <w:tc>
          <w:tcPr>
            <w:tcW w:w="1984" w:type="dxa"/>
            <w:gridSpan w:val="2"/>
            <w:tcBorders>
              <w:top w:val="single" w:color="auto" w:sz="4" w:space="0"/>
              <w:left w:val="nil"/>
              <w:bottom w:val="single" w:color="auto" w:sz="4" w:space="0"/>
              <w:right w:val="single" w:color="auto" w:sz="4" w:space="0"/>
            </w:tcBorders>
            <w:vAlign w:val="center"/>
          </w:tcPr>
          <w:p w14:paraId="698E9394">
            <w:pPr>
              <w:widowControl/>
              <w:jc w:val="center"/>
              <w:rPr>
                <w:rFonts w:hint="eastAsia" w:ascii="宋体" w:hAnsi="宋体" w:eastAsia="宋体" w:cs="宋体"/>
                <w:b/>
                <w:bCs/>
                <w:color w:val="000000"/>
                <w:sz w:val="18"/>
                <w:szCs w:val="18"/>
              </w:rPr>
            </w:pPr>
          </w:p>
        </w:tc>
      </w:tr>
    </w:tbl>
    <w:p w14:paraId="7875C35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952AEF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C7F6CD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96675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0A339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73B220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3A557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3CFF0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73AF270">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D57E6D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乌鲁木齐市第六十一中学</w:t>
            </w:r>
          </w:p>
        </w:tc>
      </w:tr>
      <w:tr w14:paraId="7A791C5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20095D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B5DD2D3">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2BF8B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5FBDE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10E8C5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3D45E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FF23D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21935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2DB87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2EABA8">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B96F6A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A0832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0.90</w:t>
            </w:r>
          </w:p>
        </w:tc>
        <w:tc>
          <w:tcPr>
            <w:tcW w:w="1125" w:type="dxa"/>
            <w:tcBorders>
              <w:top w:val="nil"/>
              <w:left w:val="nil"/>
              <w:bottom w:val="single" w:color="auto" w:sz="4" w:space="0"/>
              <w:right w:val="single" w:color="auto" w:sz="4" w:space="0"/>
            </w:tcBorders>
            <w:noWrap/>
            <w:vAlign w:val="center"/>
          </w:tcPr>
          <w:p w14:paraId="3277EE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0.90</w:t>
            </w:r>
          </w:p>
        </w:tc>
        <w:tc>
          <w:tcPr>
            <w:tcW w:w="1275" w:type="dxa"/>
            <w:gridSpan w:val="2"/>
            <w:tcBorders>
              <w:top w:val="single" w:color="auto" w:sz="4" w:space="0"/>
              <w:left w:val="nil"/>
              <w:bottom w:val="single" w:color="auto" w:sz="4" w:space="0"/>
              <w:right w:val="single" w:color="000000" w:sz="4" w:space="0"/>
            </w:tcBorders>
            <w:noWrap/>
            <w:vAlign w:val="center"/>
          </w:tcPr>
          <w:p w14:paraId="2C295C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0.90</w:t>
            </w:r>
          </w:p>
        </w:tc>
        <w:tc>
          <w:tcPr>
            <w:tcW w:w="1134" w:type="dxa"/>
            <w:gridSpan w:val="2"/>
            <w:tcBorders>
              <w:top w:val="single" w:color="auto" w:sz="4" w:space="0"/>
              <w:left w:val="nil"/>
              <w:bottom w:val="single" w:color="auto" w:sz="4" w:space="0"/>
              <w:right w:val="single" w:color="auto" w:sz="4" w:space="0"/>
            </w:tcBorders>
            <w:vAlign w:val="center"/>
          </w:tcPr>
          <w:p w14:paraId="04CD41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EBCC2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DF9E7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E22AB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86003B">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399A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BB3BC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w:t>
            </w:r>
          </w:p>
        </w:tc>
        <w:tc>
          <w:tcPr>
            <w:tcW w:w="1125" w:type="dxa"/>
            <w:tcBorders>
              <w:top w:val="nil"/>
              <w:left w:val="nil"/>
              <w:bottom w:val="single" w:color="auto" w:sz="4" w:space="0"/>
              <w:right w:val="single" w:color="auto" w:sz="4" w:space="0"/>
            </w:tcBorders>
            <w:noWrap/>
            <w:vAlign w:val="center"/>
          </w:tcPr>
          <w:p w14:paraId="3492D7B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w:t>
            </w:r>
          </w:p>
        </w:tc>
        <w:tc>
          <w:tcPr>
            <w:tcW w:w="1275" w:type="dxa"/>
            <w:gridSpan w:val="2"/>
            <w:tcBorders>
              <w:top w:val="single" w:color="auto" w:sz="4" w:space="0"/>
              <w:left w:val="nil"/>
              <w:bottom w:val="single" w:color="auto" w:sz="4" w:space="0"/>
              <w:right w:val="single" w:color="000000" w:sz="4" w:space="0"/>
            </w:tcBorders>
            <w:noWrap/>
            <w:vAlign w:val="center"/>
          </w:tcPr>
          <w:p w14:paraId="1CFAFF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0.56</w:t>
            </w:r>
          </w:p>
        </w:tc>
        <w:tc>
          <w:tcPr>
            <w:tcW w:w="1134" w:type="dxa"/>
            <w:gridSpan w:val="2"/>
            <w:tcBorders>
              <w:top w:val="single" w:color="auto" w:sz="4" w:space="0"/>
              <w:left w:val="nil"/>
              <w:bottom w:val="single" w:color="auto" w:sz="4" w:space="0"/>
              <w:right w:val="single" w:color="auto" w:sz="4" w:space="0"/>
            </w:tcBorders>
            <w:vAlign w:val="center"/>
          </w:tcPr>
          <w:p w14:paraId="585205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681E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2E75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5EC66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F7775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621DD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2A4A3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125" w:type="dxa"/>
            <w:tcBorders>
              <w:top w:val="nil"/>
              <w:left w:val="nil"/>
              <w:bottom w:val="single" w:color="auto" w:sz="4" w:space="0"/>
              <w:right w:val="single" w:color="auto" w:sz="4" w:space="0"/>
            </w:tcBorders>
            <w:noWrap/>
            <w:vAlign w:val="center"/>
          </w:tcPr>
          <w:p w14:paraId="54A8D2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275" w:type="dxa"/>
            <w:gridSpan w:val="2"/>
            <w:tcBorders>
              <w:top w:val="single" w:color="auto" w:sz="4" w:space="0"/>
              <w:left w:val="nil"/>
              <w:bottom w:val="single" w:color="auto" w:sz="4" w:space="0"/>
              <w:right w:val="single" w:color="000000" w:sz="4" w:space="0"/>
            </w:tcBorders>
            <w:noWrap/>
            <w:vAlign w:val="center"/>
          </w:tcPr>
          <w:p w14:paraId="4443C27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134" w:type="dxa"/>
            <w:gridSpan w:val="2"/>
            <w:tcBorders>
              <w:top w:val="single" w:color="auto" w:sz="4" w:space="0"/>
              <w:left w:val="nil"/>
              <w:bottom w:val="single" w:color="auto" w:sz="4" w:space="0"/>
              <w:right w:val="single" w:color="auto" w:sz="4" w:space="0"/>
            </w:tcBorders>
            <w:vAlign w:val="center"/>
          </w:tcPr>
          <w:p w14:paraId="7C162B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578C2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A869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49E9E4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0C1B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391C7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FB986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933377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9BE254">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F2778A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此项目主要内容为：按标准向我校1名代课教师发放工资及社保，此项目的实施可以提升我校教师队伍稳定性，有效保障学校正常运行，改善学校资源短缺，人手不够的问题。</w:t>
            </w:r>
          </w:p>
        </w:tc>
        <w:tc>
          <w:tcPr>
            <w:tcW w:w="4677" w:type="dxa"/>
            <w:gridSpan w:val="7"/>
            <w:tcBorders>
              <w:top w:val="single" w:color="auto" w:sz="4" w:space="0"/>
              <w:left w:val="nil"/>
              <w:bottom w:val="single" w:color="auto" w:sz="4" w:space="0"/>
              <w:right w:val="single" w:color="000000" w:sz="4" w:space="0"/>
            </w:tcBorders>
          </w:tcPr>
          <w:p w14:paraId="63A0805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发放4名代课教师工资及社保，改善代课教师生活。提升我校教师队伍稳定性。</w:t>
            </w:r>
          </w:p>
        </w:tc>
      </w:tr>
      <w:tr w14:paraId="4AD6F8F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48F1C38">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190F9E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59A64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9242A5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5F01A5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5F52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855699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267000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7291A4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E5AB2C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C4A79A">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1C77B8D">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3F0DE2">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F858BC">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B892B78">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1DA17E3">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54950EF">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E5F0A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FCE25F9">
            <w:pPr>
              <w:widowControl/>
              <w:jc w:val="left"/>
              <w:rPr>
                <w:rFonts w:hint="eastAsia" w:ascii="宋体" w:hAnsi="宋体" w:eastAsia="宋体" w:cs="宋体"/>
                <w:color w:val="000000"/>
                <w:sz w:val="18"/>
                <w:szCs w:val="18"/>
              </w:rPr>
            </w:pPr>
          </w:p>
        </w:tc>
      </w:tr>
      <w:tr w14:paraId="3868031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12C173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33469D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BAEED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26AD0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代课教师人次</w:t>
            </w:r>
          </w:p>
        </w:tc>
        <w:tc>
          <w:tcPr>
            <w:tcW w:w="1125" w:type="dxa"/>
            <w:tcBorders>
              <w:top w:val="nil"/>
              <w:left w:val="nil"/>
              <w:bottom w:val="single" w:color="auto" w:sz="4" w:space="0"/>
              <w:right w:val="single" w:color="auto" w:sz="4" w:space="0"/>
            </w:tcBorders>
            <w:vAlign w:val="center"/>
          </w:tcPr>
          <w:p w14:paraId="1D1ACF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378665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75A8E5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BB75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81A06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当时预算指标为1人，实际代课人数为4人。</w:t>
            </w:r>
          </w:p>
        </w:tc>
      </w:tr>
      <w:tr w14:paraId="5F6A14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F434BD">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EB256B0">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4295E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BBC29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代课教师上岗率</w:t>
            </w:r>
          </w:p>
        </w:tc>
        <w:tc>
          <w:tcPr>
            <w:tcW w:w="1125" w:type="dxa"/>
            <w:tcBorders>
              <w:top w:val="nil"/>
              <w:left w:val="nil"/>
              <w:bottom w:val="single" w:color="auto" w:sz="4" w:space="0"/>
              <w:right w:val="single" w:color="auto" w:sz="4" w:space="0"/>
            </w:tcBorders>
            <w:vAlign w:val="center"/>
          </w:tcPr>
          <w:p w14:paraId="6CD8B9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9C446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E5A12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FF46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87C5A0C">
            <w:pPr>
              <w:widowControl/>
              <w:jc w:val="center"/>
              <w:rPr>
                <w:rFonts w:hint="eastAsia" w:ascii="宋体" w:hAnsi="宋体" w:eastAsia="宋体" w:cs="宋体"/>
                <w:color w:val="000000"/>
                <w:sz w:val="18"/>
                <w:szCs w:val="18"/>
              </w:rPr>
            </w:pPr>
          </w:p>
        </w:tc>
      </w:tr>
      <w:tr w14:paraId="76F48F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53382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79428B">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97158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DB3ECE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工资发放准确率</w:t>
            </w:r>
          </w:p>
        </w:tc>
        <w:tc>
          <w:tcPr>
            <w:tcW w:w="1125" w:type="dxa"/>
            <w:tcBorders>
              <w:top w:val="nil"/>
              <w:left w:val="nil"/>
              <w:bottom w:val="single" w:color="auto" w:sz="4" w:space="0"/>
              <w:right w:val="single" w:color="auto" w:sz="4" w:space="0"/>
            </w:tcBorders>
            <w:vAlign w:val="center"/>
          </w:tcPr>
          <w:p w14:paraId="3F7D27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A1BE0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8A123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FBDF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C3C3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指标设置过于保守，实际发放准确</w:t>
            </w:r>
          </w:p>
        </w:tc>
      </w:tr>
      <w:tr w14:paraId="60E299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0C9970">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0E111E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CC49F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C3F31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工资发放及时率</w:t>
            </w:r>
          </w:p>
        </w:tc>
        <w:tc>
          <w:tcPr>
            <w:tcW w:w="1125" w:type="dxa"/>
            <w:tcBorders>
              <w:top w:val="nil"/>
              <w:left w:val="nil"/>
              <w:bottom w:val="single" w:color="auto" w:sz="4" w:space="0"/>
              <w:right w:val="single" w:color="auto" w:sz="4" w:space="0"/>
            </w:tcBorders>
            <w:vAlign w:val="center"/>
          </w:tcPr>
          <w:p w14:paraId="6C827C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387C8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A5206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017B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517F9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指标设置过于保守，实际发放及时</w:t>
            </w:r>
          </w:p>
        </w:tc>
      </w:tr>
      <w:tr w14:paraId="658B96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A5E2D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4F575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6550E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0DA77B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20CC64D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&lt;=4200元/人/月</w:t>
            </w:r>
          </w:p>
        </w:tc>
        <w:tc>
          <w:tcPr>
            <w:tcW w:w="1229" w:type="dxa"/>
            <w:tcBorders>
              <w:top w:val="nil"/>
              <w:left w:val="nil"/>
              <w:bottom w:val="single" w:color="auto" w:sz="4" w:space="0"/>
              <w:right w:val="single" w:color="auto" w:sz="4" w:space="0"/>
            </w:tcBorders>
            <w:vAlign w:val="center"/>
          </w:tcPr>
          <w:p w14:paraId="5FE3BE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3362.09元/人/月</w:t>
            </w:r>
          </w:p>
        </w:tc>
        <w:tc>
          <w:tcPr>
            <w:tcW w:w="755" w:type="dxa"/>
            <w:gridSpan w:val="2"/>
            <w:tcBorders>
              <w:top w:val="single" w:color="auto" w:sz="4" w:space="0"/>
              <w:left w:val="nil"/>
              <w:bottom w:val="single" w:color="auto" w:sz="4" w:space="0"/>
              <w:right w:val="single" w:color="000000" w:sz="4" w:space="0"/>
            </w:tcBorders>
            <w:vAlign w:val="center"/>
          </w:tcPr>
          <w:p w14:paraId="545EE7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D480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16.01</w:t>
            </w:r>
          </w:p>
        </w:tc>
        <w:tc>
          <w:tcPr>
            <w:tcW w:w="1984" w:type="dxa"/>
            <w:gridSpan w:val="2"/>
            <w:tcBorders>
              <w:top w:val="single" w:color="auto" w:sz="4" w:space="0"/>
              <w:left w:val="nil"/>
              <w:bottom w:val="single" w:color="auto" w:sz="4" w:space="0"/>
              <w:right w:val="single" w:color="auto" w:sz="4" w:space="0"/>
            </w:tcBorders>
            <w:vAlign w:val="center"/>
          </w:tcPr>
          <w:p w14:paraId="2846D5C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代课教师工资按照事实发放标准执行</w:t>
            </w:r>
          </w:p>
        </w:tc>
      </w:tr>
      <w:tr w14:paraId="4815A6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6183B7">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8B6EA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FCB6F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2A7E2E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提高社会服务发展能力</w:t>
            </w:r>
          </w:p>
        </w:tc>
        <w:tc>
          <w:tcPr>
            <w:tcW w:w="1125" w:type="dxa"/>
            <w:tcBorders>
              <w:top w:val="nil"/>
              <w:left w:val="nil"/>
              <w:bottom w:val="single" w:color="auto" w:sz="4" w:space="0"/>
              <w:right w:val="single" w:color="auto" w:sz="4" w:space="0"/>
            </w:tcBorders>
            <w:vAlign w:val="center"/>
          </w:tcPr>
          <w:p w14:paraId="3DC5D7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8A3C3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42E55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2775B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4F3953E">
            <w:pPr>
              <w:widowControl/>
              <w:jc w:val="center"/>
              <w:rPr>
                <w:rFonts w:hint="eastAsia" w:ascii="宋体" w:hAnsi="宋体" w:eastAsia="宋体" w:cs="宋体"/>
                <w:color w:val="000000"/>
                <w:sz w:val="18"/>
                <w:szCs w:val="18"/>
              </w:rPr>
            </w:pPr>
          </w:p>
        </w:tc>
      </w:tr>
      <w:tr w14:paraId="2D7B46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8233A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7B4609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285E09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E42111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保障我校教师队伍稳定性</w:t>
            </w:r>
          </w:p>
        </w:tc>
        <w:tc>
          <w:tcPr>
            <w:tcW w:w="1125" w:type="dxa"/>
            <w:tcBorders>
              <w:top w:val="nil"/>
              <w:left w:val="nil"/>
              <w:bottom w:val="single" w:color="auto" w:sz="4" w:space="0"/>
              <w:right w:val="single" w:color="auto" w:sz="4" w:space="0"/>
            </w:tcBorders>
            <w:vAlign w:val="center"/>
          </w:tcPr>
          <w:p w14:paraId="42CA42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E5C29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D2EC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1A782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7299F20">
            <w:pPr>
              <w:widowControl/>
              <w:jc w:val="center"/>
              <w:rPr>
                <w:rFonts w:hint="eastAsia" w:ascii="宋体" w:hAnsi="宋体" w:eastAsia="宋体" w:cs="宋体"/>
                <w:color w:val="000000"/>
                <w:sz w:val="18"/>
                <w:szCs w:val="18"/>
              </w:rPr>
            </w:pPr>
          </w:p>
        </w:tc>
      </w:tr>
      <w:tr w14:paraId="23158A7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17F45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040E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72F8F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96.01分</w:t>
            </w:r>
          </w:p>
        </w:tc>
        <w:tc>
          <w:tcPr>
            <w:tcW w:w="1984" w:type="dxa"/>
            <w:gridSpan w:val="2"/>
            <w:tcBorders>
              <w:top w:val="single" w:color="auto" w:sz="4" w:space="0"/>
              <w:left w:val="nil"/>
              <w:bottom w:val="single" w:color="auto" w:sz="4" w:space="0"/>
              <w:right w:val="single" w:color="auto" w:sz="4" w:space="0"/>
            </w:tcBorders>
            <w:vAlign w:val="center"/>
          </w:tcPr>
          <w:p w14:paraId="44FD52BD">
            <w:pPr>
              <w:widowControl/>
              <w:jc w:val="center"/>
              <w:rPr>
                <w:rFonts w:hint="eastAsia" w:ascii="宋体" w:hAnsi="宋体" w:eastAsia="宋体" w:cs="宋体"/>
                <w:b/>
                <w:bCs/>
                <w:color w:val="000000"/>
                <w:sz w:val="18"/>
                <w:szCs w:val="18"/>
              </w:rPr>
            </w:pPr>
          </w:p>
        </w:tc>
      </w:tr>
    </w:tbl>
    <w:p w14:paraId="25C2EA5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14B257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6A4A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8B2711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67CF1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教科文—2024年财政专户</w:t>
            </w:r>
          </w:p>
        </w:tc>
      </w:tr>
      <w:tr w14:paraId="577126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B538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1942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01E39C3">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E38C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乌鲁木齐市第六十一中学</w:t>
            </w:r>
          </w:p>
        </w:tc>
      </w:tr>
      <w:tr w14:paraId="65FB60B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068F6B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CD1FEC6">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4D0394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A64A22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4DCAB9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51F95B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72BEC7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234D8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14E46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2EDDC3">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FCCDAD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7CABA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125" w:type="dxa"/>
            <w:tcBorders>
              <w:top w:val="nil"/>
              <w:left w:val="nil"/>
              <w:bottom w:val="single" w:color="auto" w:sz="4" w:space="0"/>
              <w:right w:val="single" w:color="auto" w:sz="4" w:space="0"/>
            </w:tcBorders>
            <w:noWrap/>
            <w:vAlign w:val="center"/>
          </w:tcPr>
          <w:p w14:paraId="7AD607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gridSpan w:val="2"/>
            <w:tcBorders>
              <w:top w:val="single" w:color="auto" w:sz="4" w:space="0"/>
              <w:left w:val="nil"/>
              <w:bottom w:val="single" w:color="auto" w:sz="4" w:space="0"/>
              <w:right w:val="single" w:color="000000" w:sz="4" w:space="0"/>
            </w:tcBorders>
            <w:noWrap/>
            <w:vAlign w:val="center"/>
          </w:tcPr>
          <w:p w14:paraId="37F9E7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81.24</w:t>
            </w:r>
          </w:p>
        </w:tc>
        <w:tc>
          <w:tcPr>
            <w:tcW w:w="1134" w:type="dxa"/>
            <w:gridSpan w:val="2"/>
            <w:tcBorders>
              <w:top w:val="single" w:color="auto" w:sz="4" w:space="0"/>
              <w:left w:val="nil"/>
              <w:bottom w:val="single" w:color="auto" w:sz="4" w:space="0"/>
              <w:right w:val="single" w:color="auto" w:sz="4" w:space="0"/>
            </w:tcBorders>
            <w:vAlign w:val="center"/>
          </w:tcPr>
          <w:p w14:paraId="1F2F10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46060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81.24%</w:t>
            </w:r>
          </w:p>
        </w:tc>
        <w:tc>
          <w:tcPr>
            <w:tcW w:w="1275" w:type="dxa"/>
            <w:tcBorders>
              <w:top w:val="nil"/>
              <w:left w:val="nil"/>
              <w:bottom w:val="single" w:color="auto" w:sz="4" w:space="0"/>
              <w:right w:val="single" w:color="auto" w:sz="4" w:space="0"/>
            </w:tcBorders>
            <w:vAlign w:val="center"/>
          </w:tcPr>
          <w:p w14:paraId="62165B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8.12分</w:t>
            </w:r>
          </w:p>
        </w:tc>
      </w:tr>
      <w:tr w14:paraId="563DAD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DE9CD8">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7CA3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E577B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84A534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9A53C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33822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8D581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2BFE5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ACF3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613A3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B3D0E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60433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125" w:type="dxa"/>
            <w:tcBorders>
              <w:top w:val="nil"/>
              <w:left w:val="nil"/>
              <w:bottom w:val="single" w:color="auto" w:sz="4" w:space="0"/>
              <w:right w:val="single" w:color="auto" w:sz="4" w:space="0"/>
            </w:tcBorders>
            <w:noWrap/>
            <w:vAlign w:val="center"/>
          </w:tcPr>
          <w:p w14:paraId="6CEB67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gridSpan w:val="2"/>
            <w:tcBorders>
              <w:top w:val="single" w:color="auto" w:sz="4" w:space="0"/>
              <w:left w:val="nil"/>
              <w:bottom w:val="single" w:color="auto" w:sz="4" w:space="0"/>
              <w:right w:val="single" w:color="000000" w:sz="4" w:space="0"/>
            </w:tcBorders>
            <w:noWrap/>
            <w:vAlign w:val="center"/>
          </w:tcPr>
          <w:p w14:paraId="1D4DE7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81.24</w:t>
            </w:r>
          </w:p>
        </w:tc>
        <w:tc>
          <w:tcPr>
            <w:tcW w:w="1134" w:type="dxa"/>
            <w:gridSpan w:val="2"/>
            <w:tcBorders>
              <w:top w:val="single" w:color="auto" w:sz="4" w:space="0"/>
              <w:left w:val="nil"/>
              <w:bottom w:val="single" w:color="auto" w:sz="4" w:space="0"/>
              <w:right w:val="single" w:color="auto" w:sz="4" w:space="0"/>
            </w:tcBorders>
            <w:vAlign w:val="center"/>
          </w:tcPr>
          <w:p w14:paraId="7C29CD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7E3C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C182A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57BB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9D7F2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B1D194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997AC7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89FBC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2842B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8447D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该项目经费用于弥补公用经费不足，维持学校日常运转支出，有效改善我校教学环境。</w:t>
            </w:r>
          </w:p>
        </w:tc>
        <w:tc>
          <w:tcPr>
            <w:tcW w:w="4677" w:type="dxa"/>
            <w:gridSpan w:val="7"/>
            <w:tcBorders>
              <w:top w:val="single" w:color="auto" w:sz="4" w:space="0"/>
              <w:left w:val="nil"/>
              <w:bottom w:val="single" w:color="auto" w:sz="4" w:space="0"/>
              <w:right w:val="single" w:color="000000" w:sz="4" w:space="0"/>
            </w:tcBorders>
          </w:tcPr>
          <w:p w14:paraId="779E47B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全年实际执行金额为81.24万元。用于各类公用支出。</w:t>
            </w:r>
          </w:p>
        </w:tc>
      </w:tr>
      <w:tr w14:paraId="753CB45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27CFFB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A155B5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B2D2D6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F47E2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C50D9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9BD85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DFB104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05353A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4B89F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7AF94A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19BCC1">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E54BD66">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994D7D">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D15417">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39BEE58">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64D7C90">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C97C72">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6E502F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85DB11D">
            <w:pPr>
              <w:widowControl/>
              <w:jc w:val="left"/>
              <w:rPr>
                <w:rFonts w:hint="eastAsia" w:ascii="宋体" w:hAnsi="宋体" w:eastAsia="宋体" w:cs="宋体"/>
                <w:color w:val="000000"/>
                <w:sz w:val="18"/>
                <w:szCs w:val="18"/>
              </w:rPr>
            </w:pPr>
          </w:p>
        </w:tc>
      </w:tr>
      <w:tr w14:paraId="4B2F0C9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BC6B7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3F6751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24CDF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13FA40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住宿生人数</w:t>
            </w:r>
          </w:p>
        </w:tc>
        <w:tc>
          <w:tcPr>
            <w:tcW w:w="1125" w:type="dxa"/>
            <w:tcBorders>
              <w:top w:val="nil"/>
              <w:left w:val="nil"/>
              <w:bottom w:val="single" w:color="auto" w:sz="4" w:space="0"/>
              <w:right w:val="single" w:color="auto" w:sz="4" w:space="0"/>
            </w:tcBorders>
            <w:vAlign w:val="center"/>
          </w:tcPr>
          <w:p w14:paraId="529A68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&gt;=1500人</w:t>
            </w:r>
          </w:p>
        </w:tc>
        <w:tc>
          <w:tcPr>
            <w:tcW w:w="1229" w:type="dxa"/>
            <w:tcBorders>
              <w:top w:val="nil"/>
              <w:left w:val="nil"/>
              <w:bottom w:val="single" w:color="auto" w:sz="4" w:space="0"/>
              <w:right w:val="single" w:color="auto" w:sz="4" w:space="0"/>
            </w:tcBorders>
            <w:vAlign w:val="center"/>
          </w:tcPr>
          <w:p w14:paraId="138872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1500人</w:t>
            </w:r>
          </w:p>
        </w:tc>
        <w:tc>
          <w:tcPr>
            <w:tcW w:w="755" w:type="dxa"/>
            <w:gridSpan w:val="2"/>
            <w:tcBorders>
              <w:top w:val="single" w:color="auto" w:sz="4" w:space="0"/>
              <w:left w:val="nil"/>
              <w:bottom w:val="single" w:color="auto" w:sz="4" w:space="0"/>
              <w:right w:val="single" w:color="000000" w:sz="4" w:space="0"/>
            </w:tcBorders>
            <w:vAlign w:val="center"/>
          </w:tcPr>
          <w:p w14:paraId="08EAC2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0CA4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54B9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由于学生人数下降，造成本年财政专户收入减少，未完成预算指标</w:t>
            </w:r>
          </w:p>
        </w:tc>
      </w:tr>
      <w:tr w14:paraId="62BD55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356C41">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0C6B8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656B837">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BD3FCB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宿舍楼楼栋</w:t>
            </w:r>
          </w:p>
        </w:tc>
        <w:tc>
          <w:tcPr>
            <w:tcW w:w="1125" w:type="dxa"/>
            <w:tcBorders>
              <w:top w:val="nil"/>
              <w:left w:val="nil"/>
              <w:bottom w:val="single" w:color="auto" w:sz="4" w:space="0"/>
              <w:right w:val="single" w:color="auto" w:sz="4" w:space="0"/>
            </w:tcBorders>
            <w:vAlign w:val="center"/>
          </w:tcPr>
          <w:p w14:paraId="40C489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=2栋</w:t>
            </w:r>
          </w:p>
        </w:tc>
        <w:tc>
          <w:tcPr>
            <w:tcW w:w="1229" w:type="dxa"/>
            <w:tcBorders>
              <w:top w:val="nil"/>
              <w:left w:val="nil"/>
              <w:bottom w:val="single" w:color="auto" w:sz="4" w:space="0"/>
              <w:right w:val="single" w:color="auto" w:sz="4" w:space="0"/>
            </w:tcBorders>
            <w:vAlign w:val="center"/>
          </w:tcPr>
          <w:p w14:paraId="60E304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2栋</w:t>
            </w:r>
          </w:p>
        </w:tc>
        <w:tc>
          <w:tcPr>
            <w:tcW w:w="755" w:type="dxa"/>
            <w:gridSpan w:val="2"/>
            <w:tcBorders>
              <w:top w:val="single" w:color="auto" w:sz="4" w:space="0"/>
              <w:left w:val="nil"/>
              <w:bottom w:val="single" w:color="auto" w:sz="4" w:space="0"/>
              <w:right w:val="single" w:color="000000" w:sz="4" w:space="0"/>
            </w:tcBorders>
            <w:vAlign w:val="center"/>
          </w:tcPr>
          <w:p w14:paraId="494E59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FACA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B16F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由于学生人数下降，造成本年财政专户收入减少，未完成预</w:t>
            </w:r>
          </w:p>
        </w:tc>
      </w:tr>
      <w:tr w14:paraId="0CFBEF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53528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EFD72D1">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3D857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9E1B09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0D41C9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5E13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EFB7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4CC9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8D74CC">
            <w:pPr>
              <w:widowControl/>
              <w:jc w:val="center"/>
              <w:rPr>
                <w:rFonts w:hint="eastAsia" w:ascii="宋体" w:hAnsi="宋体" w:eastAsia="宋体" w:cs="宋体"/>
                <w:color w:val="000000"/>
                <w:sz w:val="18"/>
                <w:szCs w:val="18"/>
              </w:rPr>
            </w:pPr>
          </w:p>
        </w:tc>
      </w:tr>
      <w:tr w14:paraId="55B95A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AE06A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4D988C0">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8C9021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21103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预算执行率</w:t>
            </w:r>
          </w:p>
        </w:tc>
        <w:tc>
          <w:tcPr>
            <w:tcW w:w="1125" w:type="dxa"/>
            <w:tcBorders>
              <w:top w:val="nil"/>
              <w:left w:val="nil"/>
              <w:bottom w:val="single" w:color="auto" w:sz="4" w:space="0"/>
              <w:right w:val="single" w:color="auto" w:sz="4" w:space="0"/>
            </w:tcBorders>
            <w:vAlign w:val="center"/>
          </w:tcPr>
          <w:p w14:paraId="31A2F6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050FA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755" w:type="dxa"/>
            <w:gridSpan w:val="2"/>
            <w:tcBorders>
              <w:top w:val="single" w:color="auto" w:sz="4" w:space="0"/>
              <w:left w:val="nil"/>
              <w:bottom w:val="single" w:color="auto" w:sz="4" w:space="0"/>
              <w:right w:val="single" w:color="000000" w:sz="4" w:space="0"/>
            </w:tcBorders>
            <w:vAlign w:val="center"/>
          </w:tcPr>
          <w:p w14:paraId="4B963E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227BE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1984" w:type="dxa"/>
            <w:gridSpan w:val="2"/>
            <w:tcBorders>
              <w:top w:val="single" w:color="auto" w:sz="4" w:space="0"/>
              <w:left w:val="nil"/>
              <w:bottom w:val="single" w:color="auto" w:sz="4" w:space="0"/>
              <w:right w:val="single" w:color="auto" w:sz="4" w:space="0"/>
            </w:tcBorders>
            <w:vAlign w:val="center"/>
          </w:tcPr>
          <w:p w14:paraId="34072D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由于学生人数下降，造成本年财政专户收入减少，未完成预</w:t>
            </w:r>
          </w:p>
        </w:tc>
      </w:tr>
      <w:tr w14:paraId="7F85C1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72A7F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180B9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A8942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37CD98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生均住宿费标准</w:t>
            </w:r>
          </w:p>
        </w:tc>
        <w:tc>
          <w:tcPr>
            <w:tcW w:w="1125" w:type="dxa"/>
            <w:tcBorders>
              <w:top w:val="nil"/>
              <w:left w:val="nil"/>
              <w:bottom w:val="single" w:color="auto" w:sz="4" w:space="0"/>
              <w:right w:val="single" w:color="auto" w:sz="4" w:space="0"/>
            </w:tcBorders>
            <w:vAlign w:val="center"/>
          </w:tcPr>
          <w:p w14:paraId="5188D9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=300元/生/学期</w:t>
            </w:r>
          </w:p>
        </w:tc>
        <w:tc>
          <w:tcPr>
            <w:tcW w:w="1229" w:type="dxa"/>
            <w:tcBorders>
              <w:top w:val="nil"/>
              <w:left w:val="nil"/>
              <w:bottom w:val="single" w:color="auto" w:sz="4" w:space="0"/>
              <w:right w:val="single" w:color="auto" w:sz="4" w:space="0"/>
            </w:tcBorders>
            <w:vAlign w:val="center"/>
          </w:tcPr>
          <w:p w14:paraId="2D9E83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300元/生/学期</w:t>
            </w:r>
          </w:p>
        </w:tc>
        <w:tc>
          <w:tcPr>
            <w:tcW w:w="755" w:type="dxa"/>
            <w:gridSpan w:val="2"/>
            <w:tcBorders>
              <w:top w:val="single" w:color="auto" w:sz="4" w:space="0"/>
              <w:left w:val="nil"/>
              <w:bottom w:val="single" w:color="auto" w:sz="4" w:space="0"/>
              <w:right w:val="single" w:color="000000" w:sz="4" w:space="0"/>
            </w:tcBorders>
            <w:vAlign w:val="center"/>
          </w:tcPr>
          <w:p w14:paraId="00B14B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97321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18F4D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由于学生人数下降，造成本年财政专户收入减少，未完成预</w:t>
            </w:r>
          </w:p>
        </w:tc>
      </w:tr>
      <w:tr w14:paraId="018CAF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489FB0">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A11FF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B4E38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F713F5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改善学校校园环境</w:t>
            </w:r>
          </w:p>
        </w:tc>
        <w:tc>
          <w:tcPr>
            <w:tcW w:w="1125" w:type="dxa"/>
            <w:tcBorders>
              <w:top w:val="nil"/>
              <w:left w:val="nil"/>
              <w:bottom w:val="single" w:color="auto" w:sz="4" w:space="0"/>
              <w:right w:val="single" w:color="auto" w:sz="4" w:space="0"/>
            </w:tcBorders>
            <w:vAlign w:val="center"/>
          </w:tcPr>
          <w:p w14:paraId="5A00A9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3C8309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C14D1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A296C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ADE36D9">
            <w:pPr>
              <w:widowControl/>
              <w:jc w:val="center"/>
              <w:rPr>
                <w:rFonts w:hint="eastAsia" w:ascii="宋体" w:hAnsi="宋体" w:eastAsia="宋体" w:cs="宋体"/>
                <w:color w:val="000000"/>
                <w:sz w:val="18"/>
                <w:szCs w:val="18"/>
              </w:rPr>
            </w:pPr>
          </w:p>
        </w:tc>
      </w:tr>
      <w:tr w14:paraId="3CC567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30B0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40FAA7B">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F3E1E0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051FF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提升教育质量</w:t>
            </w:r>
          </w:p>
        </w:tc>
        <w:tc>
          <w:tcPr>
            <w:tcW w:w="1125" w:type="dxa"/>
            <w:tcBorders>
              <w:top w:val="nil"/>
              <w:left w:val="nil"/>
              <w:bottom w:val="single" w:color="auto" w:sz="4" w:space="0"/>
              <w:right w:val="single" w:color="auto" w:sz="4" w:space="0"/>
            </w:tcBorders>
            <w:vAlign w:val="center"/>
          </w:tcPr>
          <w:p w14:paraId="0737F8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08EDF7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4678D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097089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DAC4255">
            <w:pPr>
              <w:widowControl/>
              <w:jc w:val="center"/>
              <w:rPr>
                <w:rFonts w:hint="eastAsia" w:ascii="宋体" w:hAnsi="宋体" w:eastAsia="宋体" w:cs="宋体"/>
                <w:color w:val="000000"/>
                <w:sz w:val="18"/>
                <w:szCs w:val="18"/>
              </w:rPr>
            </w:pPr>
          </w:p>
        </w:tc>
      </w:tr>
      <w:tr w14:paraId="5BC9D84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6069C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36F82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4D132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96.62分</w:t>
            </w:r>
          </w:p>
        </w:tc>
        <w:tc>
          <w:tcPr>
            <w:tcW w:w="1984" w:type="dxa"/>
            <w:gridSpan w:val="2"/>
            <w:tcBorders>
              <w:top w:val="single" w:color="auto" w:sz="4" w:space="0"/>
              <w:left w:val="nil"/>
              <w:bottom w:val="single" w:color="auto" w:sz="4" w:space="0"/>
              <w:right w:val="single" w:color="auto" w:sz="4" w:space="0"/>
            </w:tcBorders>
            <w:vAlign w:val="center"/>
          </w:tcPr>
          <w:p w14:paraId="7A1A67DF">
            <w:pPr>
              <w:widowControl/>
              <w:jc w:val="center"/>
              <w:rPr>
                <w:rFonts w:hint="eastAsia" w:ascii="宋体" w:hAnsi="宋体" w:eastAsia="宋体" w:cs="宋体"/>
                <w:b/>
                <w:bCs/>
                <w:color w:val="000000"/>
                <w:sz w:val="18"/>
                <w:szCs w:val="18"/>
              </w:rPr>
            </w:pPr>
          </w:p>
        </w:tc>
      </w:tr>
    </w:tbl>
    <w:p w14:paraId="24BF44E8">
      <w:pPr>
        <w:widowControl/>
        <w:ind w:firstLine="640" w:firstLineChars="200"/>
        <w:rPr>
          <w:rFonts w:ascii="仿宋_GB2312" w:eastAsia="仿宋_GB2312"/>
          <w:sz w:val="32"/>
          <w:szCs w:val="32"/>
        </w:rPr>
      </w:pPr>
    </w:p>
    <w:p w14:paraId="212EB05A">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736B8F5D">
      <w:pPr>
        <w:widowControl/>
        <w:ind w:firstLine="640" w:firstLineChars="200"/>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7E34D3CE">
      <w:pPr>
        <w:widowControl/>
      </w:pPr>
      <w:r>
        <w:rPr>
          <w:sz w:val="0"/>
          <w:szCs w:val="0"/>
        </w:rPr>
        <w:br w:type="page"/>
      </w:r>
    </w:p>
    <w:p w14:paraId="18EF96DC">
      <w:pPr>
        <w:widowControl/>
        <w:jc w:val="center"/>
        <w:outlineLvl w:val="0"/>
        <w:rPr>
          <w:rFonts w:ascii="黑体" w:eastAsia="黑体"/>
          <w:sz w:val="32"/>
          <w:szCs w:val="32"/>
        </w:rPr>
      </w:pPr>
      <w:r>
        <w:rPr>
          <w:rFonts w:ascii="黑体" w:eastAsia="黑体"/>
          <w:sz w:val="32"/>
          <w:szCs w:val="32"/>
        </w:rPr>
        <w:t>第三部分 专业名词解释</w:t>
      </w:r>
    </w:p>
    <w:p w14:paraId="11247C0F">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4A5F748">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2B90749">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CC85EFB">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A19E0D3">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C590ACF">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6C70F9A2">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17E6D12">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9FA9B3">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00850E8">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236779C">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C4C47E6">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9D35D14">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2E8AF2">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E1C314F">
      <w:pPr>
        <w:widowControl/>
      </w:pPr>
      <w:r>
        <w:rPr>
          <w:sz w:val="0"/>
          <w:szCs w:val="0"/>
        </w:rPr>
        <w:br w:type="page"/>
      </w:r>
    </w:p>
    <w:p w14:paraId="6ECE6F0B">
      <w:pPr>
        <w:widowControl/>
        <w:jc w:val="center"/>
        <w:outlineLvl w:val="0"/>
        <w:rPr>
          <w:rFonts w:ascii="黑体" w:eastAsia="黑体"/>
          <w:sz w:val="32"/>
          <w:szCs w:val="32"/>
        </w:rPr>
      </w:pPr>
      <w:r>
        <w:rPr>
          <w:rFonts w:ascii="黑体" w:eastAsia="黑体"/>
          <w:sz w:val="32"/>
          <w:szCs w:val="32"/>
        </w:rPr>
        <w:t>第四部分 部门决算报表（见附表）</w:t>
      </w:r>
    </w:p>
    <w:p w14:paraId="71DE50AB">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3AC9D949">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0CB8DBFB">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0013C534">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5D3E28FA">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61911CC">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A5E887B">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FC2DB5B">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2E3549C">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223DFB"/>
    <w:rsid w:val="000A38AD"/>
    <w:rsid w:val="00223DFB"/>
    <w:rsid w:val="00424710"/>
    <w:rsid w:val="009E600C"/>
    <w:rsid w:val="00AE13C3"/>
    <w:rsid w:val="0C220F90"/>
    <w:rsid w:val="0CB925AB"/>
    <w:rsid w:val="1019540C"/>
    <w:rsid w:val="11366A87"/>
    <w:rsid w:val="34441786"/>
    <w:rsid w:val="3ACD476D"/>
    <w:rsid w:val="3DF02037"/>
    <w:rsid w:val="4EA529C9"/>
    <w:rsid w:val="75AB6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6678</Words>
  <Characters>7725</Characters>
  <Lines>695</Lines>
  <Paragraphs>614</Paragraphs>
  <TotalTime>49</TotalTime>
  <ScaleCrop>false</ScaleCrop>
  <LinksUpToDate>false</LinksUpToDate>
  <CharactersWithSpaces>7733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2025-10-09T04:25:00Z</dcterms:created>
  <dc:creator>回上.LAPTOP-7R4U860U</dc:creator>
  <cp:lastModifiedBy>谢凤</cp:lastModifiedBy>
  <dcterms:modified xsi:type="dcterms:W3CDTF">2025-11-17T09:13:02Z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17A9908ED604470698D5B94C13BD3C07_12</vt:lpwstr>
  </property>
</Properties>
</file>