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951E6B">
      <w:pPr>
        <w:spacing w:after="0" w:line="240" w:lineRule="auto"/>
        <w:rPr>
          <w:rFonts w:ascii="宋体" w:eastAsia="宋体"/>
          <w:sz w:val="32"/>
          <w:szCs w:val="32"/>
        </w:rPr>
      </w:pPr>
    </w:p>
    <w:p w14:paraId="44BCA87E">
      <w:pPr>
        <w:spacing w:after="0" w:line="240" w:lineRule="auto"/>
        <w:rPr>
          <w:rFonts w:ascii="宋体" w:eastAsia="宋体"/>
          <w:sz w:val="44"/>
          <w:szCs w:val="44"/>
        </w:rPr>
      </w:pPr>
    </w:p>
    <w:p w14:paraId="1498B767">
      <w:pPr>
        <w:spacing w:after="0" w:line="240" w:lineRule="auto"/>
        <w:rPr>
          <w:rFonts w:ascii="宋体" w:eastAsia="宋体"/>
          <w:sz w:val="44"/>
          <w:szCs w:val="44"/>
        </w:rPr>
      </w:pPr>
    </w:p>
    <w:p w14:paraId="41C0A4CA">
      <w:pPr>
        <w:spacing w:after="0" w:line="240" w:lineRule="auto"/>
        <w:rPr>
          <w:rFonts w:ascii="宋体" w:eastAsia="宋体"/>
          <w:sz w:val="44"/>
          <w:szCs w:val="44"/>
        </w:rPr>
      </w:pPr>
    </w:p>
    <w:p w14:paraId="167E9FF8">
      <w:pPr>
        <w:spacing w:after="0" w:line="240" w:lineRule="auto"/>
        <w:jc w:val="center"/>
        <w:outlineLvl w:val="0"/>
        <w:rPr>
          <w:rFonts w:ascii="宋体" w:eastAsia="黑体"/>
          <w:sz w:val="44"/>
          <w:szCs w:val="44"/>
          <w:lang w:eastAsia="zh-CN"/>
        </w:rPr>
      </w:pPr>
      <w:r>
        <w:rPr>
          <w:rFonts w:ascii="宋体" w:eastAsia="黑体"/>
          <w:sz w:val="44"/>
          <w:szCs w:val="44"/>
          <w:lang w:eastAsia="zh-CN"/>
        </w:rPr>
        <w:t>乌鲁木齐市米东区供销合作社联合社</w:t>
      </w:r>
    </w:p>
    <w:p w14:paraId="12CBA49E">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29770BBB">
      <w:pPr>
        <w:rPr>
          <w:lang w:eastAsia="zh-CN"/>
        </w:rPr>
      </w:pPr>
      <w:r>
        <w:rPr>
          <w:sz w:val="0"/>
          <w:szCs w:val="0"/>
          <w:lang w:eastAsia="zh-CN"/>
        </w:rPr>
        <w:br w:type="page"/>
      </w:r>
    </w:p>
    <w:p w14:paraId="5709BF9A">
      <w:pPr>
        <w:spacing w:after="0" w:line="240" w:lineRule="auto"/>
        <w:jc w:val="center"/>
        <w:rPr>
          <w:rFonts w:ascii="黑体" w:eastAsia="黑体"/>
          <w:sz w:val="32"/>
          <w:szCs w:val="32"/>
          <w:lang w:eastAsia="zh-CN"/>
        </w:rPr>
      </w:pPr>
      <w:r>
        <w:rPr>
          <w:rFonts w:ascii="黑体" w:eastAsia="黑体"/>
          <w:b/>
          <w:sz w:val="32"/>
          <w:szCs w:val="32"/>
          <w:lang w:eastAsia="zh-CN"/>
        </w:rPr>
        <w:t>目  录</w:t>
      </w:r>
    </w:p>
    <w:p w14:paraId="2C085967">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575A91D1">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4898F11E">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2E66DED8">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3B7FE13B">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33F06954">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29058DA4">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5517830D">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020B6597">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0A44F97F">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132433FD">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6EEB39E1">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51185A8C">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2E567B03">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46B9E6E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64DAEF79">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3E21D577">
      <w:pPr>
        <w:spacing w:after="0" w:line="240" w:lineRule="auto"/>
        <w:rPr>
          <w:rFonts w:ascii="仿宋_GB2312" w:eastAsia="仿宋_GB2312"/>
          <w:sz w:val="32"/>
          <w:szCs w:val="32"/>
          <w:lang w:eastAsia="zh-CN"/>
        </w:rPr>
      </w:pPr>
      <w:r>
        <w:rPr>
          <w:rFonts w:ascii="仿宋_GB2312" w:eastAsia="仿宋_GB2312"/>
          <w:sz w:val="32"/>
          <w:szCs w:val="32"/>
          <w:lang w:eastAsia="zh-CN"/>
        </w:rPr>
        <w:t>​十、其他重要事项的情况说明</w:t>
      </w:r>
    </w:p>
    <w:p w14:paraId="33070E46">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30BB5751">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1E1187A2">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218D1716">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3CBB7A8A">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7F58C7E9">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0BFA364D">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1901D6CE">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769A6477">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1C0D1BF3">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3DF5F05A">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1F127394">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21E8C82A">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7A53AD19">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7724A0F9">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53406B43">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九、《财政拨款“三公”经费支出决算表》</w:t>
      </w:r>
    </w:p>
    <w:p w14:paraId="695FDE73">
      <w:pPr>
        <w:rPr>
          <w:lang w:eastAsia="zh-CN"/>
        </w:rPr>
      </w:pPr>
      <w:r>
        <w:rPr>
          <w:sz w:val="0"/>
          <w:szCs w:val="0"/>
          <w:lang w:eastAsia="zh-CN"/>
        </w:rPr>
        <w:br w:type="page"/>
      </w:r>
    </w:p>
    <w:p w14:paraId="1DE5DE50">
      <w:pPr>
        <w:spacing w:after="0" w:line="240" w:lineRule="auto"/>
        <w:jc w:val="center"/>
        <w:outlineLvl w:val="0"/>
        <w:rPr>
          <w:rFonts w:ascii="黑体" w:eastAsia="黑体"/>
          <w:sz w:val="32"/>
          <w:szCs w:val="32"/>
          <w:lang w:eastAsia="zh-CN"/>
        </w:rPr>
      </w:pPr>
      <w:r>
        <w:rPr>
          <w:rFonts w:ascii="黑体" w:eastAsia="黑体"/>
          <w:sz w:val="32"/>
          <w:szCs w:val="32"/>
          <w:lang w:eastAsia="zh-CN"/>
        </w:rPr>
        <w:t>第一部分 单位概况</w:t>
      </w:r>
    </w:p>
    <w:p w14:paraId="168E5232">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 一、主要职能</w:t>
      </w:r>
    </w:p>
    <w:p w14:paraId="6CF4054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米东区供销合作社联合社为米东区人民政府直属事业机构，机构规格相当正科级，经费形式为全额预算单位。根据“三定”方案（定职能、定机构、定编制）对其职能进行规定。乌鲁木齐市米东区供销合作社联合社职责主要包括：</w:t>
      </w:r>
    </w:p>
    <w:p w14:paraId="687C639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（1）贯彻落实中央、自治区和我市有关农村经济和社会发展的方针、政策，研究拟订全区供销社的发展规划和年度计划；指导全区供销社的改革和发展。</w:t>
      </w:r>
    </w:p>
    <w:p w14:paraId="0704909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（2）按照区政府授权对全区重要农业生产资料、农副产品、日用工业品、边销茶等物质的储备、供应进行组织、协调和管理。</w:t>
      </w:r>
    </w:p>
    <w:p w14:paraId="552C8FD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3）组织指导全区供销社系统积极参与和推进农业产业化经营、农村社会化服务，参与培育农产品市场体系，组织、协调农村经营服务网点建设和棉花收储、加工、销售等工作，农村合作经济组织和农民协会建设，引导农民参与市场竞争，带动农民增收致富。</w:t>
      </w:r>
    </w:p>
    <w:p w14:paraId="2996AC1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（4）行使本级社有资产出资人代表职能，监督、管理社有资产的运营工作，确保社有资产保值增值。</w:t>
      </w:r>
    </w:p>
    <w:p w14:paraId="145462F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（5）向党和政府及有关部门反映农民社员和供销社的意见和要求，维护区级供销社及其社属企业、领办农民专业合作组织、农民协会和全体社员的合法权益。</w:t>
      </w:r>
    </w:p>
    <w:p w14:paraId="0465868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（6）配合有关部门推进再生资源回收利用体系建设，参与农业面源污染治理和美丽乡村建设。</w:t>
      </w:r>
    </w:p>
    <w:p w14:paraId="45E7D3D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（7）组织开展对农民专业合作社管理人员、农产品经纪人、新型职业农（牧）民的实用技术培训工作。</w:t>
      </w:r>
    </w:p>
    <w:p w14:paraId="69B6F2A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（8）承办区委、区人民政府交办的其他事项。</w:t>
      </w:r>
    </w:p>
    <w:p w14:paraId="2A874A02">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二、机构设置及人员情况</w:t>
      </w:r>
    </w:p>
    <w:p w14:paraId="232EECB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乌鲁木齐市米东区供销合作社联合社2024年度，实有人数20人，其中：在职人员7人，减少3人；离休人员0人，较上年无变化；退休人员13人，增加3人。</w:t>
      </w:r>
    </w:p>
    <w:p w14:paraId="1639596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乌鲁木齐市米东区供销合作社联合社无下属预算单位，下设3个科室，分别是：办公室、财务室、业务室。</w:t>
      </w:r>
    </w:p>
    <w:p w14:paraId="01BFBA0B">
      <w:pPr>
        <w:spacing w:after="0" w:line="240" w:lineRule="auto"/>
        <w:rPr>
          <w:rFonts w:ascii="黑体" w:eastAsia="黑体"/>
          <w:sz w:val="32"/>
          <w:szCs w:val="32"/>
          <w:lang w:eastAsia="zh-CN"/>
        </w:rPr>
      </w:pPr>
      <w:r>
        <w:rPr>
          <w:rFonts w:ascii="黑体" w:eastAsia="黑体"/>
          <w:sz w:val="32"/>
          <w:szCs w:val="32"/>
          <w:lang w:eastAsia="zh-CN"/>
        </w:rPr>
        <w:br w:type="page"/>
      </w:r>
    </w:p>
    <w:p w14:paraId="29F27465">
      <w:pPr>
        <w:spacing w:after="0" w:line="240" w:lineRule="auto"/>
        <w:jc w:val="center"/>
        <w:outlineLvl w:val="0"/>
        <w:rPr>
          <w:rFonts w:ascii="黑体" w:eastAsia="黑体"/>
          <w:sz w:val="32"/>
          <w:szCs w:val="32"/>
          <w:lang w:eastAsia="zh-CN"/>
        </w:rPr>
      </w:pPr>
      <w:r>
        <w:rPr>
          <w:rFonts w:ascii="黑体" w:eastAsia="黑体"/>
          <w:sz w:val="32"/>
          <w:szCs w:val="32"/>
          <w:lang w:eastAsia="zh-CN"/>
        </w:rPr>
        <w:t>第二部分 部门决算情况说明</w:t>
      </w:r>
    </w:p>
    <w:p w14:paraId="55682301">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一、收入支出决算总体情况说明</w:t>
      </w:r>
    </w:p>
    <w:p w14:paraId="1713AED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2024年度收入总计171.76万元，其中：本年收入合计162.19万元，使用非财政拨款结余（含专用结余）0.00万元，年初结转和结余9.57万元。</w:t>
      </w:r>
    </w:p>
    <w:p w14:paraId="6926260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2024年度支出总计171.76万元，其中：本年支出合计162.61万元，结余分配0.00万元，年末结转和结余9.16万元。</w:t>
      </w:r>
    </w:p>
    <w:p w14:paraId="778E74F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收入支出总体与上年相比，减少76.79万元，下降30.90%，主要原因是：</w:t>
      </w:r>
      <w:r>
        <w:rPr>
          <w:rFonts w:hint="eastAsia" w:ascii="仿宋_GB2312" w:eastAsia="仿宋_GB2312"/>
          <w:sz w:val="32"/>
          <w:szCs w:val="32"/>
          <w:lang w:eastAsia="zh-CN"/>
        </w:rPr>
        <w:t>单位</w:t>
      </w:r>
      <w:r>
        <w:rPr>
          <w:rFonts w:ascii="仿宋_GB2312" w:eastAsia="仿宋_GB2312"/>
          <w:sz w:val="32"/>
          <w:szCs w:val="32"/>
          <w:lang w:eastAsia="zh-CN"/>
        </w:rPr>
        <w:t>本年人员减少，</w:t>
      </w:r>
      <w:r>
        <w:rPr>
          <w:rFonts w:hint="eastAsia" w:ascii="仿宋_GB2312" w:eastAsia="仿宋_GB2312"/>
          <w:sz w:val="32"/>
          <w:szCs w:val="32"/>
          <w:lang w:eastAsia="zh-CN"/>
        </w:rPr>
        <w:t>人员工资、津贴补贴、奖金等经费减少</w:t>
      </w:r>
      <w:r>
        <w:rPr>
          <w:rFonts w:ascii="仿宋_GB2312" w:eastAsia="仿宋_GB2312"/>
          <w:sz w:val="32"/>
          <w:szCs w:val="32"/>
          <w:lang w:eastAsia="zh-CN"/>
        </w:rPr>
        <w:t>；</w:t>
      </w:r>
      <w:r>
        <w:rPr>
          <w:rFonts w:hint="eastAsia" w:ascii="仿宋_GB2312" w:eastAsia="仿宋_GB2312"/>
          <w:sz w:val="32"/>
          <w:szCs w:val="32"/>
          <w:lang w:eastAsia="zh-CN"/>
        </w:rPr>
        <w:t>为民办实事项目经费减少</w:t>
      </w:r>
      <w:r>
        <w:rPr>
          <w:rFonts w:ascii="仿宋_GB2312" w:eastAsia="仿宋_GB2312"/>
          <w:sz w:val="32"/>
          <w:szCs w:val="32"/>
          <w:lang w:eastAsia="zh-CN"/>
        </w:rPr>
        <w:t>。</w:t>
      </w:r>
    </w:p>
    <w:p w14:paraId="2F2958E8">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二、收入决算情况说明</w:t>
      </w:r>
    </w:p>
    <w:p w14:paraId="604492D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本年收入162.19万元，其中：财政拨款收入162.19万元,占100.00%；上级补助收入0.00万元,占0.00%；事业收入0.00万元，占0.00%；经营收入0.00万元,占0.00%；附属单位上缴收入0.00万元，占0.00%；其他收入0.00万元，占0.00%。</w:t>
      </w:r>
    </w:p>
    <w:p w14:paraId="41C17AA0">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三、支出决算情况说明</w:t>
      </w:r>
    </w:p>
    <w:p w14:paraId="368A1B0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本年支出162.61万元，其中：基本支出162.61万元，占100.00%；项目支出0.00万元，占0.00%；上缴上级支出0.00万元，占0.00%；经营支出0.00万元，占0.00%；对附属单位补助支出0.00万元，占0.00%。</w:t>
      </w:r>
    </w:p>
    <w:p w14:paraId="6B3B9948">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687452C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2024年度财政拨款收入总计171.76万元，其中：年初财政拨款结转和结余9.57万元，本年财政拨款收入162.19万元。财政拨款支出总计171.76万元，其中：年末财政拨款结转和结余9.16万元，本年财政拨款支出162.61万元。</w:t>
      </w:r>
    </w:p>
    <w:p w14:paraId="519833E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财政拨款收入支出总体与上年相比，减少75.41万元，下降30.51%，主要原因是：</w:t>
      </w:r>
      <w:r>
        <w:rPr>
          <w:rFonts w:hint="eastAsia" w:ascii="仿宋_GB2312" w:eastAsia="仿宋_GB2312"/>
          <w:sz w:val="32"/>
          <w:szCs w:val="32"/>
          <w:lang w:eastAsia="zh-CN"/>
        </w:rPr>
        <w:t>单位</w:t>
      </w:r>
      <w:r>
        <w:rPr>
          <w:rFonts w:ascii="仿宋_GB2312" w:eastAsia="仿宋_GB2312"/>
          <w:sz w:val="32"/>
          <w:szCs w:val="32"/>
          <w:lang w:eastAsia="zh-CN"/>
        </w:rPr>
        <w:t>本年人员减少，</w:t>
      </w:r>
      <w:r>
        <w:rPr>
          <w:rFonts w:hint="eastAsia" w:ascii="仿宋_GB2312" w:eastAsia="仿宋_GB2312"/>
          <w:sz w:val="32"/>
          <w:szCs w:val="32"/>
          <w:lang w:eastAsia="zh-CN"/>
        </w:rPr>
        <w:t>人员工资、津贴补贴、奖金等经费减少</w:t>
      </w:r>
      <w:r>
        <w:rPr>
          <w:rFonts w:ascii="仿宋_GB2312" w:eastAsia="仿宋_GB2312"/>
          <w:sz w:val="32"/>
          <w:szCs w:val="32"/>
          <w:lang w:eastAsia="zh-CN"/>
        </w:rPr>
        <w:t>；</w:t>
      </w:r>
      <w:r>
        <w:rPr>
          <w:rFonts w:hint="eastAsia" w:ascii="仿宋_GB2312" w:eastAsia="仿宋_GB2312"/>
          <w:sz w:val="32"/>
          <w:szCs w:val="32"/>
          <w:lang w:eastAsia="zh-CN"/>
        </w:rPr>
        <w:t>为民办实事项目经费减少</w:t>
      </w:r>
      <w:r>
        <w:rPr>
          <w:rFonts w:ascii="仿宋_GB2312" w:eastAsia="仿宋_GB2312"/>
          <w:sz w:val="32"/>
          <w:szCs w:val="32"/>
          <w:lang w:eastAsia="zh-CN"/>
        </w:rPr>
        <w:t>。与年初预算相比，年初预算数194.18万元，决算数171.76万元，预决算差异率-11.55%，主要原因是：</w:t>
      </w:r>
      <w:r>
        <w:rPr>
          <w:rFonts w:hint="eastAsia" w:ascii="仿宋_GB2312" w:eastAsia="仿宋_GB2312"/>
          <w:sz w:val="32"/>
          <w:szCs w:val="32"/>
          <w:lang w:eastAsia="zh-CN"/>
        </w:rPr>
        <w:t>较预算减少人员工资、津贴补贴、奖金等经费减少</w:t>
      </w:r>
      <w:r>
        <w:rPr>
          <w:rFonts w:ascii="仿宋_GB2312" w:eastAsia="仿宋_GB2312"/>
          <w:sz w:val="32"/>
          <w:szCs w:val="32"/>
          <w:lang w:eastAsia="zh-CN"/>
        </w:rPr>
        <w:t>；</w:t>
      </w:r>
      <w:r>
        <w:rPr>
          <w:rFonts w:hint="eastAsia" w:ascii="仿宋_GB2312" w:eastAsia="仿宋_GB2312"/>
          <w:sz w:val="32"/>
          <w:szCs w:val="32"/>
          <w:lang w:eastAsia="zh-CN"/>
        </w:rPr>
        <w:t>较预算减少为民办实事项目经费</w:t>
      </w:r>
      <w:r>
        <w:rPr>
          <w:rFonts w:ascii="仿宋_GB2312" w:eastAsia="仿宋_GB2312"/>
          <w:sz w:val="32"/>
          <w:szCs w:val="32"/>
          <w:lang w:eastAsia="zh-CN"/>
        </w:rPr>
        <w:t>。</w:t>
      </w:r>
    </w:p>
    <w:p w14:paraId="570BBA59">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77F8C038">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1CF3270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2024年度一般公共预算财政拨款支出162.61万元，占本年支出合计的100.00%。与上年相比，减少65.73万元，下降28.79%，主要原因是：</w:t>
      </w:r>
      <w:r>
        <w:rPr>
          <w:rFonts w:hint="eastAsia" w:ascii="仿宋_GB2312" w:eastAsia="仿宋_GB2312"/>
          <w:sz w:val="32"/>
          <w:szCs w:val="32"/>
          <w:lang w:eastAsia="zh-CN"/>
        </w:rPr>
        <w:t>单位</w:t>
      </w:r>
      <w:r>
        <w:rPr>
          <w:rFonts w:ascii="仿宋_GB2312" w:eastAsia="仿宋_GB2312"/>
          <w:sz w:val="32"/>
          <w:szCs w:val="32"/>
          <w:lang w:eastAsia="zh-CN"/>
        </w:rPr>
        <w:t>本年人员减少，</w:t>
      </w:r>
      <w:r>
        <w:rPr>
          <w:rFonts w:hint="eastAsia" w:ascii="仿宋_GB2312" w:eastAsia="仿宋_GB2312"/>
          <w:sz w:val="32"/>
          <w:szCs w:val="32"/>
          <w:lang w:eastAsia="zh-CN"/>
        </w:rPr>
        <w:t>人员工资、津贴补贴、奖金等经费减少</w:t>
      </w:r>
      <w:r>
        <w:rPr>
          <w:rFonts w:ascii="仿宋_GB2312" w:eastAsia="仿宋_GB2312"/>
          <w:sz w:val="32"/>
          <w:szCs w:val="32"/>
          <w:lang w:eastAsia="zh-CN"/>
        </w:rPr>
        <w:t>；</w:t>
      </w:r>
      <w:r>
        <w:rPr>
          <w:rFonts w:hint="eastAsia" w:ascii="仿宋_GB2312" w:eastAsia="仿宋_GB2312"/>
          <w:sz w:val="32"/>
          <w:szCs w:val="32"/>
          <w:lang w:eastAsia="zh-CN"/>
        </w:rPr>
        <w:t>为民办实事项目经费减少</w:t>
      </w:r>
      <w:r>
        <w:rPr>
          <w:rFonts w:ascii="仿宋_GB2312" w:eastAsia="仿宋_GB2312"/>
          <w:sz w:val="32"/>
          <w:szCs w:val="32"/>
          <w:lang w:eastAsia="zh-CN"/>
        </w:rPr>
        <w:t>。与年初预算相比，年初预算数194.18万元，决算数162.61万元，预决算差异率-16.26%，主要原因是：</w:t>
      </w:r>
      <w:r>
        <w:rPr>
          <w:rFonts w:hint="eastAsia" w:ascii="仿宋_GB2312" w:eastAsia="仿宋_GB2312"/>
          <w:sz w:val="32"/>
          <w:szCs w:val="32"/>
          <w:lang w:eastAsia="zh-CN"/>
        </w:rPr>
        <w:t>较预算减少人员工资、津贴补贴、奖金等经费减少</w:t>
      </w:r>
      <w:r>
        <w:rPr>
          <w:rFonts w:ascii="仿宋_GB2312" w:eastAsia="仿宋_GB2312"/>
          <w:sz w:val="32"/>
          <w:szCs w:val="32"/>
          <w:lang w:eastAsia="zh-CN"/>
        </w:rPr>
        <w:t>；</w:t>
      </w:r>
      <w:r>
        <w:rPr>
          <w:rFonts w:hint="eastAsia" w:ascii="仿宋_GB2312" w:eastAsia="仿宋_GB2312"/>
          <w:sz w:val="32"/>
          <w:szCs w:val="32"/>
          <w:lang w:eastAsia="zh-CN"/>
        </w:rPr>
        <w:t>较预算减少为民办实事项目经费</w:t>
      </w:r>
      <w:r>
        <w:rPr>
          <w:rFonts w:ascii="仿宋_GB2312" w:eastAsia="仿宋_GB2312"/>
          <w:sz w:val="32"/>
          <w:szCs w:val="32"/>
          <w:lang w:eastAsia="zh-CN"/>
        </w:rPr>
        <w:t>。</w:t>
      </w:r>
    </w:p>
    <w:p w14:paraId="372CBC44">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4A3F4130">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社会保障和就业支出（类）21.57万元，占13.26%。</w:t>
      </w:r>
    </w:p>
    <w:p w14:paraId="77B4A906">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商业服务业等支出（类）141.04万元，占86.74%。</w:t>
      </w:r>
    </w:p>
    <w:p w14:paraId="68C53C2B">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71A23A86">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1、社会保障和就业支出（类）行政事业单位养老支出（款）机关事业单位基本养老保险缴费支出（项）：支出决算数为21.57万元，比上年决算增加1.63万元，增长8.17%，主要原因是：</w:t>
      </w:r>
      <w:r>
        <w:rPr>
          <w:rFonts w:hint="eastAsia" w:ascii="仿宋_GB2312" w:hAnsi="仿宋_GB2312" w:eastAsia="仿宋_GB2312" w:cs="仿宋_GB2312"/>
          <w:sz w:val="32"/>
          <w:szCs w:val="32"/>
          <w:lang w:val="zh-CN" w:eastAsia="zh-CN"/>
        </w:rPr>
        <w:t>单位本年</w:t>
      </w:r>
      <w:r>
        <w:rPr>
          <w:rFonts w:ascii="仿宋_GB2312" w:eastAsia="仿宋_GB2312"/>
          <w:sz w:val="32"/>
          <w:szCs w:val="32"/>
          <w:lang w:eastAsia="zh-CN"/>
        </w:rPr>
        <w:t>社保</w:t>
      </w:r>
      <w:r>
        <w:rPr>
          <w:rFonts w:hint="eastAsia" w:ascii="仿宋_GB2312" w:eastAsia="仿宋_GB2312"/>
          <w:sz w:val="32"/>
          <w:szCs w:val="32"/>
          <w:lang w:eastAsia="zh-CN"/>
        </w:rPr>
        <w:t>缴费</w:t>
      </w:r>
      <w:r>
        <w:rPr>
          <w:rFonts w:ascii="仿宋_GB2312" w:eastAsia="仿宋_GB2312"/>
          <w:sz w:val="32"/>
          <w:szCs w:val="32"/>
          <w:lang w:eastAsia="zh-CN"/>
        </w:rPr>
        <w:t>基数调增，</w:t>
      </w:r>
      <w:r>
        <w:rPr>
          <w:rFonts w:hint="eastAsia" w:ascii="仿宋_GB2312" w:eastAsia="仿宋_GB2312"/>
          <w:sz w:val="32"/>
          <w:szCs w:val="32"/>
          <w:lang w:eastAsia="zh-CN"/>
        </w:rPr>
        <w:t>人员</w:t>
      </w:r>
      <w:r>
        <w:rPr>
          <w:rFonts w:ascii="仿宋_GB2312" w:eastAsia="仿宋_GB2312"/>
          <w:sz w:val="32"/>
          <w:szCs w:val="32"/>
          <w:lang w:eastAsia="zh-CN"/>
        </w:rPr>
        <w:t>养老保险</w:t>
      </w:r>
      <w:r>
        <w:rPr>
          <w:rFonts w:hint="eastAsia" w:ascii="仿宋_GB2312" w:eastAsia="仿宋_GB2312"/>
          <w:sz w:val="32"/>
          <w:szCs w:val="32"/>
          <w:lang w:eastAsia="zh-CN"/>
        </w:rPr>
        <w:t>缴费</w:t>
      </w:r>
      <w:r>
        <w:rPr>
          <w:rFonts w:ascii="仿宋_GB2312" w:eastAsia="仿宋_GB2312"/>
          <w:sz w:val="32"/>
          <w:szCs w:val="32"/>
          <w:lang w:eastAsia="zh-CN"/>
        </w:rPr>
        <w:t>增加。</w:t>
      </w:r>
    </w:p>
    <w:p w14:paraId="77AC1F03">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2、商业服务业等支出（类）商业流通事务（款）事业运行（项）：支出决算数为141.04万元，比上年决算减少55.23万元，下降28.14%，主要原因是：</w:t>
      </w:r>
      <w:r>
        <w:rPr>
          <w:rFonts w:hint="eastAsia" w:ascii="仿宋_GB2312" w:eastAsia="仿宋_GB2312"/>
          <w:sz w:val="32"/>
          <w:szCs w:val="32"/>
          <w:lang w:eastAsia="zh-CN"/>
        </w:rPr>
        <w:t>单位</w:t>
      </w:r>
      <w:r>
        <w:rPr>
          <w:rFonts w:ascii="仿宋_GB2312" w:eastAsia="仿宋_GB2312"/>
          <w:sz w:val="32"/>
          <w:szCs w:val="32"/>
          <w:lang w:eastAsia="zh-CN"/>
        </w:rPr>
        <w:t>本年人员减少，</w:t>
      </w:r>
      <w:r>
        <w:rPr>
          <w:rFonts w:hint="eastAsia" w:ascii="仿宋_GB2312" w:eastAsia="仿宋_GB2312"/>
          <w:sz w:val="32"/>
          <w:szCs w:val="32"/>
          <w:lang w:eastAsia="zh-CN"/>
        </w:rPr>
        <w:t>人员工资、津贴补贴、奖金等经费减少</w:t>
      </w:r>
      <w:r>
        <w:rPr>
          <w:rFonts w:ascii="仿宋_GB2312" w:eastAsia="仿宋_GB2312"/>
          <w:sz w:val="32"/>
          <w:szCs w:val="32"/>
          <w:lang w:eastAsia="zh-CN"/>
        </w:rPr>
        <w:t>。</w:t>
      </w:r>
    </w:p>
    <w:p w14:paraId="212EAB81">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3、粮油物资储备支出（类）粮油物资事务（款）事业运行（项）：支出决算数为0.00万元，比上年决算减少12.13万元，下降100.00%，主要原因是：</w:t>
      </w:r>
      <w:r>
        <w:rPr>
          <w:rFonts w:hint="eastAsia" w:ascii="仿宋_GB2312" w:eastAsia="仿宋_GB2312"/>
          <w:sz w:val="32"/>
          <w:szCs w:val="32"/>
          <w:lang w:eastAsia="zh-CN"/>
        </w:rPr>
        <w:t>单位</w:t>
      </w:r>
      <w:r>
        <w:rPr>
          <w:rFonts w:ascii="仿宋_GB2312" w:eastAsia="仿宋_GB2312"/>
          <w:sz w:val="32"/>
          <w:szCs w:val="32"/>
          <w:lang w:eastAsia="zh-CN"/>
        </w:rPr>
        <w:t>本年</w:t>
      </w:r>
      <w:r>
        <w:rPr>
          <w:rFonts w:hint="eastAsia" w:ascii="仿宋_GB2312" w:eastAsia="仿宋_GB2312"/>
          <w:sz w:val="32"/>
          <w:szCs w:val="32"/>
          <w:lang w:eastAsia="zh-CN"/>
        </w:rPr>
        <w:t>功能科目调整，将</w:t>
      </w:r>
      <w:r>
        <w:rPr>
          <w:rFonts w:ascii="仿宋_GB2312" w:eastAsia="仿宋_GB2312"/>
          <w:sz w:val="32"/>
          <w:szCs w:val="32"/>
          <w:lang w:eastAsia="zh-CN"/>
        </w:rPr>
        <w:t>事业运行</w:t>
      </w:r>
      <w:r>
        <w:rPr>
          <w:rFonts w:hint="eastAsia" w:ascii="仿宋_GB2312" w:eastAsia="仿宋_GB2312"/>
          <w:sz w:val="32"/>
          <w:szCs w:val="32"/>
          <w:lang w:eastAsia="zh-CN"/>
        </w:rPr>
        <w:t>款项中人员</w:t>
      </w:r>
      <w:r>
        <w:rPr>
          <w:rFonts w:ascii="仿宋_GB2312" w:eastAsia="仿宋_GB2312"/>
          <w:sz w:val="32"/>
          <w:szCs w:val="32"/>
          <w:lang w:eastAsia="zh-CN"/>
        </w:rPr>
        <w:t>养老保险缴费</w:t>
      </w:r>
      <w:r>
        <w:rPr>
          <w:rFonts w:hint="eastAsia" w:ascii="仿宋_GB2312" w:eastAsia="仿宋_GB2312"/>
          <w:sz w:val="32"/>
          <w:szCs w:val="32"/>
          <w:lang w:eastAsia="zh-CN"/>
        </w:rPr>
        <w:t>调整至</w:t>
      </w:r>
      <w:r>
        <w:rPr>
          <w:rFonts w:ascii="仿宋_GB2312" w:eastAsia="仿宋_GB2312"/>
          <w:sz w:val="32"/>
          <w:szCs w:val="32"/>
          <w:lang w:eastAsia="zh-CN"/>
        </w:rPr>
        <w:t>机关事业单位基本养老保险缴费支出</w:t>
      </w:r>
      <w:r>
        <w:rPr>
          <w:rFonts w:hint="eastAsia" w:ascii="仿宋_GB2312" w:eastAsia="仿宋_GB2312"/>
          <w:sz w:val="32"/>
          <w:szCs w:val="32"/>
          <w:lang w:eastAsia="zh-CN"/>
        </w:rPr>
        <w:t>款项中核算，导致此项经费减少</w:t>
      </w:r>
      <w:r>
        <w:rPr>
          <w:rFonts w:ascii="仿宋_GB2312" w:eastAsia="仿宋_GB2312"/>
          <w:sz w:val="32"/>
          <w:szCs w:val="32"/>
          <w:lang w:eastAsia="zh-CN"/>
        </w:rPr>
        <w:t>。</w:t>
      </w:r>
    </w:p>
    <w:p w14:paraId="16763F9E">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51735C6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162.61万元，其中：人员经费156.56万元，包括：基本工资、津贴补贴、奖金、绩效工资、机关事业单位基本养老保险缴费、职业年金缴费、职工基本医疗保险缴费、公务员医疗补助缴费、其他社会保障缴费和住房公积金。</w:t>
      </w:r>
    </w:p>
    <w:p w14:paraId="51ABAFC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公用经费6.04万元，包括：办公费、水费、电费、取暖费、劳务费、工会经费和福利费。</w:t>
      </w:r>
    </w:p>
    <w:p w14:paraId="428279FF">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228F014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6330F23C">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67C9C1C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421C1BA1">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九、财政拨款“三公”经费支出决算情况说明</w:t>
      </w:r>
    </w:p>
    <w:p w14:paraId="4B5CC0A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2024年度财政拨款“三公”经费支出0.00万元，与上年相比无变化，主要原因是：</w:t>
      </w:r>
      <w:r>
        <w:rPr>
          <w:rFonts w:hint="eastAsia" w:ascii="仿宋_GB2312" w:eastAsia="仿宋_GB2312"/>
          <w:sz w:val="32"/>
          <w:szCs w:val="32"/>
          <w:lang w:eastAsia="zh-CN"/>
        </w:rPr>
        <w:t>我单位上年度与本年度均无“三公”经费</w:t>
      </w:r>
      <w:r>
        <w:rPr>
          <w:rFonts w:ascii="仿宋_GB2312" w:eastAsia="仿宋_GB2312"/>
          <w:sz w:val="32"/>
          <w:szCs w:val="32"/>
          <w:lang w:eastAsia="zh-CN"/>
        </w:rPr>
        <w:t>。其中：因公出国（境）费支出0.00万元,占0.00%，与上年相比无变化，主要原因是：</w:t>
      </w:r>
      <w:r>
        <w:rPr>
          <w:rFonts w:hint="eastAsia" w:ascii="仿宋_GB2312" w:eastAsia="仿宋_GB2312"/>
          <w:sz w:val="32"/>
          <w:szCs w:val="32"/>
          <w:lang w:eastAsia="zh-CN"/>
        </w:rPr>
        <w:t>我单位上年度与本年度均无</w:t>
      </w:r>
      <w:r>
        <w:rPr>
          <w:rFonts w:ascii="仿宋_GB2312" w:eastAsia="仿宋_GB2312"/>
          <w:sz w:val="32"/>
          <w:szCs w:val="32"/>
          <w:lang w:eastAsia="zh-CN"/>
        </w:rPr>
        <w:t>因公出国（境）</w:t>
      </w:r>
      <w:r>
        <w:rPr>
          <w:rFonts w:hint="eastAsia" w:ascii="仿宋_GB2312" w:eastAsia="仿宋_GB2312"/>
          <w:sz w:val="32"/>
          <w:szCs w:val="32"/>
          <w:lang w:eastAsia="zh-CN"/>
        </w:rPr>
        <w:t>经费</w:t>
      </w:r>
      <w:r>
        <w:rPr>
          <w:rFonts w:ascii="仿宋_GB2312" w:eastAsia="仿宋_GB2312"/>
          <w:sz w:val="32"/>
          <w:szCs w:val="32"/>
          <w:lang w:eastAsia="zh-CN"/>
        </w:rPr>
        <w:t>；公务用车购置及运行维护费支出0.00万元，占0.00%，与上年相比无变化，主要原因是：</w:t>
      </w:r>
      <w:r>
        <w:rPr>
          <w:rFonts w:hint="eastAsia" w:ascii="仿宋_GB2312" w:eastAsia="仿宋_GB2312"/>
          <w:sz w:val="32"/>
          <w:szCs w:val="32"/>
          <w:lang w:eastAsia="zh-CN"/>
        </w:rPr>
        <w:t>我单位上年度与本年度均无</w:t>
      </w:r>
      <w:r>
        <w:rPr>
          <w:rFonts w:ascii="仿宋_GB2312" w:eastAsia="仿宋_GB2312"/>
          <w:sz w:val="32"/>
          <w:szCs w:val="32"/>
          <w:lang w:eastAsia="zh-CN"/>
        </w:rPr>
        <w:t>公务用车购置及运行维护</w:t>
      </w:r>
      <w:r>
        <w:rPr>
          <w:rFonts w:hint="eastAsia" w:ascii="仿宋_GB2312" w:eastAsia="仿宋_GB2312"/>
          <w:sz w:val="32"/>
          <w:szCs w:val="32"/>
          <w:lang w:eastAsia="zh-CN"/>
        </w:rPr>
        <w:t>经费</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w:t>
      </w:r>
      <w:r>
        <w:rPr>
          <w:rFonts w:ascii="仿宋_GB2312" w:eastAsia="仿宋_GB2312"/>
          <w:sz w:val="32"/>
          <w:szCs w:val="32"/>
          <w:lang w:eastAsia="zh-CN"/>
        </w:rPr>
        <w:t>公务接待</w:t>
      </w:r>
      <w:r>
        <w:rPr>
          <w:rFonts w:hint="eastAsia" w:ascii="仿宋_GB2312" w:eastAsia="仿宋_GB2312"/>
          <w:sz w:val="32"/>
          <w:szCs w:val="32"/>
          <w:lang w:eastAsia="zh-CN"/>
        </w:rPr>
        <w:t>经费</w:t>
      </w:r>
      <w:r>
        <w:rPr>
          <w:rFonts w:ascii="仿宋_GB2312" w:eastAsia="仿宋_GB2312"/>
          <w:sz w:val="32"/>
          <w:szCs w:val="32"/>
          <w:lang w:eastAsia="zh-CN"/>
        </w:rPr>
        <w:t>。</w:t>
      </w:r>
    </w:p>
    <w:p w14:paraId="4056FC31">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具体情况如下：</w:t>
      </w:r>
    </w:p>
    <w:p w14:paraId="6415A88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hint="eastAsia" w:ascii="仿宋_GB2312" w:eastAsia="仿宋_GB2312"/>
          <w:sz w:val="32"/>
          <w:szCs w:val="32"/>
          <w:lang w:eastAsia="zh-CN"/>
        </w:rPr>
        <w:t>我单位本年度无</w:t>
      </w:r>
      <w:r>
        <w:rPr>
          <w:rFonts w:ascii="仿宋_GB2312" w:eastAsia="仿宋_GB2312"/>
          <w:sz w:val="32"/>
          <w:szCs w:val="32"/>
          <w:lang w:eastAsia="zh-CN"/>
        </w:rPr>
        <w:t>因公出国（境）</w:t>
      </w:r>
      <w:r>
        <w:rPr>
          <w:rFonts w:hint="eastAsia" w:ascii="仿宋_GB2312" w:eastAsia="仿宋_GB2312"/>
          <w:sz w:val="32"/>
          <w:szCs w:val="32"/>
          <w:lang w:eastAsia="zh-CN"/>
        </w:rPr>
        <w:t>经费</w:t>
      </w:r>
      <w:r>
        <w:rPr>
          <w:rFonts w:ascii="仿宋_GB2312" w:eastAsia="仿宋_GB2312"/>
          <w:sz w:val="32"/>
          <w:szCs w:val="32"/>
          <w:lang w:eastAsia="zh-CN"/>
        </w:rPr>
        <w:t>。单位全年安排的因公出国（境）团组0个，因公出国（境）0人次。</w:t>
      </w:r>
    </w:p>
    <w:p w14:paraId="2DEE72B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r>
        <w:rPr>
          <w:rFonts w:hint="eastAsia" w:ascii="仿宋_GB2312" w:eastAsia="仿宋_GB2312"/>
          <w:sz w:val="32"/>
          <w:szCs w:val="32"/>
          <w:lang w:eastAsia="zh-CN"/>
        </w:rPr>
        <w:t>我单位本年度无</w:t>
      </w:r>
      <w:r>
        <w:rPr>
          <w:rFonts w:ascii="仿宋_GB2312" w:eastAsia="仿宋_GB2312"/>
          <w:sz w:val="32"/>
          <w:szCs w:val="32"/>
          <w:lang w:eastAsia="zh-CN"/>
        </w:rPr>
        <w:t>公务用车运行维护费。公务用车购置数0辆，公务用车保有量0辆。国有资产占用情况中固定资产车辆0辆，与公务用车保有量差异原因是：</w:t>
      </w:r>
      <w:r>
        <w:rPr>
          <w:rFonts w:hint="eastAsia" w:ascii="仿宋_GB2312" w:eastAsia="仿宋_GB2312"/>
          <w:sz w:val="32"/>
          <w:szCs w:val="32"/>
          <w:lang w:eastAsia="zh-CN"/>
        </w:rPr>
        <w:t>本单位固定资产车辆与公务用车保有量一致无差异</w:t>
      </w:r>
      <w:r>
        <w:rPr>
          <w:rFonts w:ascii="仿宋_GB2312" w:eastAsia="仿宋_GB2312"/>
          <w:sz w:val="32"/>
          <w:szCs w:val="32"/>
          <w:lang w:eastAsia="zh-CN"/>
        </w:rPr>
        <w:t>。</w:t>
      </w:r>
    </w:p>
    <w:p w14:paraId="2FB3E17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r>
        <w:rPr>
          <w:rFonts w:hint="eastAsia" w:ascii="仿宋_GB2312" w:eastAsia="仿宋_GB2312"/>
          <w:sz w:val="32"/>
          <w:szCs w:val="32"/>
          <w:lang w:eastAsia="zh-CN"/>
        </w:rPr>
        <w:t>我单位本年度无</w:t>
      </w:r>
      <w:r>
        <w:rPr>
          <w:rFonts w:ascii="仿宋_GB2312" w:eastAsia="仿宋_GB2312"/>
          <w:sz w:val="32"/>
          <w:szCs w:val="32"/>
          <w:lang w:eastAsia="zh-CN"/>
        </w:rPr>
        <w:t>公务接待</w:t>
      </w:r>
      <w:r>
        <w:rPr>
          <w:rFonts w:hint="eastAsia" w:ascii="仿宋_GB2312" w:eastAsia="仿宋_GB2312"/>
          <w:sz w:val="32"/>
          <w:szCs w:val="32"/>
          <w:lang w:eastAsia="zh-CN"/>
        </w:rPr>
        <w:t>经费</w:t>
      </w:r>
      <w:r>
        <w:rPr>
          <w:rFonts w:ascii="仿宋_GB2312" w:eastAsia="仿宋_GB2312"/>
          <w:sz w:val="32"/>
          <w:szCs w:val="32"/>
          <w:lang w:eastAsia="zh-CN"/>
        </w:rPr>
        <w:t>。单位全年安排的国内公务接待0批次，0人次。</w:t>
      </w:r>
    </w:p>
    <w:p w14:paraId="22DDB6A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与全年预算相比，财政拨款“三公”经费支出全年预算数0.00万元，决算数0.00万元，预决算差异率0.00%，主要原因是：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2EB3DF88">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十、其他重要事项的情况说明</w:t>
      </w:r>
    </w:p>
    <w:p w14:paraId="45934237">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3D6021B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2024年度乌鲁木齐市米东区供销合作社联合社单位（事业单位）公用经费支出6.04万元，比上年减少10.53万元，下降63.55%，主要原因是：</w:t>
      </w:r>
      <w:r>
        <w:rPr>
          <w:rFonts w:hint="eastAsia" w:ascii="仿宋_GB2312" w:eastAsia="仿宋_GB2312"/>
          <w:sz w:val="32"/>
          <w:szCs w:val="32"/>
          <w:lang w:eastAsia="zh-CN"/>
        </w:rPr>
        <w:t>本年单位</w:t>
      </w:r>
      <w:r>
        <w:rPr>
          <w:rFonts w:ascii="仿宋_GB2312" w:eastAsia="仿宋_GB2312"/>
          <w:sz w:val="32"/>
          <w:szCs w:val="32"/>
          <w:lang w:eastAsia="zh-CN"/>
        </w:rPr>
        <w:t>办公费、电费、取暖费</w:t>
      </w:r>
      <w:r>
        <w:rPr>
          <w:rFonts w:hint="eastAsia" w:ascii="仿宋_GB2312" w:eastAsia="仿宋_GB2312"/>
          <w:sz w:val="32"/>
          <w:szCs w:val="32"/>
          <w:lang w:eastAsia="zh-CN"/>
        </w:rPr>
        <w:t>等经费较上年减少</w:t>
      </w:r>
      <w:r>
        <w:rPr>
          <w:rFonts w:ascii="仿宋_GB2312" w:eastAsia="仿宋_GB2312"/>
          <w:sz w:val="32"/>
          <w:szCs w:val="32"/>
          <w:lang w:eastAsia="zh-CN"/>
        </w:rPr>
        <w:t>。</w:t>
      </w:r>
    </w:p>
    <w:p w14:paraId="2BF9DB8C">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（二）政府采购情况</w:t>
      </w:r>
    </w:p>
    <w:p w14:paraId="2B68459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5A420FB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14:paraId="3360B35F">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（三）国有资产占用情况说明</w:t>
      </w:r>
    </w:p>
    <w:p w14:paraId="1FCE149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rPr>
        <w:t>截至2024年12月31日，房屋0.00平方米，价值0.00万元。</w:t>
      </w:r>
      <w:r>
        <w:rPr>
          <w:rFonts w:ascii="仿宋_GB2312" w:eastAsia="仿宋_GB2312"/>
          <w:sz w:val="32"/>
          <w:szCs w:val="32"/>
          <w:lang w:eastAsia="zh-CN"/>
        </w:rPr>
        <w:t>车辆0辆，价值0.00万元，其中：副部（省）级及以上领导用车0辆、主要负责人用车0辆、机要通信用车0辆、应急保障用车0辆、执法执勤用车0辆、特种专业技术用车0辆、离退休干部服务用车0辆、其他用车0辆，其他用车主要是：</w:t>
      </w:r>
      <w:r>
        <w:rPr>
          <w:rFonts w:hint="eastAsia" w:ascii="仿宋_GB2312" w:eastAsia="仿宋_GB2312"/>
          <w:sz w:val="32"/>
          <w:szCs w:val="32"/>
          <w:lang w:eastAsia="zh-CN"/>
        </w:rPr>
        <w:t>单位无其他用车</w:t>
      </w:r>
      <w:r>
        <w:rPr>
          <w:rFonts w:ascii="仿宋_GB2312" w:eastAsia="仿宋_GB2312"/>
          <w:sz w:val="32"/>
          <w:szCs w:val="32"/>
          <w:lang w:eastAsia="zh-CN"/>
        </w:rPr>
        <w:t>;单价100万元（含）以上设备（不含车辆）0台（套）。</w:t>
      </w:r>
    </w:p>
    <w:p w14:paraId="3FF88680">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十一、预算绩效的情况说明</w:t>
      </w:r>
    </w:p>
    <w:p w14:paraId="3C4CA55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根据预算绩效管理要求，本单位2024年度预算绩效管理形成整体支出绩效自评表1个，全年预算总额171.76万元，实际执行总额</w:t>
      </w:r>
      <w:r>
        <w:rPr>
          <w:rFonts w:hint="eastAsia" w:ascii="仿宋_GB2312" w:eastAsia="仿宋_GB2312"/>
          <w:sz w:val="32"/>
          <w:szCs w:val="32"/>
          <w:lang w:eastAsia="zh-CN"/>
        </w:rPr>
        <w:t>162.61</w:t>
      </w:r>
      <w:r>
        <w:rPr>
          <w:rFonts w:ascii="仿宋_GB2312" w:eastAsia="仿宋_GB2312"/>
          <w:sz w:val="32"/>
          <w:szCs w:val="32"/>
          <w:lang w:eastAsia="zh-CN"/>
        </w:rPr>
        <w:t>万元；预算绩效评价项目0个，全年预算数0</w:t>
      </w:r>
      <w:r>
        <w:rPr>
          <w:rFonts w:hint="eastAsia" w:ascii="仿宋_GB2312" w:eastAsia="仿宋_GB2312"/>
          <w:sz w:val="32"/>
          <w:szCs w:val="32"/>
          <w:lang w:eastAsia="zh-CN"/>
        </w:rPr>
        <w:t>.00</w:t>
      </w:r>
      <w:r>
        <w:rPr>
          <w:rFonts w:ascii="仿宋_GB2312" w:eastAsia="仿宋_GB2312"/>
          <w:sz w:val="32"/>
          <w:szCs w:val="32"/>
          <w:lang w:eastAsia="zh-CN"/>
        </w:rPr>
        <w:t>万元，全年执行数0</w:t>
      </w:r>
      <w:r>
        <w:rPr>
          <w:rFonts w:hint="eastAsia" w:ascii="仿宋_GB2312" w:eastAsia="仿宋_GB2312"/>
          <w:sz w:val="32"/>
          <w:szCs w:val="32"/>
          <w:lang w:eastAsia="zh-CN"/>
        </w:rPr>
        <w:t>.00</w:t>
      </w:r>
      <w:r>
        <w:rPr>
          <w:rFonts w:ascii="仿宋_GB2312" w:eastAsia="仿宋_GB2312"/>
          <w:sz w:val="32"/>
          <w:szCs w:val="32"/>
          <w:lang w:eastAsia="zh-CN"/>
        </w:rPr>
        <w:t>万元。预算绩效管理取得的成效：一是严格按照年初预算，合理安排各项支出。建立健全支出管理制度，明确各项支出的审批流程和责任人。按照预算经费分类做好单位支出计划以及相应支付手续的审批，做到专款专用，有效防止了资金的挪用和浪费</w:t>
      </w:r>
      <w:r>
        <w:rPr>
          <w:rFonts w:hint="eastAsia" w:ascii="仿宋_GB2312" w:eastAsia="仿宋_GB2312"/>
          <w:sz w:val="32"/>
          <w:szCs w:val="32"/>
          <w:lang w:eastAsia="zh-CN"/>
        </w:rPr>
        <w:t>；</w:t>
      </w:r>
      <w:r>
        <w:rPr>
          <w:rFonts w:ascii="仿宋_GB2312" w:eastAsia="仿宋_GB2312"/>
          <w:sz w:val="32"/>
          <w:szCs w:val="32"/>
          <w:lang w:eastAsia="zh-CN"/>
        </w:rPr>
        <w:t>二是落实预算绩效评价管理，提高资金使用效益。</w:t>
      </w:r>
      <w:r>
        <w:rPr>
          <w:rFonts w:hint="eastAsia" w:ascii="仿宋_GB2312" w:eastAsia="仿宋_GB2312"/>
          <w:sz w:val="32"/>
          <w:szCs w:val="32"/>
          <w:lang w:eastAsia="zh-CN"/>
        </w:rPr>
        <w:t>厉行节约</w:t>
      </w:r>
      <w:bookmarkStart w:id="1" w:name="_GoBack"/>
      <w:bookmarkEnd w:id="1"/>
      <w:r>
        <w:rPr>
          <w:rFonts w:ascii="仿宋_GB2312" w:eastAsia="仿宋_GB2312"/>
          <w:sz w:val="32"/>
          <w:szCs w:val="32"/>
          <w:lang w:eastAsia="zh-CN"/>
        </w:rPr>
        <w:t>，控制经营管理成本，定期梳理资金使用情况，按要求做好盘活存量资金，及时上缴国库，确保资金安全，提高资金使用效率。发现的问题及原因：一是绩效评价自评受评价部门主观影响较大，缺乏客观性，普遍存在一人多岗，职能不清，分工不明确，部门间岗位间相互监督不够</w:t>
      </w:r>
      <w:r>
        <w:rPr>
          <w:rFonts w:hint="eastAsia" w:ascii="仿宋_GB2312" w:eastAsia="仿宋_GB2312"/>
          <w:sz w:val="32"/>
          <w:szCs w:val="32"/>
          <w:lang w:eastAsia="zh-CN"/>
        </w:rPr>
        <w:t>；</w:t>
      </w:r>
      <w:r>
        <w:rPr>
          <w:rFonts w:ascii="仿宋_GB2312" w:eastAsia="仿宋_GB2312"/>
          <w:sz w:val="32"/>
          <w:szCs w:val="32"/>
          <w:lang w:eastAsia="zh-CN"/>
        </w:rPr>
        <w:t>二是部门整体绩效指标设立不够全面，目标主要集中在履职效能上，目标设立覆盖面不够，多设置过程性、产出性的指标，而非部门碎片工作的简单整合</w:t>
      </w:r>
      <w:r>
        <w:rPr>
          <w:rFonts w:hint="eastAsia" w:ascii="仿宋_GB2312" w:eastAsia="仿宋_GB2312"/>
          <w:sz w:val="32"/>
          <w:szCs w:val="32"/>
          <w:lang w:eastAsia="zh-CN"/>
        </w:rPr>
        <w:t>；</w:t>
      </w:r>
      <w:r>
        <w:rPr>
          <w:rFonts w:ascii="仿宋_GB2312" w:eastAsia="仿宋_GB2312"/>
          <w:sz w:val="32"/>
          <w:szCs w:val="32"/>
          <w:lang w:eastAsia="zh-CN"/>
        </w:rPr>
        <w:t>三是为农服务基础较为薄弱，作为经营性和公益性兼顾项目，农业社会化服务中心和村级综合服务社的组织架构基本搭建，但受到资金和人才制约，服务水平还有待提升，服务功能有待拓展。下一步改进措施：一是加强部门绩效评价人员专业知识培训，提高指标设计科学性和绩效评价专业性。由专业人员开展定期绩效目标评价工作，聘请第三方机构，如社会绩效评价组织，专家，高效研究人员等。加强部门整体绩效评价公开管理，广泛接受社会及大众监督</w:t>
      </w:r>
      <w:r>
        <w:rPr>
          <w:rFonts w:hint="eastAsia" w:ascii="仿宋_GB2312" w:eastAsia="仿宋_GB2312"/>
          <w:sz w:val="32"/>
          <w:szCs w:val="32"/>
          <w:lang w:eastAsia="zh-CN"/>
        </w:rPr>
        <w:t>；</w:t>
      </w:r>
      <w:r>
        <w:rPr>
          <w:rFonts w:ascii="仿宋_GB2312" w:eastAsia="仿宋_GB2312"/>
          <w:sz w:val="32"/>
          <w:szCs w:val="32"/>
          <w:lang w:eastAsia="zh-CN"/>
        </w:rPr>
        <w:t>二是提高部门整体支出绩效目标设定的合理性，绩效目标的设立要以中央、自治区、乌鲁木齐市的发展规划、政府重要战略等为指导，结合部门单位履职的核心任务，不是仅依赖于部门单位的工作计划，要从全局高度出发，要围绕事业发展规划，以预算资金为主线，分析提炼部门单位年度目标，再细化为具体的三级指标，梳理集中反映部门履职效能、社会效应等效果的个性化、效益类绩效指标。具体附部门整体支出绩效自评表。</w:t>
      </w:r>
    </w:p>
    <w:p w14:paraId="73D76255">
      <w:pPr>
        <w:spacing w:after="0" w:line="240" w:lineRule="auto"/>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br w:type="page"/>
      </w:r>
    </w:p>
    <w:p w14:paraId="636F76A2">
      <w:pPr>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部门（单位）整体支出绩效目标自评表</w:t>
      </w:r>
    </w:p>
    <w:p w14:paraId="46270D00">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935"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14:paraId="4F4423C1">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632AA545">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761333F6">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乌鲁木齐市米东区供销合作社联合社</w:t>
            </w:r>
          </w:p>
        </w:tc>
        <w:tc>
          <w:tcPr>
            <w:tcW w:w="284" w:type="dxa"/>
            <w:tcBorders>
              <w:top w:val="nil"/>
              <w:left w:val="nil"/>
              <w:bottom w:val="nil"/>
              <w:right w:val="nil"/>
            </w:tcBorders>
            <w:noWrap/>
            <w:vAlign w:val="center"/>
          </w:tcPr>
          <w:p w14:paraId="59BD53C9">
            <w:pPr>
              <w:rPr>
                <w:rFonts w:hint="eastAsia" w:ascii="宋体" w:hAnsi="宋体" w:eastAsia="宋体" w:cs="宋体"/>
                <w:b/>
                <w:bCs/>
                <w:sz w:val="18"/>
                <w:szCs w:val="18"/>
                <w:lang w:eastAsia="zh-CN"/>
              </w:rPr>
            </w:pPr>
          </w:p>
        </w:tc>
      </w:tr>
      <w:tr w14:paraId="322C94AB">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041C85DF">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55487EEC">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593A0571">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14:paraId="21EF947F">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701" w:type="dxa"/>
            <w:tcBorders>
              <w:top w:val="nil"/>
              <w:left w:val="nil"/>
              <w:bottom w:val="single" w:color="auto" w:sz="4" w:space="0"/>
              <w:right w:val="single" w:color="auto" w:sz="4" w:space="0"/>
            </w:tcBorders>
            <w:vAlign w:val="center"/>
          </w:tcPr>
          <w:p w14:paraId="7F209ACF">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20DFECC4">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498ACE87">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6D21FB24">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4BAC75B6">
            <w:pPr>
              <w:jc w:val="center"/>
              <w:rPr>
                <w:rFonts w:hint="eastAsia" w:ascii="宋体" w:hAnsi="宋体" w:eastAsia="宋体" w:cs="宋体"/>
                <w:b/>
                <w:bCs/>
                <w:sz w:val="18"/>
                <w:szCs w:val="18"/>
              </w:rPr>
            </w:pPr>
          </w:p>
        </w:tc>
      </w:tr>
      <w:tr w14:paraId="305C8651">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3503DE2">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6862F82B">
            <w:pPr>
              <w:jc w:val="center"/>
              <w:rPr>
                <w:rFonts w:hint="eastAsia" w:ascii="宋体" w:hAnsi="宋体" w:eastAsia="宋体" w:cs="宋体"/>
                <w:b/>
                <w:bCs/>
                <w:sz w:val="18"/>
                <w:szCs w:val="18"/>
              </w:rPr>
            </w:pPr>
            <w:r>
              <w:rPr>
                <w:rFonts w:hint="eastAsia" w:ascii="宋体" w:hAnsi="宋体" w:eastAsia="宋体" w:cs="宋体"/>
                <w:b/>
                <w:bCs/>
                <w:sz w:val="18"/>
                <w:szCs w:val="18"/>
              </w:rPr>
              <w:t>年度总资金</w:t>
            </w:r>
          </w:p>
        </w:tc>
        <w:tc>
          <w:tcPr>
            <w:tcW w:w="1418" w:type="dxa"/>
            <w:tcBorders>
              <w:top w:val="nil"/>
              <w:left w:val="nil"/>
              <w:bottom w:val="single" w:color="auto" w:sz="4" w:space="0"/>
              <w:right w:val="single" w:color="auto" w:sz="4" w:space="0"/>
            </w:tcBorders>
            <w:vAlign w:val="center"/>
          </w:tcPr>
          <w:p w14:paraId="37D76735">
            <w:pPr>
              <w:jc w:val="center"/>
              <w:rPr>
                <w:rFonts w:hint="eastAsia" w:ascii="宋体" w:hAnsi="宋体" w:eastAsia="宋体" w:cs="宋体"/>
                <w:sz w:val="18"/>
                <w:szCs w:val="18"/>
              </w:rPr>
            </w:pPr>
            <w:r>
              <w:rPr>
                <w:rFonts w:hint="eastAsia" w:ascii="宋体" w:hAnsi="宋体" w:eastAsia="宋体" w:cs="宋体"/>
                <w:sz w:val="18"/>
                <w:szCs w:val="18"/>
              </w:rPr>
              <w:t>194.18</w:t>
            </w:r>
          </w:p>
        </w:tc>
        <w:tc>
          <w:tcPr>
            <w:tcW w:w="1276" w:type="dxa"/>
            <w:tcBorders>
              <w:top w:val="nil"/>
              <w:left w:val="nil"/>
              <w:bottom w:val="single" w:color="auto" w:sz="4" w:space="0"/>
              <w:right w:val="single" w:color="auto" w:sz="4" w:space="0"/>
            </w:tcBorders>
            <w:vAlign w:val="center"/>
          </w:tcPr>
          <w:p w14:paraId="5D9F3112">
            <w:pPr>
              <w:jc w:val="center"/>
              <w:rPr>
                <w:rFonts w:hint="eastAsia" w:ascii="宋体" w:hAnsi="宋体" w:eastAsia="宋体" w:cs="宋体"/>
                <w:sz w:val="18"/>
                <w:szCs w:val="18"/>
              </w:rPr>
            </w:pPr>
            <w:r>
              <w:rPr>
                <w:rFonts w:hint="eastAsia" w:ascii="宋体" w:hAnsi="宋体" w:eastAsia="宋体" w:cs="宋体"/>
                <w:sz w:val="18"/>
                <w:szCs w:val="18"/>
              </w:rPr>
              <w:t>171.76</w:t>
            </w:r>
          </w:p>
        </w:tc>
        <w:tc>
          <w:tcPr>
            <w:tcW w:w="1701" w:type="dxa"/>
            <w:tcBorders>
              <w:top w:val="nil"/>
              <w:left w:val="nil"/>
              <w:bottom w:val="single" w:color="auto" w:sz="4" w:space="0"/>
              <w:right w:val="single" w:color="auto" w:sz="4" w:space="0"/>
            </w:tcBorders>
            <w:vAlign w:val="center"/>
          </w:tcPr>
          <w:p w14:paraId="3F2A710E">
            <w:pPr>
              <w:jc w:val="center"/>
              <w:rPr>
                <w:rFonts w:hint="eastAsia" w:ascii="宋体" w:hAnsi="宋体" w:eastAsia="宋体" w:cs="宋体"/>
                <w:sz w:val="18"/>
                <w:szCs w:val="18"/>
              </w:rPr>
            </w:pPr>
            <w:r>
              <w:rPr>
                <w:rFonts w:hint="eastAsia" w:ascii="宋体" w:hAnsi="宋体" w:eastAsia="宋体" w:cs="宋体"/>
                <w:sz w:val="18"/>
                <w:szCs w:val="18"/>
              </w:rPr>
              <w:t>162.61</w:t>
            </w:r>
          </w:p>
        </w:tc>
        <w:tc>
          <w:tcPr>
            <w:tcW w:w="1134" w:type="dxa"/>
            <w:tcBorders>
              <w:top w:val="nil"/>
              <w:left w:val="nil"/>
              <w:bottom w:val="single" w:color="auto" w:sz="4" w:space="0"/>
              <w:right w:val="single" w:color="auto" w:sz="4" w:space="0"/>
            </w:tcBorders>
            <w:vAlign w:val="center"/>
          </w:tcPr>
          <w:p w14:paraId="5A40070B">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14:paraId="655B0C7B">
            <w:pPr>
              <w:jc w:val="center"/>
              <w:rPr>
                <w:rFonts w:hint="eastAsia" w:ascii="宋体" w:hAnsi="宋体" w:eastAsia="宋体" w:cs="宋体"/>
                <w:sz w:val="18"/>
                <w:szCs w:val="18"/>
              </w:rPr>
            </w:pPr>
            <w:r>
              <w:rPr>
                <w:rFonts w:hint="eastAsia" w:ascii="宋体" w:hAnsi="宋体" w:eastAsia="宋体" w:cs="宋体"/>
                <w:sz w:val="18"/>
                <w:szCs w:val="18"/>
              </w:rPr>
              <w:t>94.67%</w:t>
            </w:r>
          </w:p>
        </w:tc>
        <w:tc>
          <w:tcPr>
            <w:tcW w:w="720" w:type="dxa"/>
            <w:tcBorders>
              <w:top w:val="nil"/>
              <w:left w:val="nil"/>
              <w:bottom w:val="single" w:color="auto" w:sz="4" w:space="0"/>
              <w:right w:val="single" w:color="auto" w:sz="4" w:space="0"/>
            </w:tcBorders>
            <w:vAlign w:val="center"/>
          </w:tcPr>
          <w:p w14:paraId="70FAC291">
            <w:pPr>
              <w:jc w:val="center"/>
              <w:rPr>
                <w:rFonts w:hint="eastAsia" w:ascii="宋体" w:hAnsi="宋体" w:eastAsia="宋体" w:cs="宋体"/>
                <w:sz w:val="18"/>
                <w:szCs w:val="18"/>
              </w:rPr>
            </w:pPr>
            <w:r>
              <w:rPr>
                <w:rFonts w:hint="eastAsia" w:ascii="宋体" w:hAnsi="宋体" w:eastAsia="宋体" w:cs="宋体"/>
                <w:sz w:val="18"/>
                <w:szCs w:val="18"/>
              </w:rPr>
              <w:t>9.47</w:t>
            </w:r>
          </w:p>
        </w:tc>
        <w:tc>
          <w:tcPr>
            <w:tcW w:w="284" w:type="dxa"/>
            <w:tcBorders>
              <w:top w:val="nil"/>
              <w:left w:val="nil"/>
              <w:bottom w:val="nil"/>
              <w:right w:val="nil"/>
            </w:tcBorders>
            <w:noWrap/>
            <w:vAlign w:val="center"/>
          </w:tcPr>
          <w:p w14:paraId="5F07267E">
            <w:pPr>
              <w:jc w:val="center"/>
              <w:rPr>
                <w:rFonts w:hint="eastAsia" w:ascii="宋体" w:hAnsi="宋体" w:eastAsia="宋体" w:cs="宋体"/>
                <w:b/>
                <w:bCs/>
                <w:sz w:val="18"/>
                <w:szCs w:val="18"/>
              </w:rPr>
            </w:pPr>
          </w:p>
        </w:tc>
      </w:tr>
      <w:tr w14:paraId="49E105A5">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899A365">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691E4EF4">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14:paraId="4AC7CABF">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76" w:type="dxa"/>
            <w:tcBorders>
              <w:top w:val="nil"/>
              <w:left w:val="nil"/>
              <w:bottom w:val="single" w:color="auto" w:sz="4" w:space="0"/>
              <w:right w:val="single" w:color="auto" w:sz="4" w:space="0"/>
            </w:tcBorders>
            <w:vAlign w:val="center"/>
          </w:tcPr>
          <w:p w14:paraId="6DB9CEA3">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701" w:type="dxa"/>
            <w:tcBorders>
              <w:top w:val="nil"/>
              <w:left w:val="nil"/>
              <w:bottom w:val="single" w:color="auto" w:sz="4" w:space="0"/>
              <w:right w:val="single" w:color="auto" w:sz="4" w:space="0"/>
            </w:tcBorders>
            <w:vAlign w:val="center"/>
          </w:tcPr>
          <w:p w14:paraId="0C392779">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07AC01EF">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6CD2F168">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73841CD6">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2E5339E6">
            <w:pPr>
              <w:jc w:val="center"/>
              <w:rPr>
                <w:rFonts w:hint="eastAsia" w:ascii="宋体" w:hAnsi="宋体" w:eastAsia="宋体" w:cs="宋体"/>
                <w:sz w:val="18"/>
                <w:szCs w:val="18"/>
              </w:rPr>
            </w:pPr>
          </w:p>
        </w:tc>
      </w:tr>
      <w:tr w14:paraId="025D921D">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8A263A8">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68D60044">
            <w:pPr>
              <w:jc w:val="center"/>
              <w:rPr>
                <w:rFonts w:hint="eastAsia" w:ascii="宋体" w:hAnsi="宋体" w:eastAsia="宋体" w:cs="宋体"/>
                <w:b/>
                <w:bCs/>
                <w:sz w:val="18"/>
                <w:szCs w:val="18"/>
              </w:rPr>
            </w:pPr>
            <w:r>
              <w:rPr>
                <w:rFonts w:hint="eastAsia" w:ascii="宋体" w:hAnsi="宋体" w:eastAsia="宋体" w:cs="宋体"/>
                <w:b/>
                <w:bCs/>
                <w:sz w:val="18"/>
                <w:szCs w:val="18"/>
              </w:rPr>
              <w:t>本级资金（万元）</w:t>
            </w:r>
          </w:p>
        </w:tc>
        <w:tc>
          <w:tcPr>
            <w:tcW w:w="1418" w:type="dxa"/>
            <w:tcBorders>
              <w:top w:val="nil"/>
              <w:left w:val="nil"/>
              <w:bottom w:val="single" w:color="auto" w:sz="4" w:space="0"/>
              <w:right w:val="single" w:color="auto" w:sz="4" w:space="0"/>
            </w:tcBorders>
            <w:vAlign w:val="center"/>
          </w:tcPr>
          <w:p w14:paraId="74D5218B">
            <w:pPr>
              <w:jc w:val="center"/>
              <w:rPr>
                <w:rFonts w:hint="eastAsia" w:ascii="宋体" w:hAnsi="宋体" w:eastAsia="宋体" w:cs="宋体"/>
                <w:sz w:val="18"/>
                <w:szCs w:val="18"/>
              </w:rPr>
            </w:pPr>
            <w:r>
              <w:rPr>
                <w:rFonts w:hint="eastAsia" w:ascii="宋体" w:hAnsi="宋体" w:eastAsia="宋体" w:cs="宋体"/>
                <w:sz w:val="18"/>
                <w:szCs w:val="18"/>
              </w:rPr>
              <w:t>192.18</w:t>
            </w:r>
          </w:p>
        </w:tc>
        <w:tc>
          <w:tcPr>
            <w:tcW w:w="1276" w:type="dxa"/>
            <w:tcBorders>
              <w:top w:val="nil"/>
              <w:left w:val="nil"/>
              <w:bottom w:val="single" w:color="auto" w:sz="4" w:space="0"/>
              <w:right w:val="single" w:color="auto" w:sz="4" w:space="0"/>
            </w:tcBorders>
            <w:vAlign w:val="center"/>
          </w:tcPr>
          <w:p w14:paraId="2F74C077">
            <w:pPr>
              <w:jc w:val="center"/>
              <w:rPr>
                <w:rFonts w:hint="eastAsia" w:ascii="宋体" w:hAnsi="宋体" w:eastAsia="宋体" w:cs="宋体"/>
                <w:sz w:val="18"/>
                <w:szCs w:val="18"/>
              </w:rPr>
            </w:pPr>
            <w:r>
              <w:rPr>
                <w:rFonts w:hint="eastAsia" w:ascii="宋体" w:hAnsi="宋体" w:eastAsia="宋体" w:cs="宋体"/>
                <w:sz w:val="18"/>
                <w:szCs w:val="18"/>
              </w:rPr>
              <w:t>171.76</w:t>
            </w:r>
          </w:p>
        </w:tc>
        <w:tc>
          <w:tcPr>
            <w:tcW w:w="1701" w:type="dxa"/>
            <w:tcBorders>
              <w:top w:val="nil"/>
              <w:left w:val="nil"/>
              <w:bottom w:val="single" w:color="auto" w:sz="4" w:space="0"/>
              <w:right w:val="single" w:color="auto" w:sz="4" w:space="0"/>
            </w:tcBorders>
            <w:vAlign w:val="center"/>
          </w:tcPr>
          <w:p w14:paraId="2D086F85">
            <w:pPr>
              <w:jc w:val="center"/>
              <w:rPr>
                <w:rFonts w:hint="eastAsia" w:ascii="宋体" w:hAnsi="宋体" w:eastAsia="宋体" w:cs="宋体"/>
                <w:sz w:val="18"/>
                <w:szCs w:val="18"/>
              </w:rPr>
            </w:pPr>
            <w:r>
              <w:rPr>
                <w:rFonts w:hint="eastAsia" w:ascii="宋体" w:hAnsi="宋体" w:eastAsia="宋体" w:cs="宋体"/>
                <w:sz w:val="18"/>
                <w:szCs w:val="18"/>
              </w:rPr>
              <w:t>162.61</w:t>
            </w:r>
          </w:p>
        </w:tc>
        <w:tc>
          <w:tcPr>
            <w:tcW w:w="1134" w:type="dxa"/>
            <w:tcBorders>
              <w:top w:val="nil"/>
              <w:left w:val="nil"/>
              <w:bottom w:val="single" w:color="auto" w:sz="4" w:space="0"/>
              <w:right w:val="single" w:color="auto" w:sz="4" w:space="0"/>
            </w:tcBorders>
            <w:vAlign w:val="center"/>
          </w:tcPr>
          <w:p w14:paraId="37AB1670">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3988875A">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45BD582B">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0BEC469C">
            <w:pPr>
              <w:jc w:val="center"/>
              <w:rPr>
                <w:rFonts w:hint="eastAsia" w:ascii="宋体" w:hAnsi="宋体" w:eastAsia="宋体" w:cs="宋体"/>
                <w:sz w:val="18"/>
                <w:szCs w:val="18"/>
              </w:rPr>
            </w:pPr>
          </w:p>
        </w:tc>
      </w:tr>
      <w:tr w14:paraId="29A00BFF">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ABB01EE">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5345E56C">
            <w:pPr>
              <w:jc w:val="center"/>
              <w:rPr>
                <w:rFonts w:hint="eastAsia" w:ascii="宋体" w:hAnsi="宋体" w:eastAsia="宋体" w:cs="宋体"/>
                <w:b/>
                <w:bCs/>
                <w:sz w:val="18"/>
                <w:szCs w:val="18"/>
              </w:rPr>
            </w:pPr>
            <w:r>
              <w:rPr>
                <w:rFonts w:hint="eastAsia" w:ascii="宋体" w:hAnsi="宋体" w:eastAsia="宋体" w:cs="宋体"/>
                <w:b/>
                <w:bCs/>
                <w:sz w:val="18"/>
                <w:szCs w:val="18"/>
              </w:rPr>
              <w:t>其他资金（万元）</w:t>
            </w:r>
          </w:p>
        </w:tc>
        <w:tc>
          <w:tcPr>
            <w:tcW w:w="1418" w:type="dxa"/>
            <w:tcBorders>
              <w:top w:val="nil"/>
              <w:left w:val="nil"/>
              <w:bottom w:val="single" w:color="auto" w:sz="4" w:space="0"/>
              <w:right w:val="single" w:color="auto" w:sz="4" w:space="0"/>
            </w:tcBorders>
            <w:vAlign w:val="center"/>
          </w:tcPr>
          <w:p w14:paraId="3B7F4889">
            <w:pPr>
              <w:jc w:val="center"/>
              <w:rPr>
                <w:rFonts w:hint="eastAsia" w:ascii="宋体" w:hAnsi="宋体" w:eastAsia="宋体" w:cs="宋体"/>
                <w:sz w:val="18"/>
                <w:szCs w:val="18"/>
              </w:rPr>
            </w:pPr>
            <w:r>
              <w:rPr>
                <w:rFonts w:hint="eastAsia" w:ascii="宋体" w:hAnsi="宋体" w:eastAsia="宋体" w:cs="宋体"/>
                <w:sz w:val="18"/>
                <w:szCs w:val="18"/>
              </w:rPr>
              <w:t>2.00</w:t>
            </w:r>
          </w:p>
        </w:tc>
        <w:tc>
          <w:tcPr>
            <w:tcW w:w="1276" w:type="dxa"/>
            <w:tcBorders>
              <w:top w:val="nil"/>
              <w:left w:val="nil"/>
              <w:bottom w:val="single" w:color="auto" w:sz="4" w:space="0"/>
              <w:right w:val="single" w:color="auto" w:sz="4" w:space="0"/>
            </w:tcBorders>
            <w:vAlign w:val="center"/>
          </w:tcPr>
          <w:p w14:paraId="1D0E839E">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701" w:type="dxa"/>
            <w:tcBorders>
              <w:top w:val="nil"/>
              <w:left w:val="nil"/>
              <w:bottom w:val="single" w:color="auto" w:sz="4" w:space="0"/>
              <w:right w:val="single" w:color="auto" w:sz="4" w:space="0"/>
            </w:tcBorders>
            <w:vAlign w:val="center"/>
          </w:tcPr>
          <w:p w14:paraId="50DC01B0">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2339AD1B">
            <w:pPr>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14:paraId="76B2BB6C">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41CD1D8A">
            <w:pPr>
              <w:jc w:val="center"/>
              <w:rPr>
                <w:rFonts w:hint="eastAsia" w:ascii="宋体" w:hAnsi="宋体" w:eastAsia="宋体" w:cs="宋体"/>
                <w:sz w:val="18"/>
                <w:szCs w:val="18"/>
              </w:rPr>
            </w:pPr>
            <w:r>
              <w:rPr>
                <w:rFonts w:hint="eastAsia" w:ascii="宋体" w:hAnsi="宋体" w:eastAsia="宋体" w:cs="宋体"/>
                <w:sz w:val="18"/>
                <w:szCs w:val="18"/>
              </w:rPr>
              <w:t>-</w:t>
            </w:r>
          </w:p>
        </w:tc>
        <w:tc>
          <w:tcPr>
            <w:tcW w:w="284" w:type="dxa"/>
            <w:tcBorders>
              <w:top w:val="nil"/>
              <w:left w:val="nil"/>
              <w:bottom w:val="nil"/>
              <w:right w:val="nil"/>
            </w:tcBorders>
            <w:noWrap/>
            <w:vAlign w:val="center"/>
          </w:tcPr>
          <w:p w14:paraId="74F301FC">
            <w:pPr>
              <w:jc w:val="center"/>
              <w:rPr>
                <w:rFonts w:hint="eastAsia" w:ascii="宋体" w:hAnsi="宋体" w:eastAsia="宋体" w:cs="宋体"/>
                <w:sz w:val="18"/>
                <w:szCs w:val="18"/>
              </w:rPr>
            </w:pPr>
          </w:p>
        </w:tc>
      </w:tr>
      <w:tr w14:paraId="144F6431">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7BF8FB64">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19D12FA7">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091DEB1E">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c>
          <w:tcPr>
            <w:tcW w:w="284" w:type="dxa"/>
            <w:tcBorders>
              <w:top w:val="nil"/>
              <w:left w:val="nil"/>
              <w:bottom w:val="nil"/>
              <w:right w:val="nil"/>
            </w:tcBorders>
            <w:noWrap/>
            <w:vAlign w:val="center"/>
          </w:tcPr>
          <w:p w14:paraId="5BD1A262">
            <w:pPr>
              <w:rPr>
                <w:rFonts w:hint="eastAsia" w:ascii="宋体" w:hAnsi="宋体" w:eastAsia="宋体" w:cs="宋体"/>
                <w:b/>
                <w:bCs/>
                <w:sz w:val="18"/>
                <w:szCs w:val="18"/>
              </w:rPr>
            </w:pPr>
          </w:p>
        </w:tc>
      </w:tr>
      <w:tr w14:paraId="13AE9DAF">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4C3766E">
            <w:pPr>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14:paraId="19A33081">
            <w:pPr>
              <w:rPr>
                <w:rFonts w:hint="eastAsia" w:ascii="宋体" w:hAnsi="宋体" w:eastAsia="宋体" w:cs="宋体"/>
                <w:sz w:val="18"/>
                <w:szCs w:val="18"/>
                <w:lang w:eastAsia="zh-CN"/>
              </w:rPr>
            </w:pPr>
            <w:r>
              <w:rPr>
                <w:rFonts w:hint="eastAsia" w:ascii="宋体" w:hAnsi="宋体" w:eastAsia="宋体" w:cs="宋体"/>
                <w:sz w:val="18"/>
                <w:szCs w:val="18"/>
                <w:lang w:eastAsia="zh-CN"/>
              </w:rPr>
              <w:t>一、单位职责：贯彻落实中央、自治区和我市有关农村经济和社会发展的方针、政策，组织指导全区供销系统积极参与和推进农业产业化经营、农村社会化服务，组织、协调农村经营服务，深化供销社改革，持续推动“三位一体”综合合作试点工作，发挥供销系统桥梁纽带作用及行业优势，助力乡村振兴、和美乡村建设。二、2024年工作任务：1、建立健全农资保供工作机制；2、强化农产品对接；3、优化再生资源回收体系；4、强化科技教育服务能力。</w:t>
            </w:r>
          </w:p>
        </w:tc>
        <w:tc>
          <w:tcPr>
            <w:tcW w:w="4547" w:type="dxa"/>
            <w:gridSpan w:val="4"/>
            <w:tcBorders>
              <w:top w:val="single" w:color="auto" w:sz="4" w:space="0"/>
              <w:left w:val="nil"/>
              <w:bottom w:val="single" w:color="auto" w:sz="4" w:space="0"/>
              <w:right w:val="single" w:color="auto" w:sz="4" w:space="0"/>
            </w:tcBorders>
          </w:tcPr>
          <w:p w14:paraId="248896D6">
            <w:pPr>
              <w:rPr>
                <w:rFonts w:hint="eastAsia" w:ascii="宋体" w:hAnsi="宋体" w:eastAsia="宋体" w:cs="宋体"/>
                <w:sz w:val="18"/>
                <w:szCs w:val="18"/>
                <w:lang w:eastAsia="zh-CN"/>
              </w:rPr>
            </w:pPr>
            <w:r>
              <w:rPr>
                <w:rFonts w:hint="eastAsia" w:ascii="宋体" w:hAnsi="宋体" w:eastAsia="宋体" w:cs="宋体"/>
                <w:sz w:val="18"/>
                <w:szCs w:val="18"/>
                <w:lang w:eastAsia="zh-CN"/>
              </w:rPr>
              <w:t>乌鲁木齐市米东区供销合作社联合社始终坚持以习近平新时代中国特色社会主义思想为指导，认真学习贯彻党的二十大和二十届三次全会精神，紧紧围绕米东区委、区政府和上级社的重点工作，结合我单位实际，以为农服务中心建设、拓宽为农服务领域、提升社属企业资产效益为重点，进一步深化综合改革，提升为农服务实力，各项工作取得了显著成效。1、与羊毛工镇留子庙村个体经营户合作设立的废旧地膜、滴灌带回收服务站，能够促进资源循环利用，助力解决农村废旧农膜污染治理难题，改善生态环境，建设和美乡村。2、组织引导社有企业、农民专业合作社参加疆内外农产品展销会，通过组织引导社有企业、农民专业合作社参与疆内外展销会，有效推动产销对接、品牌建设和农民增收，筑起联农助农桥梁。3、组织农民实用技能培训。通过开展农民实用技术培训，有效提高农民科学种养殖技术水平，促进农民增收，提升农业现代化水平。</w:t>
            </w:r>
          </w:p>
        </w:tc>
        <w:tc>
          <w:tcPr>
            <w:tcW w:w="284" w:type="dxa"/>
            <w:tcBorders>
              <w:top w:val="nil"/>
              <w:left w:val="nil"/>
              <w:bottom w:val="nil"/>
              <w:right w:val="nil"/>
            </w:tcBorders>
            <w:noWrap/>
            <w:vAlign w:val="center"/>
          </w:tcPr>
          <w:p w14:paraId="270F5EA5">
            <w:pPr>
              <w:rPr>
                <w:rFonts w:hint="eastAsia" w:ascii="宋体" w:hAnsi="宋体" w:eastAsia="宋体" w:cs="宋体"/>
                <w:sz w:val="18"/>
                <w:szCs w:val="18"/>
                <w:lang w:eastAsia="zh-CN"/>
              </w:rPr>
            </w:pPr>
          </w:p>
        </w:tc>
      </w:tr>
      <w:tr w14:paraId="242EF491">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2CE40FD4">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443FF5E8">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64C9A078">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14:paraId="261DF79C">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701" w:type="dxa"/>
            <w:tcBorders>
              <w:top w:val="nil"/>
              <w:left w:val="nil"/>
              <w:bottom w:val="single" w:color="auto" w:sz="4" w:space="0"/>
              <w:right w:val="single" w:color="auto" w:sz="4" w:space="0"/>
            </w:tcBorders>
            <w:vAlign w:val="center"/>
          </w:tcPr>
          <w:p w14:paraId="66B0D13E">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285832DB">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992" w:type="dxa"/>
            <w:tcBorders>
              <w:top w:val="nil"/>
              <w:left w:val="nil"/>
              <w:bottom w:val="single" w:color="auto" w:sz="4" w:space="0"/>
              <w:right w:val="single" w:color="auto" w:sz="4" w:space="0"/>
            </w:tcBorders>
            <w:vAlign w:val="center"/>
          </w:tcPr>
          <w:p w14:paraId="5AA3D4A6">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720" w:type="dxa"/>
            <w:tcBorders>
              <w:top w:val="nil"/>
              <w:left w:val="nil"/>
              <w:bottom w:val="single" w:color="auto" w:sz="4" w:space="0"/>
              <w:right w:val="single" w:color="auto" w:sz="4" w:space="0"/>
            </w:tcBorders>
            <w:vAlign w:val="center"/>
          </w:tcPr>
          <w:p w14:paraId="5A21BD05">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5B5D450D">
            <w:pPr>
              <w:rPr>
                <w:rFonts w:hint="eastAsia" w:ascii="宋体" w:hAnsi="宋体" w:eastAsia="宋体" w:cs="宋体"/>
                <w:b/>
                <w:bCs/>
                <w:sz w:val="18"/>
                <w:szCs w:val="18"/>
              </w:rPr>
            </w:pPr>
          </w:p>
        </w:tc>
      </w:tr>
      <w:tr w14:paraId="47AD006E">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38692748">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3514CF5F">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7A643DA9">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建废旧地膜和滴灌带回收网点</w:t>
            </w:r>
          </w:p>
        </w:tc>
        <w:tc>
          <w:tcPr>
            <w:tcW w:w="1276" w:type="dxa"/>
            <w:tcBorders>
              <w:top w:val="nil"/>
              <w:left w:val="nil"/>
              <w:bottom w:val="single" w:color="auto" w:sz="4" w:space="0"/>
              <w:right w:val="single" w:color="auto" w:sz="4" w:space="0"/>
            </w:tcBorders>
            <w:noWrap/>
            <w:vAlign w:val="center"/>
          </w:tcPr>
          <w:p w14:paraId="729E678A">
            <w:pPr>
              <w:jc w:val="center"/>
              <w:rPr>
                <w:rFonts w:hint="eastAsia" w:ascii="宋体" w:hAnsi="宋体" w:eastAsia="宋体" w:cs="宋体"/>
                <w:sz w:val="18"/>
                <w:szCs w:val="18"/>
              </w:rPr>
            </w:pPr>
            <w:r>
              <w:rPr>
                <w:rFonts w:hint="eastAsia" w:ascii="宋体" w:hAnsi="宋体" w:eastAsia="宋体" w:cs="宋体"/>
                <w:sz w:val="18"/>
                <w:szCs w:val="18"/>
              </w:rPr>
              <w:t>=1个</w:t>
            </w:r>
          </w:p>
        </w:tc>
        <w:tc>
          <w:tcPr>
            <w:tcW w:w="1701" w:type="dxa"/>
            <w:tcBorders>
              <w:top w:val="nil"/>
              <w:left w:val="nil"/>
              <w:bottom w:val="single" w:color="auto" w:sz="4" w:space="0"/>
              <w:right w:val="single" w:color="auto" w:sz="4" w:space="0"/>
            </w:tcBorders>
            <w:noWrap/>
            <w:vAlign w:val="center"/>
          </w:tcPr>
          <w:p w14:paraId="41F70FBF">
            <w:pPr>
              <w:rPr>
                <w:rFonts w:hint="eastAsia" w:ascii="宋体" w:hAnsi="宋体" w:eastAsia="宋体" w:cs="宋体"/>
                <w:sz w:val="18"/>
                <w:szCs w:val="18"/>
                <w:lang w:eastAsia="zh-CN"/>
              </w:rPr>
            </w:pPr>
            <w:r>
              <w:rPr>
                <w:rFonts w:hint="eastAsia" w:ascii="宋体" w:hAnsi="宋体" w:eastAsia="宋体" w:cs="宋体"/>
                <w:sz w:val="18"/>
                <w:szCs w:val="18"/>
                <w:lang w:eastAsia="zh-CN"/>
              </w:rPr>
              <w:t>米东区供销合作社2024年重点工作任务分解方案</w:t>
            </w:r>
          </w:p>
        </w:tc>
        <w:tc>
          <w:tcPr>
            <w:tcW w:w="1134" w:type="dxa"/>
            <w:tcBorders>
              <w:top w:val="nil"/>
              <w:left w:val="nil"/>
              <w:bottom w:val="single" w:color="auto" w:sz="4" w:space="0"/>
              <w:right w:val="single" w:color="auto" w:sz="4" w:space="0"/>
            </w:tcBorders>
            <w:noWrap/>
            <w:vAlign w:val="center"/>
          </w:tcPr>
          <w:p w14:paraId="3E23DA8B">
            <w:pPr>
              <w:jc w:val="center"/>
              <w:rPr>
                <w:rFonts w:hint="eastAsia" w:ascii="宋体" w:hAnsi="宋体" w:eastAsia="宋体" w:cs="宋体"/>
                <w:sz w:val="18"/>
                <w:szCs w:val="18"/>
              </w:rPr>
            </w:pPr>
            <w:r>
              <w:rPr>
                <w:rFonts w:hint="eastAsia" w:ascii="宋体" w:hAnsi="宋体" w:eastAsia="宋体" w:cs="宋体"/>
                <w:sz w:val="18"/>
                <w:szCs w:val="18"/>
              </w:rPr>
              <w:t>1</w:t>
            </w:r>
          </w:p>
        </w:tc>
        <w:tc>
          <w:tcPr>
            <w:tcW w:w="992" w:type="dxa"/>
            <w:tcBorders>
              <w:top w:val="nil"/>
              <w:left w:val="nil"/>
              <w:bottom w:val="single" w:color="auto" w:sz="4" w:space="0"/>
              <w:right w:val="single" w:color="auto" w:sz="4" w:space="0"/>
            </w:tcBorders>
            <w:noWrap/>
            <w:vAlign w:val="center"/>
          </w:tcPr>
          <w:p w14:paraId="0083DD44">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5DCC3A37">
            <w:pPr>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7EE238E1">
            <w:pPr>
              <w:jc w:val="center"/>
              <w:rPr>
                <w:rFonts w:hint="eastAsia" w:ascii="宋体" w:hAnsi="宋体" w:eastAsia="宋体" w:cs="宋体"/>
                <w:sz w:val="18"/>
                <w:szCs w:val="18"/>
              </w:rPr>
            </w:pPr>
          </w:p>
        </w:tc>
      </w:tr>
      <w:tr w14:paraId="1AF48DDD">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52F65CFE">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505A5EBB">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35F0F956">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支持社有企业、农民专业合作社参加疆内外农产品展销会</w:t>
            </w:r>
          </w:p>
        </w:tc>
        <w:tc>
          <w:tcPr>
            <w:tcW w:w="1276" w:type="dxa"/>
            <w:tcBorders>
              <w:top w:val="nil"/>
              <w:left w:val="nil"/>
              <w:bottom w:val="single" w:color="auto" w:sz="4" w:space="0"/>
              <w:right w:val="single" w:color="auto" w:sz="4" w:space="0"/>
            </w:tcBorders>
            <w:noWrap/>
            <w:vAlign w:val="center"/>
          </w:tcPr>
          <w:p w14:paraId="789A2411">
            <w:pPr>
              <w:jc w:val="center"/>
              <w:rPr>
                <w:rFonts w:hint="eastAsia" w:ascii="宋体" w:hAnsi="宋体" w:eastAsia="宋体" w:cs="宋体"/>
                <w:sz w:val="18"/>
                <w:szCs w:val="18"/>
              </w:rPr>
            </w:pPr>
            <w:r>
              <w:rPr>
                <w:rFonts w:hint="eastAsia" w:ascii="宋体" w:hAnsi="宋体" w:eastAsia="宋体" w:cs="宋体"/>
                <w:sz w:val="18"/>
                <w:szCs w:val="18"/>
              </w:rPr>
              <w:t>&gt;=2次</w:t>
            </w:r>
          </w:p>
        </w:tc>
        <w:tc>
          <w:tcPr>
            <w:tcW w:w="1701" w:type="dxa"/>
            <w:tcBorders>
              <w:top w:val="nil"/>
              <w:left w:val="nil"/>
              <w:bottom w:val="single" w:color="auto" w:sz="4" w:space="0"/>
              <w:right w:val="single" w:color="auto" w:sz="4" w:space="0"/>
            </w:tcBorders>
            <w:noWrap/>
            <w:vAlign w:val="center"/>
          </w:tcPr>
          <w:p w14:paraId="4C66997C">
            <w:pPr>
              <w:rPr>
                <w:rFonts w:hint="eastAsia" w:ascii="宋体" w:hAnsi="宋体" w:eastAsia="宋体" w:cs="宋体"/>
                <w:sz w:val="18"/>
                <w:szCs w:val="18"/>
                <w:lang w:eastAsia="zh-CN"/>
              </w:rPr>
            </w:pPr>
            <w:r>
              <w:rPr>
                <w:rFonts w:hint="eastAsia" w:ascii="宋体" w:hAnsi="宋体" w:eastAsia="宋体" w:cs="宋体"/>
                <w:sz w:val="18"/>
                <w:szCs w:val="18"/>
                <w:lang w:eastAsia="zh-CN"/>
              </w:rPr>
              <w:t>米东区供销合作社2024年重点工作任务分解方案</w:t>
            </w:r>
          </w:p>
        </w:tc>
        <w:tc>
          <w:tcPr>
            <w:tcW w:w="1134" w:type="dxa"/>
            <w:tcBorders>
              <w:top w:val="nil"/>
              <w:left w:val="nil"/>
              <w:bottom w:val="single" w:color="auto" w:sz="4" w:space="0"/>
              <w:right w:val="single" w:color="auto" w:sz="4" w:space="0"/>
            </w:tcBorders>
            <w:noWrap/>
            <w:vAlign w:val="center"/>
          </w:tcPr>
          <w:p w14:paraId="171B06E3">
            <w:pPr>
              <w:jc w:val="center"/>
              <w:rPr>
                <w:rFonts w:hint="eastAsia" w:ascii="宋体" w:hAnsi="宋体" w:eastAsia="宋体" w:cs="宋体"/>
                <w:sz w:val="18"/>
                <w:szCs w:val="18"/>
              </w:rPr>
            </w:pPr>
            <w:r>
              <w:rPr>
                <w:rFonts w:hint="eastAsia" w:ascii="宋体" w:hAnsi="宋体" w:eastAsia="宋体" w:cs="宋体"/>
                <w:sz w:val="18"/>
                <w:szCs w:val="18"/>
              </w:rPr>
              <w:t>2</w:t>
            </w:r>
          </w:p>
        </w:tc>
        <w:tc>
          <w:tcPr>
            <w:tcW w:w="992" w:type="dxa"/>
            <w:tcBorders>
              <w:top w:val="nil"/>
              <w:left w:val="nil"/>
              <w:bottom w:val="single" w:color="auto" w:sz="4" w:space="0"/>
              <w:right w:val="single" w:color="auto" w:sz="4" w:space="0"/>
            </w:tcBorders>
            <w:noWrap/>
            <w:vAlign w:val="center"/>
          </w:tcPr>
          <w:p w14:paraId="02E3E7F8">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7C46BCBA">
            <w:pPr>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40C32F26">
            <w:pPr>
              <w:jc w:val="center"/>
              <w:rPr>
                <w:rFonts w:hint="eastAsia" w:ascii="宋体" w:hAnsi="宋体" w:eastAsia="宋体" w:cs="宋体"/>
                <w:sz w:val="18"/>
                <w:szCs w:val="18"/>
              </w:rPr>
            </w:pPr>
          </w:p>
        </w:tc>
      </w:tr>
      <w:tr w14:paraId="75991A22">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32F30E95">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318345EB">
            <w:pPr>
              <w:jc w:val="center"/>
              <w:rPr>
                <w:rFonts w:hint="eastAsia" w:ascii="宋体" w:hAnsi="宋体" w:eastAsia="宋体" w:cs="宋体"/>
                <w:sz w:val="18"/>
                <w:szCs w:val="18"/>
              </w:rPr>
            </w:pPr>
          </w:p>
        </w:tc>
        <w:tc>
          <w:tcPr>
            <w:tcW w:w="1418" w:type="dxa"/>
            <w:tcBorders>
              <w:top w:val="single" w:color="auto" w:sz="4" w:space="0"/>
              <w:left w:val="nil"/>
              <w:bottom w:val="single" w:color="auto" w:sz="4" w:space="0"/>
              <w:right w:val="single" w:color="auto" w:sz="4" w:space="0"/>
            </w:tcBorders>
            <w:noWrap/>
            <w:vAlign w:val="center"/>
          </w:tcPr>
          <w:p w14:paraId="141E0F68">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加强农民实用技能培训</w:t>
            </w:r>
          </w:p>
        </w:tc>
        <w:tc>
          <w:tcPr>
            <w:tcW w:w="1276" w:type="dxa"/>
            <w:tcBorders>
              <w:top w:val="single" w:color="auto" w:sz="4" w:space="0"/>
              <w:left w:val="nil"/>
              <w:bottom w:val="single" w:color="auto" w:sz="4" w:space="0"/>
              <w:right w:val="single" w:color="auto" w:sz="4" w:space="0"/>
            </w:tcBorders>
            <w:noWrap/>
            <w:vAlign w:val="center"/>
          </w:tcPr>
          <w:p w14:paraId="6041C3C0">
            <w:pPr>
              <w:jc w:val="center"/>
              <w:rPr>
                <w:rFonts w:hint="eastAsia" w:ascii="宋体" w:hAnsi="宋体" w:eastAsia="宋体" w:cs="宋体"/>
                <w:sz w:val="18"/>
                <w:szCs w:val="18"/>
              </w:rPr>
            </w:pPr>
            <w:r>
              <w:rPr>
                <w:rFonts w:hint="eastAsia" w:ascii="宋体" w:hAnsi="宋体" w:eastAsia="宋体" w:cs="宋体"/>
                <w:sz w:val="18"/>
                <w:szCs w:val="18"/>
              </w:rPr>
              <w:t>&gt;=100人</w:t>
            </w:r>
          </w:p>
        </w:tc>
        <w:tc>
          <w:tcPr>
            <w:tcW w:w="1701" w:type="dxa"/>
            <w:tcBorders>
              <w:top w:val="single" w:color="auto" w:sz="4" w:space="0"/>
              <w:left w:val="nil"/>
              <w:bottom w:val="single" w:color="auto" w:sz="4" w:space="0"/>
              <w:right w:val="single" w:color="auto" w:sz="4" w:space="0"/>
            </w:tcBorders>
            <w:noWrap/>
            <w:vAlign w:val="center"/>
          </w:tcPr>
          <w:p w14:paraId="55FF74B7">
            <w:pPr>
              <w:rPr>
                <w:rFonts w:hint="eastAsia" w:ascii="宋体" w:hAnsi="宋体" w:eastAsia="宋体" w:cs="宋体"/>
                <w:sz w:val="18"/>
                <w:szCs w:val="18"/>
                <w:lang w:eastAsia="zh-CN"/>
              </w:rPr>
            </w:pPr>
            <w:r>
              <w:rPr>
                <w:rFonts w:hint="eastAsia" w:ascii="宋体" w:hAnsi="宋体" w:eastAsia="宋体" w:cs="宋体"/>
                <w:sz w:val="18"/>
                <w:szCs w:val="18"/>
                <w:lang w:eastAsia="zh-CN"/>
              </w:rPr>
              <w:t>米东区供销合作社2024年重点工作任务分解方案</w:t>
            </w:r>
          </w:p>
        </w:tc>
        <w:tc>
          <w:tcPr>
            <w:tcW w:w="1134" w:type="dxa"/>
            <w:tcBorders>
              <w:top w:val="single" w:color="auto" w:sz="4" w:space="0"/>
              <w:left w:val="nil"/>
              <w:bottom w:val="single" w:color="auto" w:sz="4" w:space="0"/>
              <w:right w:val="single" w:color="auto" w:sz="4" w:space="0"/>
            </w:tcBorders>
            <w:noWrap/>
            <w:vAlign w:val="center"/>
          </w:tcPr>
          <w:p w14:paraId="442D73C3">
            <w:pPr>
              <w:jc w:val="center"/>
              <w:rPr>
                <w:rFonts w:hint="eastAsia" w:ascii="宋体" w:hAnsi="宋体" w:eastAsia="宋体" w:cs="宋体"/>
                <w:sz w:val="18"/>
                <w:szCs w:val="18"/>
              </w:rPr>
            </w:pPr>
            <w:r>
              <w:rPr>
                <w:rFonts w:hint="eastAsia" w:ascii="宋体" w:hAnsi="宋体" w:eastAsia="宋体" w:cs="宋体"/>
                <w:sz w:val="18"/>
                <w:szCs w:val="18"/>
              </w:rPr>
              <w:t>163</w:t>
            </w:r>
          </w:p>
        </w:tc>
        <w:tc>
          <w:tcPr>
            <w:tcW w:w="992" w:type="dxa"/>
            <w:tcBorders>
              <w:top w:val="single" w:color="auto" w:sz="4" w:space="0"/>
              <w:left w:val="nil"/>
              <w:bottom w:val="single" w:color="auto" w:sz="4" w:space="0"/>
              <w:right w:val="single" w:color="auto" w:sz="4" w:space="0"/>
            </w:tcBorders>
            <w:noWrap/>
            <w:vAlign w:val="center"/>
          </w:tcPr>
          <w:p w14:paraId="1EBECD2B">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single" w:color="auto" w:sz="4" w:space="0"/>
              <w:left w:val="nil"/>
              <w:bottom w:val="single" w:color="auto" w:sz="4" w:space="0"/>
              <w:right w:val="single" w:color="auto" w:sz="4" w:space="0"/>
            </w:tcBorders>
            <w:noWrap/>
            <w:vAlign w:val="center"/>
          </w:tcPr>
          <w:p w14:paraId="18D1AF7C">
            <w:pPr>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3F45D8C0">
            <w:pPr>
              <w:jc w:val="center"/>
              <w:rPr>
                <w:rFonts w:hint="eastAsia" w:ascii="宋体" w:hAnsi="宋体" w:eastAsia="宋体" w:cs="宋体"/>
                <w:sz w:val="18"/>
                <w:szCs w:val="18"/>
              </w:rPr>
            </w:pPr>
          </w:p>
        </w:tc>
      </w:tr>
      <w:tr w14:paraId="26A0929E">
        <w:tblPrEx>
          <w:tblCellMar>
            <w:top w:w="0" w:type="dxa"/>
            <w:left w:w="108" w:type="dxa"/>
            <w:bottom w:w="0" w:type="dxa"/>
            <w:right w:w="108" w:type="dxa"/>
          </w:tblCellMar>
        </w:tblPrEx>
        <w:trPr>
          <w:cantSplit/>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0D8C8922">
            <w:pPr>
              <w:jc w:val="center"/>
              <w:rPr>
                <w:rFonts w:hint="eastAsia" w:ascii="宋体" w:hAnsi="宋体" w:eastAsia="宋体" w:cs="宋体"/>
                <w:sz w:val="18"/>
                <w:szCs w:val="18"/>
              </w:rPr>
            </w:pPr>
            <w:r>
              <w:rPr>
                <w:rFonts w:hint="eastAsia" w:ascii="宋体" w:hAnsi="宋体" w:eastAsia="宋体" w:cs="宋体"/>
                <w:sz w:val="18"/>
                <w:szCs w:val="18"/>
              </w:rPr>
              <w:t>总分</w:t>
            </w:r>
          </w:p>
        </w:tc>
        <w:tc>
          <w:tcPr>
            <w:tcW w:w="992" w:type="dxa"/>
            <w:tcBorders>
              <w:top w:val="single" w:color="auto" w:sz="4" w:space="0"/>
              <w:left w:val="nil"/>
              <w:bottom w:val="single" w:color="auto" w:sz="4" w:space="0"/>
              <w:right w:val="single" w:color="auto" w:sz="4" w:space="0"/>
            </w:tcBorders>
            <w:noWrap/>
            <w:vAlign w:val="center"/>
          </w:tcPr>
          <w:p w14:paraId="63759DB7">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single" w:color="auto" w:sz="4" w:space="0"/>
              <w:left w:val="nil"/>
              <w:bottom w:val="single" w:color="auto" w:sz="4" w:space="0"/>
              <w:right w:val="single" w:color="auto" w:sz="4" w:space="0"/>
            </w:tcBorders>
            <w:noWrap/>
            <w:vAlign w:val="center"/>
          </w:tcPr>
          <w:p w14:paraId="32305072">
            <w:pPr>
              <w:jc w:val="center"/>
              <w:rPr>
                <w:rFonts w:hint="eastAsia" w:ascii="宋体" w:hAnsi="宋体" w:eastAsia="宋体" w:cs="宋体"/>
                <w:sz w:val="18"/>
                <w:szCs w:val="18"/>
              </w:rPr>
            </w:pPr>
            <w:r>
              <w:rPr>
                <w:rFonts w:hint="eastAsia" w:ascii="宋体" w:hAnsi="宋体" w:eastAsia="宋体" w:cs="宋体"/>
                <w:sz w:val="18"/>
                <w:szCs w:val="18"/>
              </w:rPr>
              <w:t>99.47</w:t>
            </w:r>
          </w:p>
        </w:tc>
        <w:tc>
          <w:tcPr>
            <w:tcW w:w="284" w:type="dxa"/>
            <w:tcBorders>
              <w:top w:val="nil"/>
              <w:left w:val="nil"/>
              <w:bottom w:val="nil"/>
              <w:right w:val="nil"/>
            </w:tcBorders>
            <w:noWrap/>
            <w:vAlign w:val="center"/>
          </w:tcPr>
          <w:p w14:paraId="028AEC86">
            <w:pPr>
              <w:jc w:val="center"/>
              <w:rPr>
                <w:rFonts w:hint="eastAsia" w:ascii="宋体" w:hAnsi="宋体" w:eastAsia="宋体" w:cs="宋体"/>
                <w:sz w:val="18"/>
                <w:szCs w:val="18"/>
              </w:rPr>
            </w:pPr>
          </w:p>
        </w:tc>
      </w:tr>
    </w:tbl>
    <w:p w14:paraId="79258B3E">
      <w:pPr>
        <w:spacing w:after="0" w:line="240" w:lineRule="auto"/>
        <w:ind w:firstLine="640" w:firstLineChars="200"/>
        <w:jc w:val="both"/>
        <w:rPr>
          <w:rFonts w:ascii="仿宋_GB2312" w:eastAsia="仿宋_GB2312"/>
          <w:sz w:val="32"/>
          <w:szCs w:val="32"/>
        </w:rPr>
      </w:pPr>
    </w:p>
    <w:p w14:paraId="305BC42F">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十二、其他需说明的事项</w:t>
      </w:r>
    </w:p>
    <w:p w14:paraId="554285E0">
      <w:pPr>
        <w:spacing w:after="0" w:line="240" w:lineRule="auto"/>
        <w:ind w:firstLine="640" w:firstLineChars="200"/>
        <w:jc w:val="both"/>
        <w:rPr>
          <w:rFonts w:hint="eastAsia" w:ascii="仿宋_GB2312" w:eastAsia="仿宋_GB2312"/>
          <w:sz w:val="32"/>
          <w:szCs w:val="32"/>
          <w:lang w:eastAsia="zh-CN"/>
        </w:rPr>
      </w:pPr>
      <w:bookmarkStart w:id="0" w:name="_Hlk207053964"/>
      <w:r>
        <w:rPr>
          <w:rFonts w:hint="eastAsia" w:ascii="仿宋_GB2312" w:eastAsia="仿宋_GB2312"/>
          <w:sz w:val="32"/>
          <w:szCs w:val="32"/>
          <w:lang w:eastAsia="zh-CN"/>
        </w:rPr>
        <w:t>我单位2024年度无政府采购支出，授予中小企业合同金额0.00万元</w:t>
      </w:r>
      <w:bookmarkEnd w:id="0"/>
      <w:r>
        <w:rPr>
          <w:rFonts w:ascii="仿宋_GB2312" w:eastAsia="仿宋_GB2312"/>
          <w:sz w:val="32"/>
          <w:szCs w:val="32"/>
          <w:lang w:eastAsia="zh-CN"/>
        </w:rPr>
        <w:t>。</w:t>
      </w:r>
    </w:p>
    <w:p w14:paraId="7416B71E">
      <w:pPr>
        <w:rPr>
          <w:lang w:eastAsia="zh-CN"/>
        </w:rPr>
      </w:pPr>
      <w:r>
        <w:rPr>
          <w:sz w:val="0"/>
          <w:szCs w:val="0"/>
          <w:lang w:eastAsia="zh-CN"/>
        </w:rPr>
        <w:br w:type="page"/>
      </w:r>
    </w:p>
    <w:p w14:paraId="267BE473">
      <w:pPr>
        <w:spacing w:after="0" w:line="240" w:lineRule="auto"/>
        <w:jc w:val="center"/>
        <w:outlineLvl w:val="0"/>
        <w:rPr>
          <w:rFonts w:ascii="黑体" w:eastAsia="黑体"/>
          <w:sz w:val="32"/>
          <w:szCs w:val="32"/>
          <w:lang w:eastAsia="zh-CN"/>
        </w:rPr>
      </w:pPr>
      <w:r>
        <w:rPr>
          <w:rFonts w:ascii="黑体" w:eastAsia="黑体"/>
          <w:sz w:val="32"/>
          <w:szCs w:val="32"/>
          <w:lang w:eastAsia="zh-CN"/>
        </w:rPr>
        <w:t>第三部分 专业名词解释</w:t>
      </w:r>
    </w:p>
    <w:p w14:paraId="79F7CEA4">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32BF52A1">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70D1B770">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3877326F">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4FD691C8">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75A38E1A">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1E8F8398">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02B81359">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ACAE87D">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0545F53C">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67DD9F8A">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3C3E596F">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3EF9CB2B">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FF41447">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21BAB199">
      <w:pPr>
        <w:rPr>
          <w:lang w:eastAsia="zh-CN"/>
        </w:rPr>
      </w:pPr>
      <w:r>
        <w:rPr>
          <w:sz w:val="0"/>
          <w:szCs w:val="0"/>
          <w:lang w:eastAsia="zh-CN"/>
        </w:rPr>
        <w:br w:type="page"/>
      </w:r>
    </w:p>
    <w:p w14:paraId="123C1134">
      <w:pPr>
        <w:spacing w:after="0" w:line="240" w:lineRule="auto"/>
        <w:jc w:val="center"/>
        <w:outlineLvl w:val="0"/>
        <w:rPr>
          <w:rFonts w:ascii="黑体" w:eastAsia="黑体"/>
          <w:sz w:val="32"/>
          <w:szCs w:val="32"/>
          <w:lang w:eastAsia="zh-CN"/>
        </w:rPr>
      </w:pPr>
      <w:r>
        <w:rPr>
          <w:rFonts w:ascii="黑体" w:eastAsia="黑体"/>
          <w:sz w:val="32"/>
          <w:szCs w:val="32"/>
          <w:lang w:eastAsia="zh-CN"/>
        </w:rPr>
        <w:t>第四部分 部门决算报表（见附表）</w:t>
      </w:r>
    </w:p>
    <w:p w14:paraId="256CAA78">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54D4885F">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二、《收入决算表》</w:t>
      </w:r>
    </w:p>
    <w:p w14:paraId="788088FD">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三、《支出决算表》</w:t>
      </w:r>
    </w:p>
    <w:p w14:paraId="76144200">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0234F004">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43E8803A">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498C0272">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1B46A3F0">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000BDD79">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177504"/>
    <w:rsid w:val="00177504"/>
    <w:rsid w:val="004C27CE"/>
    <w:rsid w:val="005B153B"/>
    <w:rsid w:val="009E600C"/>
    <w:rsid w:val="08EC0C19"/>
    <w:rsid w:val="13340991"/>
    <w:rsid w:val="14D94748"/>
    <w:rsid w:val="19F3005A"/>
    <w:rsid w:val="1B391A9C"/>
    <w:rsid w:val="1C146065"/>
    <w:rsid w:val="1D84721B"/>
    <w:rsid w:val="20825C93"/>
    <w:rsid w:val="21F4496F"/>
    <w:rsid w:val="2A41096D"/>
    <w:rsid w:val="2DB57478"/>
    <w:rsid w:val="2E8F0BDD"/>
    <w:rsid w:val="2F283EAA"/>
    <w:rsid w:val="33466FF4"/>
    <w:rsid w:val="360016DD"/>
    <w:rsid w:val="365437D6"/>
    <w:rsid w:val="47BB1907"/>
    <w:rsid w:val="49F11610"/>
    <w:rsid w:val="4F42290E"/>
    <w:rsid w:val="520B348B"/>
    <w:rsid w:val="53BA0CC5"/>
    <w:rsid w:val="57BB14B0"/>
    <w:rsid w:val="5B51235D"/>
    <w:rsid w:val="5C702869"/>
    <w:rsid w:val="609A4358"/>
    <w:rsid w:val="672A7CFA"/>
    <w:rsid w:val="6E9248C1"/>
    <w:rsid w:val="70F727E4"/>
    <w:rsid w:val="719D061C"/>
    <w:rsid w:val="7F9D4E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F81BD" w:themeColor="accent1"/>
      <w:sz w:val="18"/>
      <w:szCs w:val="18"/>
    </w:rPr>
  </w:style>
  <w:style w:type="paragraph" w:styleId="8">
    <w:name w:val="footer"/>
    <w:basedOn w:val="1"/>
    <w:link w:val="24"/>
    <w:unhideWhenUsed/>
    <w:uiPriority w:val="99"/>
    <w:pPr>
      <w:tabs>
        <w:tab w:val="center" w:pos="4153"/>
        <w:tab w:val="right" w:pos="8306"/>
      </w:tabs>
      <w:snapToGrid w:val="0"/>
      <w:spacing w:line="240" w:lineRule="auto"/>
    </w:pPr>
    <w:rPr>
      <w:sz w:val="18"/>
      <w:szCs w:val="18"/>
    </w:r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F81BD" w:themeColor="accent1"/>
      <w:spacing w:val="15"/>
      <w:sz w:val="24"/>
      <w:szCs w:val="24"/>
    </w:rPr>
  </w:style>
  <w:style w:type="paragraph" w:styleId="11">
    <w:name w:val="Title"/>
    <w:basedOn w:val="1"/>
    <w:next w:val="1"/>
    <w:link w:val="23"/>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table" w:styleId="13">
    <w:name w:val="Table Grid"/>
    <w:basedOn w:val="12"/>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qFormat/>
    <w:uiPriority w:val="99"/>
    <w:rPr>
      <w:color w:val="0000FF" w:themeColor="hyperlink"/>
      <w:u w:val="single"/>
    </w:rPr>
  </w:style>
  <w:style w:type="character" w:customStyle="1" w:styleId="17">
    <w:name w:val="页眉 字符"/>
    <w:basedOn w:val="14"/>
    <w:link w:val="9"/>
    <w:qFormat/>
    <w:uiPriority w:val="99"/>
  </w:style>
  <w:style w:type="character" w:customStyle="1" w:styleId="18">
    <w:name w:val="标题 1 字符"/>
    <w:basedOn w:val="14"/>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19">
    <w:name w:val="标题 2 字符"/>
    <w:basedOn w:val="14"/>
    <w:link w:val="3"/>
    <w:qFormat/>
    <w:uiPriority w:val="9"/>
    <w:rPr>
      <w:rFonts w:asciiTheme="majorHAnsi" w:hAnsiTheme="majorHAnsi" w:eastAsiaTheme="majorEastAsia" w:cstheme="majorBidi"/>
      <w:b/>
      <w:bCs/>
      <w:color w:val="4F81BD" w:themeColor="accent1"/>
      <w:sz w:val="26"/>
      <w:szCs w:val="26"/>
    </w:rPr>
  </w:style>
  <w:style w:type="character" w:customStyle="1" w:styleId="20">
    <w:name w:val="标题 3 字符"/>
    <w:basedOn w:val="14"/>
    <w:link w:val="4"/>
    <w:qFormat/>
    <w:uiPriority w:val="9"/>
    <w:rPr>
      <w:rFonts w:asciiTheme="majorHAnsi" w:hAnsiTheme="majorHAnsi" w:eastAsiaTheme="majorEastAsia" w:cstheme="majorBidi"/>
      <w:b/>
      <w:bCs/>
      <w:color w:val="4F81BD" w:themeColor="accent1"/>
    </w:rPr>
  </w:style>
  <w:style w:type="character" w:customStyle="1" w:styleId="21">
    <w:name w:val="标题 4 字符"/>
    <w:basedOn w:val="14"/>
    <w:link w:val="5"/>
    <w:qFormat/>
    <w:uiPriority w:val="9"/>
    <w:rPr>
      <w:rFonts w:asciiTheme="majorHAnsi" w:hAnsiTheme="majorHAnsi" w:eastAsiaTheme="majorEastAsia" w:cstheme="majorBidi"/>
      <w:b/>
      <w:bCs/>
      <w:i/>
      <w:iCs/>
      <w:color w:val="4F81BD" w:themeColor="accent1"/>
    </w:rPr>
  </w:style>
  <w:style w:type="character" w:customStyle="1" w:styleId="22">
    <w:name w:val="副标题 字符"/>
    <w:basedOn w:val="14"/>
    <w:link w:val="10"/>
    <w:qFormat/>
    <w:uiPriority w:val="11"/>
    <w:rPr>
      <w:rFonts w:asciiTheme="majorHAnsi" w:hAnsiTheme="majorHAnsi" w:eastAsiaTheme="majorEastAsia" w:cstheme="majorBidi"/>
      <w:i/>
      <w:iCs/>
      <w:color w:val="4F81BD" w:themeColor="accent1"/>
      <w:spacing w:val="15"/>
      <w:sz w:val="24"/>
      <w:szCs w:val="24"/>
    </w:rPr>
  </w:style>
  <w:style w:type="character" w:customStyle="1" w:styleId="23">
    <w:name w:val="标题 字符"/>
    <w:basedOn w:val="14"/>
    <w:link w:val="11"/>
    <w:qFormat/>
    <w:uiPriority w:val="10"/>
    <w:rPr>
      <w:rFonts w:asciiTheme="majorHAnsi" w:hAnsiTheme="majorHAnsi" w:eastAsiaTheme="majorEastAsia" w:cstheme="majorBidi"/>
      <w:color w:val="17365D" w:themeColor="text2" w:themeShade="BF"/>
      <w:spacing w:val="5"/>
      <w:kern w:val="28"/>
      <w:sz w:val="52"/>
      <w:szCs w:val="52"/>
    </w:rPr>
  </w:style>
  <w:style w:type="character" w:customStyle="1" w:styleId="24">
    <w:name w:val="页脚 字符"/>
    <w:basedOn w:val="14"/>
    <w:link w:val="8"/>
    <w:uiPriority w:val="99"/>
    <w:rPr>
      <w:rFonts w:eastAsiaTheme="minorHAnsi"/>
      <w:sz w:val="18"/>
      <w:szCs w:val="18"/>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4003</Words>
  <Characters>4473</Characters>
  <Lines>247</Lines>
  <Paragraphs>206</Paragraphs>
  <TotalTime>7</TotalTime>
  <ScaleCrop>false</ScaleCrop>
  <LinksUpToDate>false</LinksUpToDate>
  <CharactersWithSpaces>4481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2025-10-10T03:42:00Z</dcterms:created>
  <dc:creator>雍虹虹</dc:creator>
  <cp:lastModifiedBy>谢凤</cp:lastModifiedBy>
  <dcterms:modified xsi:type="dcterms:W3CDTF">2025-11-17T09:54:27Z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eyJoZGlkIjoiMWExYjI5YmI4NTg2YzA1MWY0Y2ZkOGYyMDM2NmExMGEiLCJ1c2VySWQiOiIxMTk3MDAxNzMxIn0=</vt:lpwstr>
  </property>
  <property fmtid="{D5CDD505-2E9C-101B-9397-08002B2CF9AE}" pid="3" name="KSOProductBuildVer">
    <vt:lpwstr>2052-12.1.0.23542</vt:lpwstr>
  </property>
  <property fmtid="{D5CDD505-2E9C-101B-9397-08002B2CF9AE}" pid="4" name="ICV">
    <vt:lpwstr>921BB375D85B4C4C8D9EDE00B5E84229_12</vt:lpwstr>
  </property>
</Properties>
</file>