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AD43DD">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14:paraId="5FC77645">
      <w:pPr>
        <w:spacing w:line="540" w:lineRule="exact"/>
        <w:jc w:val="center"/>
        <w:rPr>
          <w:rFonts w:ascii="华文中宋" w:hAnsi="华文中宋" w:eastAsia="华文中宋" w:cs="宋体"/>
          <w:b/>
          <w:kern w:val="0"/>
          <w:sz w:val="52"/>
          <w:szCs w:val="52"/>
        </w:rPr>
      </w:pPr>
    </w:p>
    <w:p w14:paraId="03996734">
      <w:pPr>
        <w:spacing w:line="540" w:lineRule="exact"/>
        <w:jc w:val="center"/>
        <w:rPr>
          <w:rFonts w:ascii="华文中宋" w:hAnsi="华文中宋" w:eastAsia="华文中宋" w:cs="宋体"/>
          <w:b/>
          <w:kern w:val="0"/>
          <w:sz w:val="52"/>
          <w:szCs w:val="52"/>
        </w:rPr>
      </w:pPr>
    </w:p>
    <w:p w14:paraId="6F866AA2">
      <w:pPr>
        <w:spacing w:line="540" w:lineRule="exact"/>
        <w:jc w:val="center"/>
        <w:rPr>
          <w:rFonts w:ascii="华文中宋" w:hAnsi="华文中宋" w:eastAsia="华文中宋" w:cs="宋体"/>
          <w:b/>
          <w:kern w:val="0"/>
          <w:sz w:val="52"/>
          <w:szCs w:val="52"/>
        </w:rPr>
      </w:pPr>
    </w:p>
    <w:p w14:paraId="073671B6">
      <w:pPr>
        <w:spacing w:line="540" w:lineRule="exact"/>
        <w:jc w:val="center"/>
        <w:rPr>
          <w:rFonts w:ascii="华文中宋" w:hAnsi="华文中宋" w:eastAsia="华文中宋" w:cs="宋体"/>
          <w:b/>
          <w:kern w:val="0"/>
          <w:sz w:val="52"/>
          <w:szCs w:val="52"/>
        </w:rPr>
      </w:pPr>
    </w:p>
    <w:p w14:paraId="0ABC4127">
      <w:pPr>
        <w:spacing w:line="540" w:lineRule="exact"/>
        <w:jc w:val="center"/>
        <w:rPr>
          <w:rFonts w:ascii="华文中宋" w:hAnsi="华文中宋" w:eastAsia="华文中宋" w:cs="宋体"/>
          <w:b/>
          <w:kern w:val="0"/>
          <w:sz w:val="52"/>
          <w:szCs w:val="52"/>
        </w:rPr>
      </w:pPr>
    </w:p>
    <w:p w14:paraId="58FBD994">
      <w:pPr>
        <w:spacing w:line="540" w:lineRule="exact"/>
        <w:jc w:val="center"/>
        <w:rPr>
          <w:rFonts w:ascii="华文中宋" w:hAnsi="华文中宋" w:eastAsia="华文中宋" w:cs="宋体"/>
          <w:b/>
          <w:kern w:val="0"/>
          <w:sz w:val="52"/>
          <w:szCs w:val="52"/>
        </w:rPr>
      </w:pPr>
    </w:p>
    <w:p w14:paraId="3022433A">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14:paraId="34F4E82B">
      <w:pPr>
        <w:spacing w:line="540" w:lineRule="exact"/>
        <w:jc w:val="center"/>
        <w:rPr>
          <w:rFonts w:ascii="华文中宋" w:hAnsi="华文中宋" w:eastAsia="华文中宋" w:cs="宋体"/>
          <w:b/>
          <w:kern w:val="0"/>
          <w:sz w:val="52"/>
          <w:szCs w:val="52"/>
        </w:rPr>
      </w:pPr>
    </w:p>
    <w:p w14:paraId="4E5BCA31">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14:paraId="446AB626">
      <w:pPr>
        <w:spacing w:line="540" w:lineRule="exact"/>
        <w:jc w:val="center"/>
        <w:rPr>
          <w:rFonts w:hAnsi="宋体" w:eastAsia="仿宋_GB2312" w:cs="宋体"/>
          <w:kern w:val="0"/>
          <w:sz w:val="30"/>
          <w:szCs w:val="30"/>
        </w:rPr>
      </w:pPr>
    </w:p>
    <w:p w14:paraId="234A0935">
      <w:pPr>
        <w:spacing w:line="540" w:lineRule="exact"/>
        <w:jc w:val="center"/>
        <w:rPr>
          <w:rFonts w:hAnsi="宋体" w:eastAsia="仿宋_GB2312" w:cs="宋体"/>
          <w:kern w:val="0"/>
          <w:sz w:val="30"/>
          <w:szCs w:val="30"/>
        </w:rPr>
      </w:pPr>
    </w:p>
    <w:p w14:paraId="582D2027">
      <w:pPr>
        <w:spacing w:line="540" w:lineRule="exact"/>
        <w:jc w:val="center"/>
        <w:rPr>
          <w:rFonts w:hAnsi="宋体" w:eastAsia="仿宋_GB2312" w:cs="宋体"/>
          <w:kern w:val="0"/>
          <w:sz w:val="30"/>
          <w:szCs w:val="30"/>
        </w:rPr>
      </w:pPr>
    </w:p>
    <w:p w14:paraId="1B8303DD">
      <w:pPr>
        <w:spacing w:line="540" w:lineRule="exact"/>
        <w:jc w:val="center"/>
        <w:rPr>
          <w:rFonts w:hAnsi="宋体" w:eastAsia="仿宋_GB2312" w:cs="宋体"/>
          <w:kern w:val="0"/>
          <w:sz w:val="30"/>
          <w:szCs w:val="30"/>
        </w:rPr>
      </w:pPr>
    </w:p>
    <w:p w14:paraId="4939C555">
      <w:pPr>
        <w:spacing w:line="540" w:lineRule="exact"/>
        <w:jc w:val="center"/>
        <w:rPr>
          <w:rFonts w:hAnsi="宋体" w:eastAsia="仿宋_GB2312" w:cs="宋体"/>
          <w:kern w:val="0"/>
          <w:sz w:val="30"/>
          <w:szCs w:val="30"/>
        </w:rPr>
      </w:pPr>
    </w:p>
    <w:p w14:paraId="0DD45B62">
      <w:pPr>
        <w:spacing w:line="540" w:lineRule="exact"/>
        <w:jc w:val="center"/>
        <w:rPr>
          <w:rFonts w:hAnsi="宋体" w:eastAsia="仿宋_GB2312" w:cs="宋体"/>
          <w:kern w:val="0"/>
          <w:sz w:val="30"/>
          <w:szCs w:val="30"/>
        </w:rPr>
      </w:pPr>
    </w:p>
    <w:p w14:paraId="6397E6F2">
      <w:pPr>
        <w:spacing w:line="540" w:lineRule="exact"/>
        <w:rPr>
          <w:rFonts w:hAnsi="宋体" w:eastAsia="仿宋_GB2312" w:cs="宋体"/>
          <w:kern w:val="0"/>
          <w:sz w:val="30"/>
          <w:szCs w:val="30"/>
        </w:rPr>
      </w:pPr>
    </w:p>
    <w:p w14:paraId="57798559">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0ED923CD">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乌财科教【2023】19号-关于提前下达2023年中央补助地方公共文化服务体系建设补助资金预算-农村电影</w:t>
      </w:r>
    </w:p>
    <w:p w14:paraId="6846F03B">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乌鲁木齐市米东区公益电影放映管理中心</w:t>
      </w:r>
    </w:p>
    <w:p w14:paraId="1BCEFFA6">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乌鲁木齐市米东区公益电影放映管理中心</w:t>
      </w:r>
    </w:p>
    <w:p w14:paraId="0C81BB33">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王磊</w:t>
      </w:r>
    </w:p>
    <w:p w14:paraId="6B35570F">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2025年05月14日</w:t>
      </w:r>
    </w:p>
    <w:p w14:paraId="5CE5674C">
      <w:pPr>
        <w:spacing w:line="700" w:lineRule="exact"/>
        <w:ind w:firstLine="708" w:firstLineChars="236"/>
        <w:jc w:val="left"/>
        <w:rPr>
          <w:rFonts w:hAnsi="宋体" w:eastAsia="仿宋_GB2312" w:cs="宋体"/>
          <w:kern w:val="0"/>
          <w:sz w:val="30"/>
          <w:szCs w:val="30"/>
        </w:rPr>
      </w:pPr>
    </w:p>
    <w:p w14:paraId="31CCA19C">
      <w:pPr>
        <w:spacing w:line="540" w:lineRule="exact"/>
        <w:rPr>
          <w:rStyle w:val="18"/>
          <w:rFonts w:ascii="黑体" w:hAnsi="黑体" w:eastAsia="黑体"/>
          <w:b w:val="0"/>
          <w:spacing w:val="-4"/>
          <w:sz w:val="32"/>
          <w:szCs w:val="32"/>
        </w:rPr>
      </w:pPr>
    </w:p>
    <w:p w14:paraId="1B7CFCB1">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067D53BD">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14:paraId="47F9A0D6">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1．项目背景、主要内容及实施情况</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该项目实施背景：项目依据广电局关于印发《农村电影公益放映场次补贴管理实施细则》的通知、市委宣传部下达的《关于下达2023年度乌鲁木齐市社区（村）电影公益放映场次计划的通知》文件相关要求，安排米东区2024年农村公益电影相关工作。该项目是推动文化惠民、助力乡村振兴的重要工程。随着国家对农村文化建设重视度提升，农村公益电影项目应运而生。以流动放映为主要形式，通过放映优秀故事片、科教片等，不仅丰富农民业余生活，还能传播时代精神，同时传承优秀传统文化。该项目在加强农村精神文明建设、缩小城乡文化差距、提升农民文化素养等方面发挥着不可替代的作用。把优秀的电影节目送到群众家门口，送到群众心中，用银幕弘扬时代主旋律、传播社会正能量，活跃广大农村、社区群众精神文化生活，推动文化发展成果全民共享。</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项目2024年的主要实施内容：项目主要包括①农村电影放映员培训，不仅可提升专业技能，保障放映质量，还能丰富乡村文化生活，助力文化下乡，促进乡村精神文明建设与和谐发展；②农村电影放映设备维护，不仅可以延长设备寿命、保障放映稳定性，减少故障中断，还能确保文化服务持续供给，提升观影体验，助力乡村文化惠民工程长效落地。;③发放放映员场次补贴，激发放映员工作积极性，保障放映频次与质量，稳定放映员队伍，推动农村公益电影事业蓬勃发展；</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实际完成情况为①2024年开展农村电影放映员培训2次；②农村电影放映人数达7人；③放映员场次补贴的发放；④放映设备维护。</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2.资金投入和使用情况</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该项目资金投入情况：经乌财科教【2023】19号-关于提前下达2023年中央补助地方公共文化服务体系建设补助资金文件批准，项目系2023年中央资金，年初共安排预算7.89万元，于2024年年初部分预算批复项目，年中调整后预算数为5.12万元。</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该项目资金使用情况：①总预算情况：5.12万元；②农村电影放映补贴款计划投入4.88万元；实际支出4.88万元；设备维护经费计划投入0.24万元，实际支出0.24万元；③预算执行率：100%。</w:t>
      </w:r>
    </w:p>
    <w:p w14:paraId="6FC434B7">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6B19FBAC">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成本指标、效益指标、满意度指标），以准确、清晰地反映财政资金在使用期所能达到的预期产出和效果。</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该项目为跨年项目项目。</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该项目总体绩效目标：完成农村公益电影年度任务，确保放映场次达标、覆盖行政村及自然村；优化影片片源结构，丰富科教、文化、政策宣传等内容供给；实现文化惠民效益，提升农村群众精神文化生活水平，增强基层群众凝聚力；发挥宣传引导作用，推动政策法规、农业技术等知识普及，助力乡村文化振兴与社会治理；促进城乡公共文化服务均等化，缩小城乡文化差距，营造文明和谐的农村社会氛围。</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该项目阶段性目标为：在2024年计划完成农村电影放映员开展培训2次；发放放映员场次补贴；放映设备的维护。把优秀的电影节目送到群众家门口，送到群众心中，用银幕弘扬时代主旋律、传播社会正能量。</w:t>
      </w:r>
      <w:r>
        <w:rPr>
          <w:rStyle w:val="18"/>
          <w:rFonts w:hint="eastAsia" w:eastAsia="楷体"/>
          <w:b w:val="0"/>
          <w:bCs w:val="0"/>
          <w:spacing w:val="-4"/>
          <w:sz w:val="32"/>
          <w:szCs w:val="32"/>
          <w:lang w:eastAsia="zh-CN"/>
        </w:rPr>
        <w:t>全面贯彻落实习近平新时代中国特色社会主义思想和党的二十大精神</w:t>
      </w:r>
      <w:r>
        <w:rPr>
          <w:rStyle w:val="18"/>
          <w:rFonts w:hint="eastAsia" w:eastAsia="楷体"/>
          <w:b w:val="0"/>
          <w:bCs w:val="0"/>
          <w:spacing w:val="-4"/>
          <w:sz w:val="32"/>
          <w:szCs w:val="32"/>
        </w:rPr>
        <w:t>，努力弘扬社会主义核心价值观，满足人民日益增长的精神文化需求，不断丰富辖区内党员、群众的精神文化生活放映员培训提升了农村电影标准化放映工作，打造一支业务精通、服务优质的放映队伍，确保了每场村影都高质量完成。</w:t>
      </w:r>
    </w:p>
    <w:p w14:paraId="51AF98D3">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4580CEB2">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0735AB6">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1.绩效评价完整性</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首先，此项目经费是为了确保农村电影放映的正常播放，确保放映工作稳步有序推进，按期完成,这一目标在产出指标中体现；对设备进行定期维护和检修，确保设备的正常运行，以及放映员补贴正常的发放,这一目标在成本指标中体现；公益电影全年放映数量及影片安排，各科室对所涉及的业务主体责任和监督责任有效落实,这一目标在效益指标中体现；因此，该项目的目标、范围和要求能够通过绩效评价指标体系完整地体现。</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该项目的实施在2024年完成12个月确保米东区公益电影的正常放映，开展相关工作，由财务室落实预算及资金，按照合同约定条例确保此项工作经费按时拨付到位，资金到位立即拨付，已按计划全部拨付，完成率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最后，根据《米东区公益电影放映管理中心-财务管理制度》、《米东区公益电影放映管理中心-项目管理制度》通过融务会成员集体讨论，再通过国库集中支付一体化2.0平台进行申请资金，其中数据的来源、采集进行描述，均来自放映设备后台数据反馈和财务室票据签字都完整准确，收集了拨款凭证，以确保数据的准确性、真实性、完整性。</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2.评价目的</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通过对项目设立的背景、意义、项目内容、项目现状及绩效目标、资金投入、资金管理、组织实施、产出指标、成本指标和效益指标等进行深入调研和分析，进一步了解乌财科教【2023】19号-关于提前下达2023年中央补助地方公共文化服务体系建设补助资金预算-农村电影的实施情况，并考察项目实施过程和效果。</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（2）通过评价，客观公正反映项目立项科学性、项目管理规范性、项目实施有效性和项目效果，总结项目实施的经验，发现项目实施过程中存在的问题，提高财政资金使用效益。</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3.评价对象</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（1）绩效评价的对象：乌财科教【2023】19号-关于提前下达2023年中央补助地方公共文化服务体系建设补助资金预算-农村电影项目</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4.绩效评价范围</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1.时间范围：2024年1月1日至2024年12月31日。</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2.项目范围：</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该项目的基本情况：农村公益放映电影是面向乡村的文化惠民工程，依托流动放映设备，选取群众喜闻乐见的影片（如红色主题、农业科技、生活喜剧等），在村委会、广场等露天场地定期播放影片，丰富农民精神生活，助力乡村文化建设。定期进行放映员培训，稳定放映员队伍，掌握设备操作，定期对设备进行维护维修，保障放映质量与稳定性，确保公益电影长效落地。</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评价工作的开展情况：为推进农村公益电影放映工作，2024年组织2次放映员专项培训，投入 2.44 万元用于设备维护，定期巡检与日常保养相结合，确保设备完好率达 100%。进度实施具体形容阶段性成果</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项目的产出情况：1.2024年组织2次放映员专项培训，掌握设备操作、保障放映质量与稳定性。2.投入 2.44 万元用于设备维护，定期巡检与日常保养相结合，确保设备完好率达100%。3.放映员补贴发放4.88万元，稳定放映员队伍，有效激发其工作动力，保障资金使用效能。</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取得的效益情况：1.放映员参加 2 次专项培训后，实操能力与服务意识显著提升。培训后可掌握新设备操作规范与故障排查技巧，减少放映事故率，推动基层文化服务从 “完成任务” 向 “提质增效” 转变，有效提升公共文化服务的针对性与感染力。2.设备维护保障放映工作稳定开展。定期检修能降低设备故障率，避免因器材问题影响放映计划，确保群众按时观影，提升文化服务可靠性。维护过程中更新老化部件，可优化画质音效，增强观影体验，吸引更多村民参与。3.发放放映员场次补贴可有效激发其工作动力，通过增加放映频次、提升服务质量，让优质文化内容更广泛惠及基层群众，丰富城乡精神文化生活。同时，补贴机制能规范公共文化服务流程，保障资金使用效能，增强群众对文化惠民工程的认可。</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主要经验及做法：1.确保工作经费的使用能够最大限度地发挥作用，保障放映工作安全的正常进行，工作经费实现效益最大化。2.联动宣传，借助村广播、微信群等提前预告，扩大覆盖面与影响力。形成“广播响起来、微信转起来”的立体宣传网。</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存在的问题及原因：1.群众反馈靠纸质问卷，线上少致青年参与低；2.由于缺乏经验，年初预算绩效目标不明确。工作管理制度还需健全。</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该项目总分为98.24分，绩效评级为“优”。</w:t>
      </w:r>
    </w:p>
    <w:p w14:paraId="09F4F5CC">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1EB0A4AE">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（一）科学公正。绩效评价应当运用科学合理的方法，按照规范的程序，对项目绩效进行客观、公正的反映。</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（三）激励约束。绩效评价结果应与预算安排、政策调整、改进管理实质性挂钩，体现奖优罚劣和激励相容导向，有效要安排、低效要压减、无效要问责。</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（四）公开透明。绩效评价结果应依法依规公开，并自觉接受社会监督。</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2.评价指标体系</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绩效评价指标体系作为衡量绩效目标实现程度的考核工具，一般遵循以下原则：</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（1）相关性原则：绩效评价指标应当与绩效目标有直接的联系，能够恰当反映目标的实现程度。</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（2）重要性原则：应当优先使用最具评价对象代表性、最能反映评价要求的核心指标。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（3）可比性原则：对同类评价对象要设定共性的绩效评价指标，以便于评价结果可以相互比较。</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本项目的评价指标体系建立如下表所示。</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 xml:space="preserve">  项目支出绩效评价指标体系</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一级指标</w:t>
      </w:r>
      <w:r>
        <w:rPr>
          <w:rStyle w:val="18"/>
          <w:rFonts w:hint="eastAsia" w:eastAsia="楷体"/>
          <w:b w:val="0"/>
          <w:bCs w:val="0"/>
          <w:spacing w:val="-4"/>
          <w:sz w:val="32"/>
          <w:szCs w:val="32"/>
        </w:rPr>
        <w:tab/>
        <w:t>二级指标</w:t>
      </w:r>
      <w:r>
        <w:rPr>
          <w:rStyle w:val="18"/>
          <w:rFonts w:hint="eastAsia" w:eastAsia="楷体"/>
          <w:b w:val="0"/>
          <w:bCs w:val="0"/>
          <w:spacing w:val="-4"/>
          <w:sz w:val="32"/>
          <w:szCs w:val="32"/>
        </w:rPr>
        <w:tab/>
        <w:t>三级指标</w:t>
      </w:r>
      <w:r>
        <w:rPr>
          <w:rStyle w:val="18"/>
          <w:rFonts w:hint="eastAsia" w:eastAsia="楷体"/>
          <w:b w:val="0"/>
          <w:bCs w:val="0"/>
          <w:spacing w:val="-4"/>
          <w:sz w:val="32"/>
          <w:szCs w:val="32"/>
        </w:rPr>
        <w:tab/>
        <w:t>指标解释</w:t>
      </w:r>
      <w:r>
        <w:rPr>
          <w:rStyle w:val="18"/>
          <w:rFonts w:hint="eastAsia" w:eastAsia="楷体"/>
          <w:b w:val="0"/>
          <w:bCs w:val="0"/>
          <w:spacing w:val="-4"/>
          <w:sz w:val="32"/>
          <w:szCs w:val="32"/>
        </w:rPr>
        <w:tab/>
        <w:t>指标说明</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决策</w:t>
      </w:r>
      <w:r>
        <w:rPr>
          <w:rStyle w:val="18"/>
          <w:rFonts w:hint="eastAsia" w:eastAsia="楷体"/>
          <w:b w:val="0"/>
          <w:bCs w:val="0"/>
          <w:spacing w:val="-4"/>
          <w:sz w:val="32"/>
          <w:szCs w:val="32"/>
        </w:rPr>
        <w:tab/>
        <w:t>项目立项</w:t>
      </w:r>
      <w:r>
        <w:rPr>
          <w:rStyle w:val="18"/>
          <w:rFonts w:hint="eastAsia" w:eastAsia="楷体"/>
          <w:b w:val="0"/>
          <w:bCs w:val="0"/>
          <w:spacing w:val="-4"/>
          <w:sz w:val="32"/>
          <w:szCs w:val="32"/>
        </w:rPr>
        <w:tab/>
        <w:t>立项依据</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充分性</w:t>
      </w:r>
      <w:r>
        <w:rPr>
          <w:rStyle w:val="18"/>
          <w:rFonts w:hint="eastAsia" w:eastAsia="楷体"/>
          <w:b w:val="0"/>
          <w:bCs w:val="0"/>
          <w:spacing w:val="-4"/>
          <w:sz w:val="32"/>
          <w:szCs w:val="32"/>
        </w:rPr>
        <w:tab/>
        <w:t>项目立项是否符合法律法规、相关政策、发展规划以及部门职责，用以反映和考核项目立项依据情况。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①项目立项是否符合国家法律法规、国民经济发展规划和相关政策；</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②项目立项是否符合行业发展规划和政策要求；</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③项目立项是否与部门职责范围相符，属于部门履职所需；</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④项目是否属于公共财政支持范围，是否符合中央、地方事权支出责任划分原则；</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⑤项目是否与相关部门同类项目或部门内部相关项目重复。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立项程序</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规范性</w:t>
      </w:r>
      <w:r>
        <w:rPr>
          <w:rStyle w:val="18"/>
          <w:rFonts w:hint="eastAsia" w:eastAsia="楷体"/>
          <w:b w:val="0"/>
          <w:bCs w:val="0"/>
          <w:spacing w:val="-4"/>
          <w:sz w:val="32"/>
          <w:szCs w:val="32"/>
        </w:rPr>
        <w:tab/>
        <w:t>项目申请、设立过程是否符合相关要求，用以反映和考核项目立项的规范情况。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①项目是否按照规定的程序申请设立；</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②审批文件、材料是否符合相关要求；</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③事前是否已经过必要的可行性研究、专家论证、风险评估、绩效评估、集体决策。</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绩效目标</w:t>
      </w:r>
      <w:r>
        <w:rPr>
          <w:rStyle w:val="18"/>
          <w:rFonts w:hint="eastAsia" w:eastAsia="楷体"/>
          <w:b w:val="0"/>
          <w:bCs w:val="0"/>
          <w:spacing w:val="-4"/>
          <w:sz w:val="32"/>
          <w:szCs w:val="32"/>
        </w:rPr>
        <w:tab/>
        <w:t>绩效目标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合理性</w:t>
      </w:r>
      <w:r>
        <w:rPr>
          <w:rStyle w:val="18"/>
          <w:rFonts w:hint="eastAsia" w:eastAsia="楷体"/>
          <w:b w:val="0"/>
          <w:bCs w:val="0"/>
          <w:spacing w:val="-4"/>
          <w:sz w:val="32"/>
          <w:szCs w:val="32"/>
        </w:rPr>
        <w:tab/>
        <w:t>项目所设定的绩效目标是否依据充分，是否符合客观实际，用以反映和考核项目绩效目标与项目实施的相符情况。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（如未设定预算绩效目标，也可考核其他工作任务目标）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①项目是否有绩效目标；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②项目绩效目标与实际工作内容是否具有相关性；</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③项目预期产出效益和效果是否符合正常的业绩水平；</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④是否与预算确定的项目投资额或资金量相匹配。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决策</w:t>
      </w:r>
      <w:r>
        <w:rPr>
          <w:rStyle w:val="18"/>
          <w:rFonts w:hint="eastAsia" w:eastAsia="楷体"/>
          <w:b w:val="0"/>
          <w:bCs w:val="0"/>
          <w:spacing w:val="-4"/>
          <w:sz w:val="32"/>
          <w:szCs w:val="32"/>
        </w:rPr>
        <w:tab/>
        <w:t>绩效目标</w:t>
      </w:r>
      <w:r>
        <w:rPr>
          <w:rStyle w:val="18"/>
          <w:rFonts w:hint="eastAsia" w:eastAsia="楷体"/>
          <w:b w:val="0"/>
          <w:bCs w:val="0"/>
          <w:spacing w:val="-4"/>
          <w:sz w:val="32"/>
          <w:szCs w:val="32"/>
        </w:rPr>
        <w:tab/>
        <w:t>绩效指标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明确性</w:t>
      </w:r>
      <w:r>
        <w:rPr>
          <w:rStyle w:val="18"/>
          <w:rFonts w:hint="eastAsia" w:eastAsia="楷体"/>
          <w:b w:val="0"/>
          <w:bCs w:val="0"/>
          <w:spacing w:val="-4"/>
          <w:sz w:val="32"/>
          <w:szCs w:val="32"/>
        </w:rPr>
        <w:tab/>
        <w:t>依据绩效目标设定的绩效指标是否清晰、细化、可衡量等，用以反映和考核项目绩效目标的明细化情况。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①是否将项目绩效目标细化分解为具体的绩效指标；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②是否通过清晰、可衡量的指标值予以体现；</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③是否与项目目标任务数或计划数相对应。</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资金投入</w:t>
      </w:r>
      <w:r>
        <w:rPr>
          <w:rStyle w:val="18"/>
          <w:rFonts w:hint="eastAsia" w:eastAsia="楷体"/>
          <w:b w:val="0"/>
          <w:bCs w:val="0"/>
          <w:spacing w:val="-4"/>
          <w:sz w:val="32"/>
          <w:szCs w:val="32"/>
        </w:rPr>
        <w:tab/>
        <w:t>预算编制</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科学性</w:t>
      </w:r>
      <w:r>
        <w:rPr>
          <w:rStyle w:val="18"/>
          <w:rFonts w:hint="eastAsia" w:eastAsia="楷体"/>
          <w:b w:val="0"/>
          <w:bCs w:val="0"/>
          <w:spacing w:val="-4"/>
          <w:sz w:val="32"/>
          <w:szCs w:val="32"/>
        </w:rPr>
        <w:tab/>
        <w:t>项目预算编制是否经过科学论证、有明确标准，资金额度与年度目标是否相适应，用以反映和考核项目预算编制的科学性、合理性情况。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①预算编制是否经过科学论证；</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②预算内容与项目内容是否匹配；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③预算额度测算依据是否充分，是否按照标准编制；</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④预算确定的项目投资额或资金量是否与工作任务相匹配。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资金分配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合理性</w:t>
      </w:r>
      <w:r>
        <w:rPr>
          <w:rStyle w:val="18"/>
          <w:rFonts w:hint="eastAsia" w:eastAsia="楷体"/>
          <w:b w:val="0"/>
          <w:bCs w:val="0"/>
          <w:spacing w:val="-4"/>
          <w:sz w:val="32"/>
          <w:szCs w:val="32"/>
        </w:rPr>
        <w:tab/>
        <w:t>项目预算资金分配是否有测算依据，与补助单位或地方实际是否相适应，用以反映和考核项目预算资金分配的科学性、合理性情况。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①预算资金分配依据是否充分；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②资金分配额度是否合理，与项目单位或地方实际是否相适应。</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过程</w:t>
      </w:r>
      <w:r>
        <w:rPr>
          <w:rStyle w:val="18"/>
          <w:rFonts w:hint="eastAsia" w:eastAsia="楷体"/>
          <w:b w:val="0"/>
          <w:bCs w:val="0"/>
          <w:spacing w:val="-4"/>
          <w:sz w:val="32"/>
          <w:szCs w:val="32"/>
        </w:rPr>
        <w:tab/>
        <w:t>资金管理</w:t>
      </w:r>
      <w:r>
        <w:rPr>
          <w:rStyle w:val="18"/>
          <w:rFonts w:hint="eastAsia" w:eastAsia="楷体"/>
          <w:b w:val="0"/>
          <w:bCs w:val="0"/>
          <w:spacing w:val="-4"/>
          <w:sz w:val="32"/>
          <w:szCs w:val="32"/>
        </w:rPr>
        <w:tab/>
        <w:t>资金到位率</w:t>
      </w:r>
      <w:r>
        <w:rPr>
          <w:rStyle w:val="18"/>
          <w:rFonts w:hint="eastAsia" w:eastAsia="楷体"/>
          <w:b w:val="0"/>
          <w:bCs w:val="0"/>
          <w:spacing w:val="-4"/>
          <w:sz w:val="32"/>
          <w:szCs w:val="32"/>
        </w:rPr>
        <w:tab/>
        <w:t>实际到位资金与预算资金的比率，用以反映和考核资金落实情况对项目实施的总体保障程度。</w:t>
      </w:r>
      <w:r>
        <w:rPr>
          <w:rStyle w:val="18"/>
          <w:rFonts w:hint="eastAsia" w:eastAsia="楷体"/>
          <w:b w:val="0"/>
          <w:bCs w:val="0"/>
          <w:spacing w:val="-4"/>
          <w:sz w:val="32"/>
          <w:szCs w:val="32"/>
        </w:rPr>
        <w:tab/>
        <w:t>资金到位率=（实际到位资金/预算资金）×100%。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实际到位资金：一定时期（本年度或项目期）内落实到具体项目的资金。</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预算资金：一定时期（本年度或项目期）内预算安排到具体项目的资金。</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预算执行率</w:t>
      </w:r>
      <w:r>
        <w:rPr>
          <w:rStyle w:val="18"/>
          <w:rFonts w:hint="eastAsia" w:eastAsia="楷体"/>
          <w:b w:val="0"/>
          <w:bCs w:val="0"/>
          <w:spacing w:val="-4"/>
          <w:sz w:val="32"/>
          <w:szCs w:val="32"/>
        </w:rPr>
        <w:tab/>
        <w:t>项目预算资金是否按照计划执行，用以反映或考核项目预算执行情况。</w:t>
      </w:r>
      <w:r>
        <w:rPr>
          <w:rStyle w:val="18"/>
          <w:rFonts w:hint="eastAsia" w:eastAsia="楷体"/>
          <w:b w:val="0"/>
          <w:bCs w:val="0"/>
          <w:spacing w:val="-4"/>
          <w:sz w:val="32"/>
          <w:szCs w:val="32"/>
        </w:rPr>
        <w:tab/>
        <w:t>预算执行率=（实际支出资金/实际到位资金）×100%。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实际支出资金：一定时期（本年度或项目期）内项目实际拨付的资金。</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过程</w:t>
      </w:r>
      <w:r>
        <w:rPr>
          <w:rStyle w:val="18"/>
          <w:rFonts w:hint="eastAsia" w:eastAsia="楷体"/>
          <w:b w:val="0"/>
          <w:bCs w:val="0"/>
          <w:spacing w:val="-4"/>
          <w:sz w:val="32"/>
          <w:szCs w:val="32"/>
        </w:rPr>
        <w:tab/>
        <w:t>资金管理</w:t>
      </w:r>
      <w:r>
        <w:rPr>
          <w:rStyle w:val="18"/>
          <w:rFonts w:hint="eastAsia" w:eastAsia="楷体"/>
          <w:b w:val="0"/>
          <w:bCs w:val="0"/>
          <w:spacing w:val="-4"/>
          <w:sz w:val="32"/>
          <w:szCs w:val="32"/>
        </w:rPr>
        <w:tab/>
        <w:t>资金使用</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合规性</w:t>
      </w:r>
      <w:r>
        <w:rPr>
          <w:rStyle w:val="18"/>
          <w:rFonts w:hint="eastAsia" w:eastAsia="楷体"/>
          <w:b w:val="0"/>
          <w:bCs w:val="0"/>
          <w:spacing w:val="-4"/>
          <w:sz w:val="32"/>
          <w:szCs w:val="32"/>
        </w:rPr>
        <w:tab/>
        <w:t>项目资金使用是否符合相关的财务管理制度规定，用以反映和考核项目资金的规范运行情况。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①是否符合国家财经法规和财务管理制度以及有关专项资金管理办法的规定；</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②资金的拨付是否有完整的审批程序和手续；</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③是否符合项目预算批复或合同规定的用途；</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④是否存在截留、挤占、挪用、虚列支出等情况。</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组织实施</w:t>
      </w:r>
      <w:r>
        <w:rPr>
          <w:rStyle w:val="18"/>
          <w:rFonts w:hint="eastAsia" w:eastAsia="楷体"/>
          <w:b w:val="0"/>
          <w:bCs w:val="0"/>
          <w:spacing w:val="-4"/>
          <w:sz w:val="32"/>
          <w:szCs w:val="32"/>
        </w:rPr>
        <w:tab/>
        <w:t>管理制度</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健全性</w:t>
      </w:r>
      <w:r>
        <w:rPr>
          <w:rStyle w:val="18"/>
          <w:rFonts w:hint="eastAsia" w:eastAsia="楷体"/>
          <w:b w:val="0"/>
          <w:bCs w:val="0"/>
          <w:spacing w:val="-4"/>
          <w:sz w:val="32"/>
          <w:szCs w:val="32"/>
        </w:rPr>
        <w:tab/>
        <w:t>项目实施单位的财务和业务管理制度是否健全，用以反映和考核财务和业务管理制度对项目顺利实施的保障情况。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①是否已制定或具有相应的财务和业务管理制度；</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②财务和业务管理制度是否合法、合规、完整。</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制度执行</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有效性</w:t>
      </w:r>
      <w:r>
        <w:rPr>
          <w:rStyle w:val="18"/>
          <w:rFonts w:hint="eastAsia" w:eastAsia="楷体"/>
          <w:b w:val="0"/>
          <w:bCs w:val="0"/>
          <w:spacing w:val="-4"/>
          <w:sz w:val="32"/>
          <w:szCs w:val="32"/>
        </w:rPr>
        <w:tab/>
        <w:t>项目实施是否符合相关管理规定，用以反映和考核相关管理制度的有效执行情况。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①是否遵守相关法律法规和相关管理规定；</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②项目调整及支出调整手续是否完备；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③项目合同书、验收报告、技术鉴定等资料是否齐全并及时归档；</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④项目实施的人员条件、场地设备、信息支撑等是否落实到位。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w:t>
      </w:r>
      <w:r>
        <w:rPr>
          <w:rStyle w:val="18"/>
          <w:rFonts w:hint="eastAsia" w:eastAsia="楷体"/>
          <w:b w:val="0"/>
          <w:bCs w:val="0"/>
          <w:spacing w:val="-4"/>
          <w:sz w:val="32"/>
          <w:szCs w:val="32"/>
        </w:rPr>
        <w:tab/>
        <w:t>产出数量</w:t>
      </w:r>
      <w:r>
        <w:rPr>
          <w:rStyle w:val="18"/>
          <w:rFonts w:hint="eastAsia" w:eastAsia="楷体"/>
          <w:b w:val="0"/>
          <w:bCs w:val="0"/>
          <w:spacing w:val="-4"/>
          <w:sz w:val="32"/>
          <w:szCs w:val="32"/>
        </w:rPr>
        <w:tab/>
        <w:t>放映员培训次数</w:t>
      </w:r>
      <w:r>
        <w:rPr>
          <w:rStyle w:val="18"/>
          <w:rFonts w:hint="eastAsia" w:eastAsia="楷体"/>
          <w:b w:val="0"/>
          <w:bCs w:val="0"/>
          <w:spacing w:val="-4"/>
          <w:sz w:val="32"/>
          <w:szCs w:val="32"/>
        </w:rPr>
        <w:tab/>
        <w:t>项目放映员培训次数、设备数量、人员数，分别衡量人才培育、硬件支撑、人力规模的项目实施成效。</w:t>
      </w:r>
      <w:r>
        <w:rPr>
          <w:rStyle w:val="18"/>
          <w:rFonts w:hint="eastAsia" w:eastAsia="楷体"/>
          <w:b w:val="0"/>
          <w:bCs w:val="0"/>
          <w:spacing w:val="-4"/>
          <w:sz w:val="32"/>
          <w:szCs w:val="32"/>
        </w:rPr>
        <w:tab/>
        <w:t>实际完成率=（实际产出数/计划产出数）×100%。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放映设备数量：反映农村电影放映工作的硬件基础条件，为扩大农村电影文化覆盖范围提供物质支撑。</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放映员的人数：放映员人数体现农村电影放映工作的人力投入规模。人数充足能够确保放映工作覆盖更多乡村地区，提升放映频次与及时性。</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放映设备数量</w:t>
      </w:r>
      <w:r>
        <w:rPr>
          <w:rStyle w:val="18"/>
          <w:rFonts w:hint="eastAsia" w:eastAsia="楷体"/>
          <w:b w:val="0"/>
          <w:bCs w:val="0"/>
          <w:spacing w:val="-4"/>
          <w:sz w:val="32"/>
          <w:szCs w:val="32"/>
        </w:rPr>
        <w:tab/>
        <w:t/>
      </w:r>
      <w:r>
        <w:rPr>
          <w:rStyle w:val="18"/>
          <w:rFonts w:hint="eastAsia" w:eastAsia="楷体"/>
          <w:b w:val="0"/>
          <w:bCs w:val="0"/>
          <w:spacing w:val="-4"/>
          <w:sz w:val="32"/>
          <w:szCs w:val="32"/>
        </w:rPr>
        <w:tab/>
        <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放映员的人数</w:t>
      </w:r>
      <w:r>
        <w:rPr>
          <w:rStyle w:val="18"/>
          <w:rFonts w:hint="eastAsia" w:eastAsia="楷体"/>
          <w:b w:val="0"/>
          <w:bCs w:val="0"/>
          <w:spacing w:val="-4"/>
          <w:sz w:val="32"/>
          <w:szCs w:val="32"/>
        </w:rPr>
        <w:tab/>
        <w:t/>
      </w:r>
      <w:r>
        <w:rPr>
          <w:rStyle w:val="18"/>
          <w:rFonts w:hint="eastAsia" w:eastAsia="楷体"/>
          <w:b w:val="0"/>
          <w:bCs w:val="0"/>
          <w:spacing w:val="-4"/>
          <w:sz w:val="32"/>
          <w:szCs w:val="32"/>
        </w:rPr>
        <w:tab/>
        <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w:t>
      </w:r>
      <w:r>
        <w:rPr>
          <w:rStyle w:val="18"/>
          <w:rFonts w:hint="eastAsia" w:eastAsia="楷体"/>
          <w:b w:val="0"/>
          <w:bCs w:val="0"/>
          <w:spacing w:val="-4"/>
          <w:sz w:val="32"/>
          <w:szCs w:val="32"/>
        </w:rPr>
        <w:tab/>
        <w:t>产出质量</w:t>
      </w:r>
      <w:r>
        <w:rPr>
          <w:rStyle w:val="18"/>
          <w:rFonts w:hint="eastAsia" w:eastAsia="楷体"/>
          <w:b w:val="0"/>
          <w:bCs w:val="0"/>
          <w:spacing w:val="-4"/>
          <w:sz w:val="32"/>
          <w:szCs w:val="32"/>
        </w:rPr>
        <w:tab/>
        <w:t>放映设备故障率</w:t>
      </w:r>
      <w:r>
        <w:rPr>
          <w:rStyle w:val="18"/>
          <w:rFonts w:hint="eastAsia" w:eastAsia="楷体"/>
          <w:b w:val="0"/>
          <w:bCs w:val="0"/>
          <w:spacing w:val="-4"/>
          <w:sz w:val="32"/>
          <w:szCs w:val="32"/>
        </w:rPr>
        <w:tab/>
        <w:t>指在特定统计周期内（如月度、年度），农村电影放映设备因故障导致无法正常使用的次数，占设备总使用次数的比例。</w:t>
      </w:r>
      <w:r>
        <w:rPr>
          <w:rStyle w:val="18"/>
          <w:rFonts w:hint="eastAsia" w:eastAsia="楷体"/>
          <w:b w:val="0"/>
          <w:bCs w:val="0"/>
          <w:spacing w:val="-4"/>
          <w:sz w:val="32"/>
          <w:szCs w:val="32"/>
        </w:rPr>
        <w:tab/>
        <w:t>放映设备故障率=设备故障次数 ÷ 设备总使用次数）×100%。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产出时效</w:t>
      </w:r>
      <w:r>
        <w:rPr>
          <w:rStyle w:val="18"/>
          <w:rFonts w:hint="eastAsia" w:eastAsia="楷体"/>
          <w:b w:val="0"/>
          <w:bCs w:val="0"/>
          <w:spacing w:val="-4"/>
          <w:sz w:val="32"/>
          <w:szCs w:val="32"/>
        </w:rPr>
        <w:tab/>
        <w:t>项目完成时间</w:t>
      </w:r>
      <w:r>
        <w:rPr>
          <w:rStyle w:val="18"/>
          <w:rFonts w:hint="eastAsia" w:eastAsia="楷体"/>
          <w:b w:val="0"/>
          <w:bCs w:val="0"/>
          <w:spacing w:val="-4"/>
          <w:sz w:val="32"/>
          <w:szCs w:val="32"/>
        </w:rPr>
        <w:tab/>
        <w:t>项目实际完成时间与计划完成时间的比较，用以反映和考核项目产出时效目标的实现程度。</w:t>
      </w:r>
      <w:r>
        <w:rPr>
          <w:rStyle w:val="18"/>
          <w:rFonts w:hint="eastAsia" w:eastAsia="楷体"/>
          <w:b w:val="0"/>
          <w:bCs w:val="0"/>
          <w:spacing w:val="-4"/>
          <w:sz w:val="32"/>
          <w:szCs w:val="32"/>
        </w:rPr>
        <w:tab/>
        <w:t>实际完成时间：项目实施单位完成该项目实际所耗用的时间。</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计划完成时间：按照项目实施计划或相关规定完成该项目所需的时间。</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产出成本</w:t>
      </w:r>
      <w:r>
        <w:rPr>
          <w:rStyle w:val="18"/>
          <w:rFonts w:hint="eastAsia" w:eastAsia="楷体"/>
          <w:b w:val="0"/>
          <w:bCs w:val="0"/>
          <w:spacing w:val="-4"/>
          <w:sz w:val="32"/>
          <w:szCs w:val="32"/>
        </w:rPr>
        <w:tab/>
        <w:t>放映设备维护经费</w:t>
      </w:r>
      <w:r>
        <w:rPr>
          <w:rStyle w:val="18"/>
          <w:rFonts w:hint="eastAsia" w:eastAsia="楷体"/>
          <w:b w:val="0"/>
          <w:bCs w:val="0"/>
          <w:spacing w:val="-4"/>
          <w:sz w:val="32"/>
          <w:szCs w:val="32"/>
        </w:rPr>
        <w:tab/>
        <w:t>完成项目计划工作目标的实际节约成本与计划成本的比率，用以反映和考核项目的成本节约程度。</w:t>
      </w:r>
      <w:r>
        <w:rPr>
          <w:rStyle w:val="18"/>
          <w:rFonts w:hint="eastAsia" w:eastAsia="楷体"/>
          <w:b w:val="0"/>
          <w:bCs w:val="0"/>
          <w:spacing w:val="-4"/>
          <w:sz w:val="32"/>
          <w:szCs w:val="32"/>
        </w:rPr>
        <w:tab/>
        <w:t>指标完成率=（实际支出成本/计划支出成本）*100%。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若实际支出成本控制在计划支出成本范围内的，按照完成比例计算得分；若实际支出成本超出计划支出成本范围的，不得分。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计划成本：放映员补贴款=4.88万元</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放映员补贴</w:t>
      </w:r>
      <w:r>
        <w:rPr>
          <w:rStyle w:val="18"/>
          <w:rFonts w:hint="eastAsia" w:eastAsia="楷体"/>
          <w:b w:val="0"/>
          <w:bCs w:val="0"/>
          <w:spacing w:val="-4"/>
          <w:sz w:val="32"/>
          <w:szCs w:val="32"/>
        </w:rPr>
        <w:tab/>
        <w:t/>
      </w:r>
      <w:r>
        <w:rPr>
          <w:rStyle w:val="18"/>
          <w:rFonts w:hint="eastAsia" w:eastAsia="楷体"/>
          <w:b w:val="0"/>
          <w:bCs w:val="0"/>
          <w:spacing w:val="-4"/>
          <w:sz w:val="32"/>
          <w:szCs w:val="32"/>
        </w:rPr>
        <w:tab/>
        <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效益</w:t>
      </w:r>
      <w:r>
        <w:rPr>
          <w:rStyle w:val="18"/>
          <w:rFonts w:hint="eastAsia" w:eastAsia="楷体"/>
          <w:b w:val="0"/>
          <w:bCs w:val="0"/>
          <w:spacing w:val="-4"/>
          <w:sz w:val="32"/>
          <w:szCs w:val="32"/>
        </w:rPr>
        <w:tab/>
        <w:t>社会效益指标</w:t>
      </w:r>
      <w:r>
        <w:rPr>
          <w:rStyle w:val="18"/>
          <w:rFonts w:hint="eastAsia" w:eastAsia="楷体"/>
          <w:b w:val="0"/>
          <w:bCs w:val="0"/>
          <w:spacing w:val="-4"/>
          <w:sz w:val="32"/>
          <w:szCs w:val="32"/>
        </w:rPr>
        <w:tab/>
        <w:t>活跃各族群众文化体育生活</w:t>
      </w:r>
      <w:r>
        <w:rPr>
          <w:rStyle w:val="18"/>
          <w:rFonts w:hint="eastAsia" w:eastAsia="楷体"/>
          <w:b w:val="0"/>
          <w:bCs w:val="0"/>
          <w:spacing w:val="-4"/>
          <w:sz w:val="32"/>
          <w:szCs w:val="32"/>
        </w:rPr>
        <w:tab/>
        <w:t>项目实施所产生的效益。</w:t>
      </w:r>
      <w:r>
        <w:rPr>
          <w:rStyle w:val="18"/>
          <w:rFonts w:hint="eastAsia" w:eastAsia="楷体"/>
          <w:b w:val="0"/>
          <w:bCs w:val="0"/>
          <w:spacing w:val="-4"/>
          <w:sz w:val="32"/>
          <w:szCs w:val="32"/>
        </w:rPr>
        <w:tab/>
        <w:t>项目实施所产生的社会效益。通过查验单位工作总结综合分析项目实施所产生的效益。</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满意度指标完成情况分析</w:t>
      </w:r>
      <w:r>
        <w:rPr>
          <w:rStyle w:val="18"/>
          <w:rFonts w:hint="eastAsia" w:eastAsia="楷体"/>
          <w:b w:val="0"/>
          <w:bCs w:val="0"/>
          <w:spacing w:val="-4"/>
          <w:sz w:val="32"/>
          <w:szCs w:val="32"/>
        </w:rPr>
        <w:tab/>
        <w:t>满意度指标</w:t>
      </w:r>
      <w:r>
        <w:rPr>
          <w:rStyle w:val="18"/>
          <w:rFonts w:hint="eastAsia" w:eastAsia="楷体"/>
          <w:b w:val="0"/>
          <w:bCs w:val="0"/>
          <w:spacing w:val="-4"/>
          <w:sz w:val="32"/>
          <w:szCs w:val="32"/>
        </w:rPr>
        <w:tab/>
        <w:t>群众满意度</w:t>
      </w:r>
      <w:r>
        <w:rPr>
          <w:rStyle w:val="18"/>
          <w:rFonts w:hint="eastAsia" w:eastAsia="楷体"/>
          <w:b w:val="0"/>
          <w:bCs w:val="0"/>
          <w:spacing w:val="-4"/>
          <w:sz w:val="32"/>
          <w:szCs w:val="32"/>
        </w:rPr>
        <w:tab/>
        <w:t>社会公众或服务对象对项目实施效果的满意程度。</w:t>
      </w:r>
      <w:r>
        <w:rPr>
          <w:rStyle w:val="18"/>
          <w:rFonts w:hint="eastAsia" w:eastAsia="楷体"/>
          <w:b w:val="0"/>
          <w:bCs w:val="0"/>
          <w:spacing w:val="-4"/>
          <w:sz w:val="32"/>
          <w:szCs w:val="32"/>
        </w:rPr>
        <w:tab/>
        <w:t>社会公众或服务对象是指因该项目实施而受到影响的部门（单位）、群体或个人。一般采取社会调查的方式。</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3.评价方法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（1）成本效益分析法。是指将投入与产出、效益进行关联性分析的方法。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（2）比较法。是指将实施情况与绩效目标、历史情况、不同部门和地区同类支出情况进行比较的方法。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（3）因素分析法。是指综合分析影响绩效目标实现、实施效果的内外部因素的方法。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（4）最低成本法。是指在绩效目标确定的前提下，成本最小者为优的方法。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（5）公众评判法。是指通过专家评估、公众问卷及抽样调查等方式进行评判的方法。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（6）标杆管理法。是指以国内外同行业中较高的绩效水平为标杆进行评判的方法。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（7）其他评价方法。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根据本项目（乌财科教【2023】19号-关于提前下达2023年中央补助地方公共文化服务体系建设补助资金预算-农村电影）的特点，本次评价主要采用比较法和公众评判法，对项目总预算和明细预算的内容、标准、计划是否经济合理进行深入分析， 以考察实际产出和效益是否达到预期。</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4.评价标准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绩效评价标准主要包括计划标准、行业标准、历史标准等，用于对绩效指标完成情况进行比较。</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（1）计划标准。指以预先制定的目标、计划、预算、定额等作为评价标准。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（2）行业标准。指参照国家公布的行业指标数据制定的评价标准。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在上述评价标准的基础上，本次评价依据以下文件为重要指导和准绳：</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·《中共中央国务院关于全面实施预算绩效管理的意见》（中发〔2018〕34号）</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·《关于印发&lt;乌鲁木齐市本级部门预算绩效目标管理暂行办法&gt;的通知》（乌财预〔2018〕56号）</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·《关于做好2019年部门预算项目支出绩效目标管理有关事宜的通知》（乌财预〔2018〕76号）</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·《项目支出绩效评价管理办法》（财预〔2020〕10号）</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·《米东区公益电影放映管理中心-财务管理制度》</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·《米东区公益电影放映管理中心-采购管理办法》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·《米东区公益电影放映管理中心-收支业务管理办法》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·《米东区公益电影放映管理中心-决策机制制度》</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 xml:space="preserve">·《米东区公益电影放映管理中心-项目管理制度》 </w:t>
      </w:r>
    </w:p>
    <w:p w14:paraId="62DF72AF">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18C0DE8A">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35AF48FA">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37396F6D">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结合项目特点，制定符合项目实际的绩效评价指标体系及评分标准，通过数据采集、问卷调查及访谈等形式，对2024年乌财科教【2023】19号-关于提前下达2023年中央补助地方公共文化服务体系建设补助资金预算-农村电影进行客观评价，最终评分结果为：总分为98.24分，绩效评级为“优”[本次绩效评价结果实施百分制和四级分类，其中90（含）-100分为优、80（含）-90分为良、70（含）-80分为中、70分以下为差。]。</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项目各部分权重和绩效分值如附表所示：</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 xml:space="preserve">  项目各部分权重和绩效分值</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一级指标</w:t>
      </w:r>
      <w:r>
        <w:rPr>
          <w:rStyle w:val="18"/>
          <w:rFonts w:hint="eastAsia" w:eastAsia="楷体"/>
          <w:b w:val="0"/>
          <w:bCs w:val="0"/>
          <w:spacing w:val="-4"/>
          <w:sz w:val="32"/>
          <w:szCs w:val="32"/>
        </w:rPr>
        <w:tab/>
        <w:t>二级指标</w:t>
      </w:r>
      <w:r>
        <w:rPr>
          <w:rStyle w:val="18"/>
          <w:rFonts w:hint="eastAsia" w:eastAsia="楷体"/>
          <w:b w:val="0"/>
          <w:bCs w:val="0"/>
          <w:spacing w:val="-4"/>
          <w:sz w:val="32"/>
          <w:szCs w:val="32"/>
        </w:rPr>
        <w:tab/>
        <w:t>三级指标</w:t>
      </w:r>
      <w:r>
        <w:rPr>
          <w:rStyle w:val="18"/>
          <w:rFonts w:hint="eastAsia" w:eastAsia="楷体"/>
          <w:b w:val="0"/>
          <w:bCs w:val="0"/>
          <w:spacing w:val="-4"/>
          <w:sz w:val="32"/>
          <w:szCs w:val="32"/>
        </w:rPr>
        <w:tab/>
        <w:t>分值</w:t>
      </w:r>
      <w:r>
        <w:rPr>
          <w:rStyle w:val="18"/>
          <w:rFonts w:hint="eastAsia" w:eastAsia="楷体"/>
          <w:b w:val="0"/>
          <w:bCs w:val="0"/>
          <w:spacing w:val="-4"/>
          <w:sz w:val="32"/>
          <w:szCs w:val="32"/>
        </w:rPr>
        <w:tab/>
        <w:t>得分</w:t>
      </w:r>
      <w:r>
        <w:rPr>
          <w:rStyle w:val="18"/>
          <w:rFonts w:hint="eastAsia" w:eastAsia="楷体"/>
          <w:b w:val="0"/>
          <w:bCs w:val="0"/>
          <w:spacing w:val="-4"/>
          <w:sz w:val="32"/>
          <w:szCs w:val="32"/>
        </w:rPr>
        <w:tab/>
        <w:t>得分率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决策</w:t>
      </w:r>
      <w:r>
        <w:rPr>
          <w:rStyle w:val="18"/>
          <w:rFonts w:hint="eastAsia" w:eastAsia="楷体"/>
          <w:b w:val="0"/>
          <w:bCs w:val="0"/>
          <w:spacing w:val="-4"/>
          <w:sz w:val="32"/>
          <w:szCs w:val="32"/>
        </w:rPr>
        <w:tab/>
        <w:t>项目立项</w:t>
      </w:r>
      <w:r>
        <w:rPr>
          <w:rStyle w:val="18"/>
          <w:rFonts w:hint="eastAsia" w:eastAsia="楷体"/>
          <w:b w:val="0"/>
          <w:bCs w:val="0"/>
          <w:spacing w:val="-4"/>
          <w:sz w:val="32"/>
          <w:szCs w:val="32"/>
        </w:rPr>
        <w:tab/>
        <w:t>立项依据充分性</w:t>
      </w:r>
      <w:r>
        <w:rPr>
          <w:rStyle w:val="18"/>
          <w:rFonts w:hint="eastAsia" w:eastAsia="楷体"/>
          <w:b w:val="0"/>
          <w:bCs w:val="0"/>
          <w:spacing w:val="-4"/>
          <w:sz w:val="32"/>
          <w:szCs w:val="32"/>
        </w:rPr>
        <w:tab/>
        <w:t>4</w:t>
      </w:r>
      <w:r>
        <w:rPr>
          <w:rStyle w:val="18"/>
          <w:rFonts w:hint="eastAsia" w:eastAsia="楷体"/>
          <w:b w:val="0"/>
          <w:bCs w:val="0"/>
          <w:spacing w:val="-4"/>
          <w:sz w:val="32"/>
          <w:szCs w:val="32"/>
        </w:rPr>
        <w:tab/>
        <w:t>4</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立项程序规范性</w:t>
      </w:r>
      <w:r>
        <w:rPr>
          <w:rStyle w:val="18"/>
          <w:rFonts w:hint="eastAsia" w:eastAsia="楷体"/>
          <w:b w:val="0"/>
          <w:bCs w:val="0"/>
          <w:spacing w:val="-4"/>
          <w:sz w:val="32"/>
          <w:szCs w:val="32"/>
        </w:rPr>
        <w:tab/>
        <w:t>4</w:t>
      </w:r>
      <w:r>
        <w:rPr>
          <w:rStyle w:val="18"/>
          <w:rFonts w:hint="eastAsia" w:eastAsia="楷体"/>
          <w:b w:val="0"/>
          <w:bCs w:val="0"/>
          <w:spacing w:val="-4"/>
          <w:sz w:val="32"/>
          <w:szCs w:val="32"/>
        </w:rPr>
        <w:tab/>
        <w:t>4</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绩效目标</w:t>
      </w:r>
      <w:r>
        <w:rPr>
          <w:rStyle w:val="18"/>
          <w:rFonts w:hint="eastAsia" w:eastAsia="楷体"/>
          <w:b w:val="0"/>
          <w:bCs w:val="0"/>
          <w:spacing w:val="-4"/>
          <w:sz w:val="32"/>
          <w:szCs w:val="32"/>
        </w:rPr>
        <w:tab/>
        <w:t>绩效目标合理性</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绩效指标明确性</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资金投入</w:t>
      </w:r>
      <w:r>
        <w:rPr>
          <w:rStyle w:val="18"/>
          <w:rFonts w:hint="eastAsia" w:eastAsia="楷体"/>
          <w:b w:val="0"/>
          <w:bCs w:val="0"/>
          <w:spacing w:val="-4"/>
          <w:sz w:val="32"/>
          <w:szCs w:val="32"/>
        </w:rPr>
        <w:tab/>
        <w:t>预算编制科学性</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资金分配合理性</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过程</w:t>
      </w:r>
      <w:r>
        <w:rPr>
          <w:rStyle w:val="18"/>
          <w:rFonts w:hint="eastAsia" w:eastAsia="楷体"/>
          <w:b w:val="0"/>
          <w:bCs w:val="0"/>
          <w:spacing w:val="-4"/>
          <w:sz w:val="32"/>
          <w:szCs w:val="32"/>
        </w:rPr>
        <w:tab/>
        <w:t>资金管理</w:t>
      </w:r>
      <w:r>
        <w:rPr>
          <w:rStyle w:val="18"/>
          <w:rFonts w:hint="eastAsia" w:eastAsia="楷体"/>
          <w:b w:val="0"/>
          <w:bCs w:val="0"/>
          <w:spacing w:val="-4"/>
          <w:sz w:val="32"/>
          <w:szCs w:val="32"/>
        </w:rPr>
        <w:tab/>
        <w:t>资金到位率</w:t>
      </w:r>
      <w:r>
        <w:rPr>
          <w:rStyle w:val="18"/>
          <w:rFonts w:hint="eastAsia" w:eastAsia="楷体"/>
          <w:b w:val="0"/>
          <w:bCs w:val="0"/>
          <w:spacing w:val="-4"/>
          <w:sz w:val="32"/>
          <w:szCs w:val="32"/>
        </w:rPr>
        <w:tab/>
        <w:t>5</w:t>
      </w:r>
      <w:r>
        <w:rPr>
          <w:rStyle w:val="18"/>
          <w:rFonts w:hint="eastAsia" w:eastAsia="楷体"/>
          <w:b w:val="0"/>
          <w:bCs w:val="0"/>
          <w:spacing w:val="-4"/>
          <w:sz w:val="32"/>
          <w:szCs w:val="32"/>
        </w:rPr>
        <w:tab/>
        <w:t>3.24</w:t>
      </w:r>
      <w:r>
        <w:rPr>
          <w:rStyle w:val="18"/>
          <w:rFonts w:hint="eastAsia" w:eastAsia="楷体"/>
          <w:b w:val="0"/>
          <w:bCs w:val="0"/>
          <w:spacing w:val="-4"/>
          <w:sz w:val="32"/>
          <w:szCs w:val="32"/>
        </w:rPr>
        <w:tab/>
        <w:t>64.89%</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预算执行率</w:t>
      </w:r>
      <w:r>
        <w:rPr>
          <w:rStyle w:val="18"/>
          <w:rFonts w:hint="eastAsia" w:eastAsia="楷体"/>
          <w:b w:val="0"/>
          <w:bCs w:val="0"/>
          <w:spacing w:val="-4"/>
          <w:sz w:val="32"/>
          <w:szCs w:val="32"/>
        </w:rPr>
        <w:tab/>
        <w:t>5</w:t>
      </w:r>
      <w:r>
        <w:rPr>
          <w:rStyle w:val="18"/>
          <w:rFonts w:hint="eastAsia" w:eastAsia="楷体"/>
          <w:b w:val="0"/>
          <w:bCs w:val="0"/>
          <w:spacing w:val="-4"/>
          <w:sz w:val="32"/>
          <w:szCs w:val="32"/>
        </w:rPr>
        <w:tab/>
        <w:t>5</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资金使用合规性</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组织实施</w:t>
      </w:r>
      <w:r>
        <w:rPr>
          <w:rStyle w:val="18"/>
          <w:rFonts w:hint="eastAsia" w:eastAsia="楷体"/>
          <w:b w:val="0"/>
          <w:bCs w:val="0"/>
          <w:spacing w:val="-4"/>
          <w:sz w:val="32"/>
          <w:szCs w:val="32"/>
        </w:rPr>
        <w:tab/>
        <w:t>管理制度健全性</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制度执行有效性</w:t>
      </w:r>
      <w:r>
        <w:rPr>
          <w:rStyle w:val="18"/>
          <w:rFonts w:hint="eastAsia" w:eastAsia="楷体"/>
          <w:b w:val="0"/>
          <w:bCs w:val="0"/>
          <w:spacing w:val="-4"/>
          <w:sz w:val="32"/>
          <w:szCs w:val="32"/>
        </w:rPr>
        <w:tab/>
        <w:t>4</w:t>
      </w:r>
      <w:r>
        <w:rPr>
          <w:rStyle w:val="18"/>
          <w:rFonts w:hint="eastAsia" w:eastAsia="楷体"/>
          <w:b w:val="0"/>
          <w:bCs w:val="0"/>
          <w:spacing w:val="-4"/>
          <w:sz w:val="32"/>
          <w:szCs w:val="32"/>
        </w:rPr>
        <w:tab/>
        <w:t>4</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w:t>
      </w:r>
      <w:r>
        <w:rPr>
          <w:rStyle w:val="18"/>
          <w:rFonts w:hint="eastAsia" w:eastAsia="楷体"/>
          <w:b w:val="0"/>
          <w:bCs w:val="0"/>
          <w:spacing w:val="-4"/>
          <w:sz w:val="32"/>
          <w:szCs w:val="32"/>
        </w:rPr>
        <w:tab/>
        <w:t>产出数量</w:t>
      </w:r>
      <w:r>
        <w:rPr>
          <w:rStyle w:val="18"/>
          <w:rFonts w:hint="eastAsia" w:eastAsia="楷体"/>
          <w:b w:val="0"/>
          <w:bCs w:val="0"/>
          <w:spacing w:val="-4"/>
          <w:sz w:val="32"/>
          <w:szCs w:val="32"/>
        </w:rPr>
        <w:tab/>
        <w:t>放映员培训次数</w:t>
      </w:r>
      <w:r>
        <w:rPr>
          <w:rStyle w:val="18"/>
          <w:rFonts w:hint="eastAsia" w:eastAsia="楷体"/>
          <w:b w:val="0"/>
          <w:bCs w:val="0"/>
          <w:spacing w:val="-4"/>
          <w:sz w:val="32"/>
          <w:szCs w:val="32"/>
        </w:rPr>
        <w:tab/>
        <w:t>5</w:t>
      </w:r>
      <w:r>
        <w:rPr>
          <w:rStyle w:val="18"/>
          <w:rFonts w:hint="eastAsia" w:eastAsia="楷体"/>
          <w:b w:val="0"/>
          <w:bCs w:val="0"/>
          <w:spacing w:val="-4"/>
          <w:sz w:val="32"/>
          <w:szCs w:val="32"/>
        </w:rPr>
        <w:tab/>
        <w:t>5</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放映设备数量</w:t>
      </w:r>
      <w:r>
        <w:rPr>
          <w:rStyle w:val="18"/>
          <w:rFonts w:hint="eastAsia" w:eastAsia="楷体"/>
          <w:b w:val="0"/>
          <w:bCs w:val="0"/>
          <w:spacing w:val="-4"/>
          <w:sz w:val="32"/>
          <w:szCs w:val="32"/>
        </w:rPr>
        <w:tab/>
        <w:t>5</w:t>
      </w:r>
      <w:r>
        <w:rPr>
          <w:rStyle w:val="18"/>
          <w:rFonts w:hint="eastAsia" w:eastAsia="楷体"/>
          <w:b w:val="0"/>
          <w:bCs w:val="0"/>
          <w:spacing w:val="-4"/>
          <w:sz w:val="32"/>
          <w:szCs w:val="32"/>
        </w:rPr>
        <w:tab/>
        <w:t>5</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放映员的人数</w:t>
      </w:r>
      <w:r>
        <w:rPr>
          <w:rStyle w:val="18"/>
          <w:rFonts w:hint="eastAsia" w:eastAsia="楷体"/>
          <w:b w:val="0"/>
          <w:bCs w:val="0"/>
          <w:spacing w:val="-4"/>
          <w:sz w:val="32"/>
          <w:szCs w:val="32"/>
        </w:rPr>
        <w:tab/>
        <w:t>5</w:t>
      </w:r>
      <w:r>
        <w:rPr>
          <w:rStyle w:val="18"/>
          <w:rFonts w:hint="eastAsia" w:eastAsia="楷体"/>
          <w:b w:val="0"/>
          <w:bCs w:val="0"/>
          <w:spacing w:val="-4"/>
          <w:sz w:val="32"/>
          <w:szCs w:val="32"/>
        </w:rPr>
        <w:tab/>
        <w:t>5</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产出质量</w:t>
      </w:r>
      <w:r>
        <w:rPr>
          <w:rStyle w:val="18"/>
          <w:rFonts w:hint="eastAsia" w:eastAsia="楷体"/>
          <w:b w:val="0"/>
          <w:bCs w:val="0"/>
          <w:spacing w:val="-4"/>
          <w:sz w:val="32"/>
          <w:szCs w:val="32"/>
        </w:rPr>
        <w:tab/>
        <w:t>放映设备故障率</w:t>
      </w:r>
      <w:r>
        <w:rPr>
          <w:rStyle w:val="18"/>
          <w:rFonts w:hint="eastAsia" w:eastAsia="楷体"/>
          <w:b w:val="0"/>
          <w:bCs w:val="0"/>
          <w:spacing w:val="-4"/>
          <w:sz w:val="32"/>
          <w:szCs w:val="32"/>
        </w:rPr>
        <w:tab/>
        <w:t>5</w:t>
      </w:r>
      <w:r>
        <w:rPr>
          <w:rStyle w:val="18"/>
          <w:rFonts w:hint="eastAsia" w:eastAsia="楷体"/>
          <w:b w:val="0"/>
          <w:bCs w:val="0"/>
          <w:spacing w:val="-4"/>
          <w:sz w:val="32"/>
          <w:szCs w:val="32"/>
        </w:rPr>
        <w:tab/>
        <w:t>5</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产出时效</w:t>
      </w:r>
      <w:r>
        <w:rPr>
          <w:rStyle w:val="18"/>
          <w:rFonts w:hint="eastAsia" w:eastAsia="楷体"/>
          <w:b w:val="0"/>
          <w:bCs w:val="0"/>
          <w:spacing w:val="-4"/>
          <w:sz w:val="32"/>
          <w:szCs w:val="32"/>
        </w:rPr>
        <w:tab/>
        <w:t>项目完成时间</w:t>
      </w:r>
      <w:r>
        <w:rPr>
          <w:rStyle w:val="18"/>
          <w:rFonts w:hint="eastAsia" w:eastAsia="楷体"/>
          <w:b w:val="0"/>
          <w:bCs w:val="0"/>
          <w:spacing w:val="-4"/>
          <w:sz w:val="32"/>
          <w:szCs w:val="32"/>
        </w:rPr>
        <w:tab/>
        <w:t>5</w:t>
      </w:r>
      <w:r>
        <w:rPr>
          <w:rStyle w:val="18"/>
          <w:rFonts w:hint="eastAsia" w:eastAsia="楷体"/>
          <w:b w:val="0"/>
          <w:bCs w:val="0"/>
          <w:spacing w:val="-4"/>
          <w:sz w:val="32"/>
          <w:szCs w:val="32"/>
        </w:rPr>
        <w:tab/>
        <w:t>5</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产出成本</w:t>
      </w:r>
      <w:r>
        <w:rPr>
          <w:rStyle w:val="18"/>
          <w:rFonts w:hint="eastAsia" w:eastAsia="楷体"/>
          <w:b w:val="0"/>
          <w:bCs w:val="0"/>
          <w:spacing w:val="-4"/>
          <w:sz w:val="32"/>
          <w:szCs w:val="32"/>
        </w:rPr>
        <w:tab/>
        <w:t>放映设备维护费</w:t>
      </w:r>
      <w:r>
        <w:rPr>
          <w:rStyle w:val="18"/>
          <w:rFonts w:hint="eastAsia" w:eastAsia="楷体"/>
          <w:b w:val="0"/>
          <w:bCs w:val="0"/>
          <w:spacing w:val="-4"/>
          <w:sz w:val="32"/>
          <w:szCs w:val="32"/>
        </w:rPr>
        <w:tab/>
        <w:t>5</w:t>
      </w:r>
      <w:r>
        <w:rPr>
          <w:rStyle w:val="18"/>
          <w:rFonts w:hint="eastAsia" w:eastAsia="楷体"/>
          <w:b w:val="0"/>
          <w:bCs w:val="0"/>
          <w:spacing w:val="-4"/>
          <w:sz w:val="32"/>
          <w:szCs w:val="32"/>
        </w:rPr>
        <w:tab/>
        <w:t>5</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放映员补贴</w:t>
      </w:r>
      <w:r>
        <w:rPr>
          <w:rStyle w:val="18"/>
          <w:rFonts w:hint="eastAsia" w:eastAsia="楷体"/>
          <w:b w:val="0"/>
          <w:bCs w:val="0"/>
          <w:spacing w:val="-4"/>
          <w:sz w:val="32"/>
          <w:szCs w:val="32"/>
        </w:rPr>
        <w:tab/>
        <w:t>10</w:t>
      </w:r>
      <w:r>
        <w:rPr>
          <w:rStyle w:val="18"/>
          <w:rFonts w:hint="eastAsia" w:eastAsia="楷体"/>
          <w:b w:val="0"/>
          <w:bCs w:val="0"/>
          <w:spacing w:val="-4"/>
          <w:sz w:val="32"/>
          <w:szCs w:val="32"/>
        </w:rPr>
        <w:tab/>
        <w:t>10</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效益</w:t>
      </w:r>
      <w:r>
        <w:rPr>
          <w:rStyle w:val="18"/>
          <w:rFonts w:hint="eastAsia" w:eastAsia="楷体"/>
          <w:b w:val="0"/>
          <w:bCs w:val="0"/>
          <w:spacing w:val="-4"/>
          <w:sz w:val="32"/>
          <w:szCs w:val="32"/>
        </w:rPr>
        <w:tab/>
        <w:t>社会效益指标</w:t>
      </w:r>
      <w:r>
        <w:rPr>
          <w:rStyle w:val="18"/>
          <w:rFonts w:hint="eastAsia" w:eastAsia="楷体"/>
          <w:b w:val="0"/>
          <w:bCs w:val="0"/>
          <w:spacing w:val="-4"/>
          <w:sz w:val="32"/>
          <w:szCs w:val="32"/>
        </w:rPr>
        <w:tab/>
        <w:t>活跃各族群众文化体育生活</w:t>
      </w:r>
      <w:r>
        <w:rPr>
          <w:rStyle w:val="18"/>
          <w:rFonts w:hint="eastAsia" w:eastAsia="楷体"/>
          <w:b w:val="0"/>
          <w:bCs w:val="0"/>
          <w:spacing w:val="-4"/>
          <w:sz w:val="32"/>
          <w:szCs w:val="32"/>
        </w:rPr>
        <w:tab/>
        <w:t>10</w:t>
      </w:r>
      <w:r>
        <w:rPr>
          <w:rStyle w:val="18"/>
          <w:rFonts w:hint="eastAsia" w:eastAsia="楷体"/>
          <w:b w:val="0"/>
          <w:bCs w:val="0"/>
          <w:spacing w:val="-4"/>
          <w:sz w:val="32"/>
          <w:szCs w:val="32"/>
        </w:rPr>
        <w:tab/>
        <w:t>10</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满意度指标完成情况分析</w:t>
      </w:r>
      <w:r>
        <w:rPr>
          <w:rStyle w:val="18"/>
          <w:rFonts w:hint="eastAsia" w:eastAsia="楷体"/>
          <w:b w:val="0"/>
          <w:bCs w:val="0"/>
          <w:spacing w:val="-4"/>
          <w:sz w:val="32"/>
          <w:szCs w:val="32"/>
        </w:rPr>
        <w:tab/>
        <w:t>满意度指标</w:t>
      </w:r>
      <w:r>
        <w:rPr>
          <w:rStyle w:val="18"/>
          <w:rFonts w:hint="eastAsia" w:eastAsia="楷体"/>
          <w:b w:val="0"/>
          <w:bCs w:val="0"/>
          <w:spacing w:val="-4"/>
          <w:sz w:val="32"/>
          <w:szCs w:val="32"/>
        </w:rPr>
        <w:tab/>
        <w:t>群众满意度</w:t>
      </w:r>
      <w:r>
        <w:rPr>
          <w:rStyle w:val="18"/>
          <w:rFonts w:hint="eastAsia" w:eastAsia="楷体"/>
          <w:b w:val="0"/>
          <w:bCs w:val="0"/>
          <w:spacing w:val="-4"/>
          <w:sz w:val="32"/>
          <w:szCs w:val="32"/>
        </w:rPr>
        <w:tab/>
        <w:t>10</w:t>
      </w:r>
      <w:r>
        <w:rPr>
          <w:rStyle w:val="18"/>
          <w:rFonts w:hint="eastAsia" w:eastAsia="楷体"/>
          <w:b w:val="0"/>
          <w:bCs w:val="0"/>
          <w:spacing w:val="-4"/>
          <w:sz w:val="32"/>
          <w:szCs w:val="32"/>
        </w:rPr>
        <w:tab/>
        <w:t>10</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（二）主要绩效</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该项目资金由区财政及时拨付，单位在此次评价期间内，有序完成设定目标的工作任务。乌财科教【2023】19号-关于提前下达2023年中央补助地方公共文化服务体系建设补助资金预算-农村电影项目补助资金，项目总成本目标5.12万元，按要求开展米东区农村公益电影的放映相关工作。2024 年，农村公益电影事业以高质量发展为目标，通过人才培育、队伍建设、激励保障、设备维护四大维度精准施策，全面提升公共文化服务效能。在人才培育上，全年开展 2 次专业化放映员培训，以 “理论教学 + 实操演练” 相结合的模式，系统提升放映员设备操作、故障处理等专业技能，为实现高品质放映筑牢人才支撑。队伍建设方面，组建 7 人专职放映队伍，有效充实基层文化服务力量，确保放映工作有序开展。为激发队伍活力，严格落实放映员场次补贴政策，全年累计发放4.88 万元，充分调动从业人员积极性，保障电影放映的高频率与高质量，实现基层放映队伍的稳定发展。同时，强化硬件保障，建立常态化设备维护机制，通过定期检修保养，大幅降低设备故障率，延长设备使用寿命，彻底解决放映中断难题，为乡村群众带来更稳定、更优质的观影体验通过多举措协同发力，2024 年农村公益电影放映任务圆满完成，推动文化惠民工程持续落地，让光影文化真正走进乡村、惠及群众。？</w:t>
      </w:r>
    </w:p>
    <w:p w14:paraId="504929DF">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157D6076">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33B6D0C4">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项目决策指标由3个二级指标和6个三级指标构成，权重为20分，实际得分20分。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1.项目立项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立项依据充分性：项目根据2024年乌财科教【2023】19号-关于提前下达2023年中央补助地方公共文化服务体系建设补助资金预算-农村电影文件开展，目的是为农民群众提供免费的文化娱乐活动，让他们在劳作之余有机会欣赏电影，缓解生活压力，丰富精神世界。通过放映科教片，向农民传播国家政策方针、法律法规等，帮助农民提升素质，更好的适应现代社会发展。播放具有教育意义的优秀影片，红色爱国主义、社会思想，培育和践行社会主义核心价值观，促进农村精神文明建设，为村民提供一个集体活动的场所和交流平台。同时，项目与部门职责范围相符，部门职责负责本区公益电影放映人员及设备的日常管理工作，属于部门履职所需。此外，本项目属于公共财政支持范围，符合中央、地方事权支出责任划分原则，没有与相关部门同类项目或部门内部相关项目重复。因此，立项依据充分，得4分。因此，立项依据充分，得4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立项程序规范性: 该项目按照上级单位下发2024年乌财科教【2023】19号-关于提前下达2023年中央补助地方公共文化服务体系建设补助资金预算-农村电影文件所规定的程序申请设立，审批文件、材料符合相关要求，故立项程序规范，得4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综上，该指标满分8分，得分8分。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2.绩效目标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目标合理性：本项目的绩效目标按照产出、效益和满意度构建绩效评价指标，绩效目标按照产出指标、效益指标、满意度构建绩效评价指标，合理分配，且具有明确性、可衡量性、可实现性、相关性和时限性等特点，能较为全面地反映本项目的产出和效益，乌鲁木齐市米东区公益电影放映管理中心设置目标明确，故绩效目标合理性指标得分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目标明确性：其中，目标已细化为具体的绩效指标“放映员培训次数”“放映设备数量”“放映员的人数”“放映设备故障率”“项目完成时间”“放映设备维护费”“放映员补贴”“活跃各族群众文化体育生活”“群众满意度”，可通过数量指标、质量指标、成本指标、社会效益指标、满意度指标予以量化，并具有确切的评价标准，且指标设定均与目标相关。各项指标均能在现实条件下收集到相关数据进行佐证，通过完成比例和放映员补贴发放，向中心内部门行政办、对所涉及的业务主体责任和监督责任有效落实，进一步细化，并与当年项目年度计划相对应，故绩效目标明确性指标得分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综上，该指标满分6分，得分6分。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3.资金投入</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预算编制科学性：资金额度与年度目标相适应，预算内容与项目内容匹配，预算收入的预测依据2024年乌财科教【2023】19号-关于提前下达2023年中央补助地方公共文化服务体系建设补助资金预算-农村电影文件。按照计划2024年计划开展农村电影放映员培训2次，实际培训2场次，农村电影放映人数达7人，放映员场次补贴的发放计划投入4.88万元，实际投入4.88万元，，放映设备的维护计划投入0.24万元，实际投入0.24万元，与年度预算收入完成情况相适应，安排测算支出的方向与实际支出方向一致，故预算编制科学性指标得分3分。故预算编制科学性指标得分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分配合理性：根据2024年乌财科教【2023】19号-关于提前下达2023年中央补助地方公共文化服务体系建设补助资金预算-农村电影文件要求，为完整准确贯彻新时代党的治疆方略，根据自治区党委宣传部《关于下达2023年度农村公益电影放映场次计划的通知》（新党宣函[2023]434号）要求，按照“一村一月一场电影”和“每个社区每年放映公益电影不少于10场次”的放映目标计算全区年度放映任务。根据文件要求开展此项工作，乌鲁木齐市米东区下辖7个乡镇，农村公益电影放映员共计7人，共计4.88万元；放映设备的维护保障放映工作的稳定性与连续性。在项目运作后，完全依照方案实施，预算资金分配合理。故资金分配合理性指标得分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综上，该指标满分6分，得分6分。</w:t>
      </w:r>
      <w:r>
        <w:rPr>
          <w:rStyle w:val="18"/>
          <w:rFonts w:hint="eastAsia" w:eastAsia="楷体"/>
          <w:b w:val="0"/>
          <w:bCs w:val="0"/>
          <w:spacing w:val="-4"/>
          <w:sz w:val="32"/>
          <w:szCs w:val="32"/>
        </w:rPr>
        <w:tab/>
      </w:r>
    </w:p>
    <w:p w14:paraId="358D9361">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79331A20">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项目过程指标由2个二级指标和5个三级指标构成，权重为20分，实际得分18.24分。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1.资金管理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资金到位率：我单位财政局下达年预算为7.89万元，年中调整后预算数为5.12万元。在2024年12月31日之前累计拨付5.12万元，资金到位率64.89%，用于支付我中心工作运行经费。故资金到位率指标得分3.24分。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预算执行率：该项目预算为5.12万元。在2024年12月31日之前累计拨付米东区公益电影放映管理中心5.12万元。用于2024年通过农村电影放映员发放给放映员补贴经费4.88万元，设备维护维修经费0.24万元，共计5.12万元，预算执行率100%。故预算执行率得分为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使用合规性：本项目资金的使用符合《米东区公益电影放映管理中心-项目管理制度》《米东区公益电影放映管理中心-采购管理办法》《米东区公益电影放映管理中心-收支业务管理办法》《米东区公益电影放映管理中心-决策机制制度》和《米东区公益电影放映管理中心财务管理制度》有关专项资金管理办法的规定。资金的拨付由单位经办人及科室领导先对资金进行申请流程同意后，符合三重一大事项的上融务班子会研究讨论，讨论一致同意后由办公室统一采购签订合同，然后走支付申请流程，同时财务室对票据签字，科室领导、财务、分管领导和主管领导签字后在一体化2.0平台做当月计划，代财政领导终审业务后，再次提交支付申请，填报劳务派遣公司的付款信息及电子转账方式付款，待财政领导终审业务后，财务向银行发送国库集中支出凭证的审批程序，需要票据签章，发票开具签字的手续，符合项目预算批复或合同规定的用途，不存在截留、挤占、挪用、虚列支出等情况。故资金使用合规性得分为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综上，该指标满分13分，得分11.24分。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2.组织实施</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管理制度健全性：米东区公益电影放映管理中心已制定相应米东区公益电影放映管理中心内控制度和《米东区公益电影放映管理中心财务管理制度》，且制度合法、合规、完整，为项目顺利实施提供重要保障。故管理制度健全性得分为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制度执行有效性：根据评价小组核查情况，乌鲁木齐市米东区委宣传部严格遵守国家财经法规以及《米东区委公益电影放映管理中心-项目管理制度》、《米东区公益电影放映管理中心财务管理制度》等相关规定，项目调整及支出调整手续完备，整体管理合理有序，项目完成后，及时将项目的会计凭证、原始票据等相关资料分类归档，制度执行有效。故制度执行有效性指标得分4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综上，该指标满分7分，得分7分。</w:t>
      </w:r>
    </w:p>
    <w:p w14:paraId="56F0A1C1">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7814B140">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项目产出指标由4个二级指标和7个三级指标构成，权重为40分，实际得分40分。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1.产出数量</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数量指标 “放映员培训次数”的目标值是≥1次，2024年度我单位放映员培训次数实际完成2次，原因是因设定项目绩效目标时存在不可预测因素，导致实际执行情况与目标存在差异，实际完成率：200%，故实际完成率得分为5分。故实际完成率得分为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数量指标“放映设备数量”的目标值是7套，2024年度我单位放映设备数量实际为7套，实际完成率：100%，故实际完成率得分为5分。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数量指标“放映员的人数”的目标值是7人，2024年度我单位放映员的人数实际为7人，实际完成率：100%，故实际完成率得分为5分。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综上，数量指标得分为15分。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2.产出质量</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放映设备故障率：质量指标“放映设备故障率”目标值≤10%，实际产出数为10%，我单位定时对设备进行维修维护工作，保障安全播出工作正常运行，未出现播出事故。设备未发生故障率为100%。故设备未发生故障率得分为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综上，该指标满分5分，得分5分。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3.产出时效</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项目完成时间：时效指标“项目完成时间”目标值≥12个月，实际完成时间为12月，实际完成率：100%，故实际完成率得分为5分。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综上，该指标满分5分，得分5分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4.产出成本</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放映设备维护费：成本指标“放映设备维护费”目标值≥12个月，实际完成时间为12月，实际完成率：100%，故实际完成率得分为5分。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放映员补贴：成本指标“放映员补贴”目标值≥4.88万元，实际支付4.88万元，实际完成率：100%，故实际完成率得分为5分。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综上，该指标满分10分，得分10分。</w:t>
      </w:r>
    </w:p>
    <w:p w14:paraId="14FC9181">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2F6FC7AA">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项目效益指标由1个二级指标和1个三级指标构成，权重为10分，实际得分10分。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 xml:space="preserve">综上，该指标满分10分，得分10分。 </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（1）实施效益</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 xml:space="preserve">经济效益指标：不适用。 </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社会效益指标：评价指标“活跃各族群众文化体育生活”，指标值：有效活跃，实际完成值：完全达到预期效果。本项目的实施</w:t>
      </w:r>
      <w:r>
        <w:rPr>
          <w:rStyle w:val="18"/>
          <w:rFonts w:hint="eastAsia" w:eastAsia="楷体"/>
          <w:b w:val="0"/>
          <w:bCs w:val="0"/>
          <w:spacing w:val="-4"/>
          <w:sz w:val="32"/>
          <w:szCs w:val="32"/>
          <w:lang w:eastAsia="zh-CN"/>
        </w:rPr>
        <w:t>全面贯彻落实习近平新时代中国特色社会主义思想和党的二十大精神</w:t>
      </w:r>
      <w:bookmarkStart w:id="0" w:name="_GoBack"/>
      <w:bookmarkEnd w:id="0"/>
      <w:r>
        <w:rPr>
          <w:rStyle w:val="18"/>
          <w:rFonts w:hint="eastAsia" w:eastAsia="楷体"/>
          <w:b w:val="0"/>
          <w:bCs w:val="0"/>
          <w:spacing w:val="-4"/>
          <w:sz w:val="32"/>
          <w:szCs w:val="32"/>
        </w:rPr>
        <w:t>，努力弘扬社会主义核心价值观，满足人民日益增长的精神文化需求，不断丰富辖区内党员、群众的精神文化生活。</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生态效益指标：不适用。</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综上，该指标满分10分，得分10分。</w:t>
      </w:r>
    </w:p>
    <w:p w14:paraId="3B56B743">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（1）满意度指标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群众满意度：评价指标“群众满意度”，指标值：≥95%，实际完成值：105%。通过设置问卷调查的方式进行考评评价，共计调查样本总量为50个样本，有效调查问卷50份。其中，统计“基本满意度”的平均值为105%，原因是因目标设定偏保守、项目实施效果优、宣传互动足，群众感知超预期，致满意度超设定值。故满意度指标得分为10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综上，该指标满分10分，得分10分。</w:t>
      </w:r>
    </w:p>
    <w:p w14:paraId="0B935606">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14:paraId="21A5E576">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1.财务精细管理保障公益电影经费效益</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为确保公益电影放映工作经费实现效益最大化，保障放映工作安全有序开展，财务部门构建了全流程精细化管理机制。放映团队、设备维护部门、片源管理方等多部门建立常态化沟通渠道，提前梳理场次补贴、设备采购、技术培训等资金需求。在款项支付环节，严格执行 “三审三核” 制度，确保数据真实；复审查验设备采购合同、培训签到表等原始票据的完整性，杜绝凭证缺失；终审对比预算执行进度，防范超支风险。</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2.联动村广播、微信群预告，扩大覆盖提参与度</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农村公益电影放映强化联动宣传，依托村广播、微信群等多元渠道提前预告。各村通过 “大喇叭” 播报放映时间、影片类型及亮点，确保老年群体应知尽知；乡镇干部将预告信息同步至村民微信群，方便群众规划时间。形成“广播响起来、微信转起来”的立体宣传网，有效扩大放映活动覆盖面，提升群众参与度与文化惠民实效。</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（二）存在的问题及原因分析</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1.群众反馈靠纸质问卷，线上少致青年参与低</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农村公益电影项目评价中，虽已引入群众反馈机制，但收集方式存在局限性。当前主要依赖放映现场发放纸质问卷，受限于中老年观众占比高等因素，且意见集中于影片类型等基础层面。未能充分利用公众号、村民微信群等线上平台，缺乏如扫码评分、短视频留言等便捷数字化渠道，导致年轻群体及外出务工人员参与度低，难以全面采集不同年龄层、职业群体的多元诉求，一定程度上影响了评价结果的完整性与改进建议的精准性。</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2.绩效目标模糊、档案管理漏洞需完善制度</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农村公益电影放映绩效目标审核因经验不足，存在年初预算绩效目标模糊、指标未细化量化问题。工作管理制度方面，档案管理漏洞明显，放映场次记录、设备维护资料等保管不清晰，部分村因人员变动未及时移交档案，导致数据追溯困难；培训档案仅存签到表，需完善制度、强化过程管理。</w:t>
      </w:r>
    </w:p>
    <w:p w14:paraId="46D19433">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14:paraId="503097B0">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1.为提升青年参与度，建议增加线上反馈渠道。利用微博、微信等平台发布问卷，设计简洁明了、有吸引力的问卷内容。同时，在社交媒体宣传推广，鼓励青年分享，以此吸引青年积极反馈。</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针对绩效目标模糊问题，应结合项目实际细化量化指标，明确考核标准与时间节点，确保可衡量可操作。针对档案管理漏洞，需建立档案管理制度，规范资料收集、整理、归档流程，指定专人负责，定期检查归档完整性，利用数字化手段提升管理效率，同时加强人员培训，增强档案管理意识与技能。</w:t>
      </w:r>
    </w:p>
    <w:p w14:paraId="6C281E7E">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14:paraId="0B3A064F">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项目支出政策和路径设计科学，符合实际需要；项目安排准确，未发现背离项目立项初衷的情况；项目的申报、审核机制完善；未发现虚假行为和骗取财政资金的问题。</w:t>
      </w:r>
    </w:p>
    <w:p w14:paraId="7E8408E1">
      <w:pPr>
        <w:spacing w:line="540" w:lineRule="exact"/>
        <w:ind w:firstLine="624" w:firstLineChars="200"/>
        <w:rPr>
          <w:rStyle w:val="18"/>
          <w:rFonts w:ascii="仿宋" w:hAnsi="仿宋" w:eastAsia="仿宋"/>
          <w:b w:val="0"/>
          <w:spacing w:val="-4"/>
          <w:sz w:val="32"/>
          <w:szCs w:val="32"/>
        </w:rPr>
      </w:pPr>
    </w:p>
    <w:p w14:paraId="3101A4FF">
      <w:pPr>
        <w:spacing w:line="540" w:lineRule="exact"/>
        <w:ind w:firstLine="624" w:firstLineChars="200"/>
        <w:rPr>
          <w:rStyle w:val="18"/>
          <w:rFonts w:ascii="仿宋" w:hAnsi="仿宋" w:eastAsia="仿宋"/>
          <w:b w:val="0"/>
          <w:spacing w:val="-4"/>
          <w:sz w:val="32"/>
          <w:szCs w:val="32"/>
        </w:rPr>
      </w:pPr>
    </w:p>
    <w:p w14:paraId="0C5AD486">
      <w:pPr>
        <w:spacing w:line="540" w:lineRule="exact"/>
        <w:ind w:firstLine="624" w:firstLineChars="200"/>
        <w:rPr>
          <w:rStyle w:val="18"/>
          <w:rFonts w:ascii="仿宋" w:hAnsi="仿宋" w:eastAsia="仿宋"/>
          <w:b w:val="0"/>
          <w:spacing w:val="-4"/>
          <w:sz w:val="32"/>
          <w:szCs w:val="32"/>
        </w:rPr>
      </w:pPr>
    </w:p>
    <w:p w14:paraId="1B3BDDCB">
      <w:pPr>
        <w:spacing w:line="540" w:lineRule="exact"/>
        <w:ind w:firstLine="624" w:firstLineChars="200"/>
        <w:rPr>
          <w:rStyle w:val="18"/>
          <w:rFonts w:ascii="仿宋" w:hAnsi="仿宋" w:eastAsia="仿宋"/>
          <w:b w:val="0"/>
          <w:spacing w:val="-4"/>
          <w:sz w:val="32"/>
          <w:szCs w:val="32"/>
        </w:rPr>
      </w:pPr>
    </w:p>
    <w:p w14:paraId="7045F05D">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FB7EF4B">
        <w:pPr>
          <w:pStyle w:val="12"/>
          <w:jc w:val="center"/>
        </w:pPr>
        <w:r>
          <w:fldChar w:fldCharType="begin"/>
        </w:r>
        <w:r>
          <w:instrText xml:space="preserve">PAGE   \* MERGEFORMAT</w:instrText>
        </w:r>
        <w:r>
          <w:fldChar w:fldCharType="separate"/>
        </w:r>
        <w:r>
          <w:rPr>
            <w:lang w:val="zh-CN"/>
          </w:rPr>
          <w:t>2</w:t>
        </w:r>
        <w:r>
          <w:fldChar w:fldCharType="end"/>
        </w:r>
      </w:p>
    </w:sdtContent>
  </w:sdt>
  <w:p w14:paraId="7B28B627">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3EFB7D0E"/>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35</Pages>
  <Words>3471</Words>
  <Characters>3635</Characters>
  <Lines>4</Lines>
  <Paragraphs>1</Paragraphs>
  <TotalTime>2</TotalTime>
  <ScaleCrop>false</ScaleCrop>
  <LinksUpToDate>false</LinksUpToDate>
  <CharactersWithSpaces>3659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2025-04-28T05:31:00Z</dcterms:created>
  <dc:creator>赵 恺（预算处）</dc:creator>
  <cp:lastModifiedBy>谢凤</cp:lastModifiedBy>
  <cp:lastPrinted>2018-12-31T10:56:00Z</cp:lastPrinted>
  <dcterms:modified xsi:type="dcterms:W3CDTF">2025-11-17T07:11:27Z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AC8D1C95289B424182C977C1902B2A2F</vt:lpwstr>
  </property>
  <property fmtid="{D5CDD505-2E9C-101B-9397-08002B2CF9AE}" pid="4" name="KSOTemplateDocerSaveRecord">
    <vt:lpwstr>eyJoZGlkIjoiMWExYjI5YmI4NTg2YzA1MWY0Y2ZkOGYyMDM2NmExMGEiLCJ1c2VySWQiOiIxMTk3MDAxNzMxIn0=</vt:lpwstr>
  </property>
</Properties>
</file>