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21C0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14:paraId="5056C0C9">
      <w:pPr>
        <w:spacing w:line="540" w:lineRule="exact"/>
        <w:jc w:val="center"/>
        <w:rPr>
          <w:rFonts w:ascii="华文中宋" w:hAnsi="华文中宋" w:eastAsia="华文中宋" w:cs="宋体"/>
          <w:b/>
          <w:kern w:val="0"/>
          <w:sz w:val="52"/>
          <w:szCs w:val="52"/>
        </w:rPr>
      </w:pPr>
    </w:p>
    <w:p w14:paraId="55AD4ADB">
      <w:pPr>
        <w:spacing w:line="540" w:lineRule="exact"/>
        <w:jc w:val="center"/>
        <w:rPr>
          <w:rFonts w:ascii="华文中宋" w:hAnsi="华文中宋" w:eastAsia="华文中宋" w:cs="宋体"/>
          <w:b/>
          <w:kern w:val="0"/>
          <w:sz w:val="52"/>
          <w:szCs w:val="52"/>
        </w:rPr>
      </w:pPr>
    </w:p>
    <w:p w14:paraId="296F76C4">
      <w:pPr>
        <w:spacing w:line="540" w:lineRule="exact"/>
        <w:jc w:val="center"/>
        <w:rPr>
          <w:rFonts w:ascii="华文中宋" w:hAnsi="华文中宋" w:eastAsia="华文中宋" w:cs="宋体"/>
          <w:b/>
          <w:kern w:val="0"/>
          <w:sz w:val="52"/>
          <w:szCs w:val="52"/>
        </w:rPr>
      </w:pPr>
    </w:p>
    <w:p w14:paraId="0AFF216A">
      <w:pPr>
        <w:spacing w:line="540" w:lineRule="exact"/>
        <w:jc w:val="center"/>
        <w:rPr>
          <w:rFonts w:ascii="华文中宋" w:hAnsi="华文中宋" w:eastAsia="华文中宋" w:cs="宋体"/>
          <w:b/>
          <w:kern w:val="0"/>
          <w:sz w:val="52"/>
          <w:szCs w:val="52"/>
        </w:rPr>
      </w:pPr>
    </w:p>
    <w:p w14:paraId="0F8E7BDE">
      <w:pPr>
        <w:spacing w:line="540" w:lineRule="exact"/>
        <w:jc w:val="center"/>
        <w:rPr>
          <w:rFonts w:ascii="华文中宋" w:hAnsi="华文中宋" w:eastAsia="华文中宋" w:cs="宋体"/>
          <w:b/>
          <w:kern w:val="0"/>
          <w:sz w:val="52"/>
          <w:szCs w:val="52"/>
        </w:rPr>
      </w:pPr>
    </w:p>
    <w:p w14:paraId="7962BD16">
      <w:pPr>
        <w:spacing w:line="540" w:lineRule="exact"/>
        <w:jc w:val="center"/>
        <w:rPr>
          <w:rFonts w:ascii="华文中宋" w:hAnsi="华文中宋" w:eastAsia="华文中宋" w:cs="宋体"/>
          <w:b/>
          <w:kern w:val="0"/>
          <w:sz w:val="52"/>
          <w:szCs w:val="52"/>
        </w:rPr>
      </w:pPr>
    </w:p>
    <w:p w14:paraId="6D5E75B3">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14:paraId="1F30B0BB">
      <w:pPr>
        <w:spacing w:line="540" w:lineRule="exact"/>
        <w:jc w:val="center"/>
        <w:rPr>
          <w:rFonts w:ascii="华文中宋" w:hAnsi="华文中宋" w:eastAsia="华文中宋" w:cs="宋体"/>
          <w:b/>
          <w:kern w:val="0"/>
          <w:sz w:val="52"/>
          <w:szCs w:val="52"/>
        </w:rPr>
      </w:pPr>
    </w:p>
    <w:p w14:paraId="1A9D62B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14:paraId="4567F8BD">
      <w:pPr>
        <w:spacing w:line="540" w:lineRule="exact"/>
        <w:jc w:val="center"/>
        <w:rPr>
          <w:rFonts w:hAnsi="宋体" w:eastAsia="仿宋_GB2312" w:cs="宋体"/>
          <w:kern w:val="0"/>
          <w:sz w:val="30"/>
          <w:szCs w:val="30"/>
        </w:rPr>
      </w:pPr>
    </w:p>
    <w:p w14:paraId="1D29BC0E">
      <w:pPr>
        <w:spacing w:line="540" w:lineRule="exact"/>
        <w:jc w:val="center"/>
        <w:rPr>
          <w:rFonts w:hAnsi="宋体" w:eastAsia="仿宋_GB2312" w:cs="宋体"/>
          <w:kern w:val="0"/>
          <w:sz w:val="30"/>
          <w:szCs w:val="30"/>
        </w:rPr>
      </w:pPr>
    </w:p>
    <w:p w14:paraId="5498EDAB">
      <w:pPr>
        <w:spacing w:line="540" w:lineRule="exact"/>
        <w:jc w:val="center"/>
        <w:rPr>
          <w:rFonts w:hAnsi="宋体" w:eastAsia="仿宋_GB2312" w:cs="宋体"/>
          <w:kern w:val="0"/>
          <w:sz w:val="30"/>
          <w:szCs w:val="30"/>
        </w:rPr>
      </w:pPr>
    </w:p>
    <w:p w14:paraId="1B24C83D">
      <w:pPr>
        <w:spacing w:line="540" w:lineRule="exact"/>
        <w:jc w:val="center"/>
        <w:rPr>
          <w:rFonts w:hAnsi="宋体" w:eastAsia="仿宋_GB2312" w:cs="宋体"/>
          <w:kern w:val="0"/>
          <w:sz w:val="30"/>
          <w:szCs w:val="30"/>
        </w:rPr>
      </w:pPr>
    </w:p>
    <w:p w14:paraId="3772B670">
      <w:pPr>
        <w:spacing w:line="540" w:lineRule="exact"/>
        <w:jc w:val="center"/>
        <w:rPr>
          <w:rFonts w:hAnsi="宋体" w:eastAsia="仿宋_GB2312" w:cs="宋体"/>
          <w:kern w:val="0"/>
          <w:sz w:val="30"/>
          <w:szCs w:val="30"/>
        </w:rPr>
      </w:pPr>
    </w:p>
    <w:p w14:paraId="33CDF8D0">
      <w:pPr>
        <w:spacing w:line="540" w:lineRule="exact"/>
        <w:jc w:val="center"/>
        <w:rPr>
          <w:rFonts w:hAnsi="宋体" w:eastAsia="仿宋_GB2312" w:cs="宋体"/>
          <w:kern w:val="0"/>
          <w:sz w:val="30"/>
          <w:szCs w:val="30"/>
        </w:rPr>
      </w:pPr>
    </w:p>
    <w:p w14:paraId="4C4CE097">
      <w:pPr>
        <w:spacing w:line="540" w:lineRule="exact"/>
        <w:rPr>
          <w:rFonts w:hAnsi="宋体" w:eastAsia="仿宋_GB2312" w:cs="宋体"/>
          <w:kern w:val="0"/>
          <w:sz w:val="30"/>
          <w:szCs w:val="30"/>
        </w:rPr>
      </w:pPr>
    </w:p>
    <w:p w14:paraId="5206B67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95262E1">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乌财社【2023】135号2023年中央基本公共卫生服务补助资金我【直达资金】【第二批】（上年结转资金）</w:t>
      </w:r>
    </w:p>
    <w:p w14:paraId="1C3C5B8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乌鲁木齐市米东区古牧地卫生院（人口和计划生育生殖健康服务站）</w:t>
      </w:r>
    </w:p>
    <w:p w14:paraId="10D503AE">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乌鲁木齐市米东区古牧地卫生院（人口和计划生育生殖健康服务站）</w:t>
      </w:r>
    </w:p>
    <w:p w14:paraId="1131729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马品彦</w:t>
      </w:r>
    </w:p>
    <w:p w14:paraId="79609739">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2025年05月20日</w:t>
      </w:r>
    </w:p>
    <w:p w14:paraId="261587ED">
      <w:pPr>
        <w:spacing w:line="700" w:lineRule="exact"/>
        <w:ind w:firstLine="708" w:firstLineChars="236"/>
        <w:jc w:val="left"/>
        <w:rPr>
          <w:rFonts w:hAnsi="宋体" w:eastAsia="仿宋_GB2312" w:cs="宋体"/>
          <w:kern w:val="0"/>
          <w:sz w:val="30"/>
          <w:szCs w:val="30"/>
        </w:rPr>
      </w:pPr>
    </w:p>
    <w:p w14:paraId="121A266A">
      <w:pPr>
        <w:spacing w:line="540" w:lineRule="exact"/>
        <w:rPr>
          <w:rStyle w:val="18"/>
          <w:rFonts w:ascii="黑体" w:hAnsi="黑体" w:eastAsia="黑体"/>
          <w:b w:val="0"/>
          <w:spacing w:val="-4"/>
          <w:sz w:val="32"/>
          <w:szCs w:val="32"/>
        </w:rPr>
      </w:pPr>
    </w:p>
    <w:p w14:paraId="487AEAE3">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567E7DD6">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26868BC5">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该项目实施背景：根据《关于印发自治区老年健康服务体系建设实施办法的通知》（新卫老龄发〔2020〕2号）要求，为进一步完善我市老年健康服务体系建设，推进医养结合服务，结合我市实际，制定本方案。</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项目2024年的主要实施内容：①为65岁及以上老年人提供医养结合服务。基层医疗卫生机构每年为辖区内65岁及以上居家养老的老年人进行两次医养结合服务，内容包含血压测量、末梢血血糖检测、康复指导、护理技能指导、保健咨询、营养改善指导6个方面。对高龄、失能、行动不便的老年人上门进行服务。②为65岁及以上失能老年人提供健康评估与健康服务。基层医疗卫生机构从老年人能力（具体包括日常生活活动能力、精神状态与社会参与能力、感知觉与沟通能力）和老年综合征罹患等维度，每年对辖区内提出申请的65岁及以上失能老年人上门进行健康评估，并对符合条件的失能老年人及照护者年内提供至少1次的健康服务工作，健康服务的具体内容包括康复护理指导、心理支持等。</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实际完成情况为：①辖区内65岁及以上老年人提供两次医养结合服务人数为2000人。内容包含血压测量、末梢血血糖检测、康复指导、护理技能指导、保健咨询、营养改善指导6个方面。对高龄、失能、行动不便的老年人上门进行服务。</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②为辖区内65岁及以上失能老年人开展健康评估与健康服务人数为100人。健康服务的具体内容包括康复护理指导、心理支持等。</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2.资金投入和使用情况</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该项目资金投入情况：经乌财社【2023】135号2023年中央基本公共卫生服务补助资金【直达资金】第二批文件批准，项目系2024年中央直达资金，年初共安排预算10万元，年中本项目没有追加或调减预算资金。</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该项目资金使用情况：总预算为10万元、资金投入两个方面，一是服务费预算投入65岁及以上老年人提供医养结合服务2000人，每人2次，36元/人；录入信息4元/人，每人2次，共计64000元。二是向社区卫生服务站及入户服务团队购置检查设备的预算投入3.6万元，分别为：1、轮椅：19个，393元/个，共计7467元，2、电子血压计：21个，225元/个，共计4725元，欧姆龙电子血压计6个，1568元/个，共计9408元，3、血糖试纸条：90盒，160元/盒，共计14400元，预算执行率100%。</w:t>
      </w:r>
    </w:p>
    <w:p w14:paraId="652F6B39">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460226B">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共计11个指票（65岁及以上老年人提供医养结合服务任务量、65岁及以上失能老年人服务量、购置电子血压计数量、购置欧姆龙电子血压计数量、购置血糖试纸条数量、购置轮椅数量、采购验收合格率、补助发放准确率、购置医疗耗材器械成本、村医补助成本、改善老年人生活质量和健康水平、老年人满意度指标），以准确、清晰地反映财政资金在使用期所能达到的预期产出和效果。</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该项目为当年一次性项目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总体绩效目标：此项目通过购置血压计、轮椅、血糖试剂条等医疗设备并向提供医养服务的村医支付人员补助资金，可有效的为65岁及以上老年人提供医养结合服务，提高老年人生活质量和健康水平，改善了失能老年的生活质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该项目阶段性目标为：①为65岁及以上老年人提供医养结合服务，任务量为2000人次，内容包含血压测量、末梢血血糖检测、康复指导、护理技能指导、保健咨询、营养改善指导6个方面。</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对高龄、失能、行动不便的老年人上门进行服务，任务量为100人次，对辖区内65岁及以上失能老年人上门进行健康评估，具体包括日常生活活动能力、精神状态与社会参与能力、感知觉与沟通能力的评估及康复护理指导、心理支持等服务。</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③开展医养结合服务、健康评估与健康服务的相关信息录入信息系统，做好数据信息的及时更新、上报等工作。</w:t>
      </w:r>
    </w:p>
    <w:p w14:paraId="74CE166B">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58EABAD">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7F7C35E">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首先，该项目的目标是为65岁老年人提供全面、专业、高效的医疗与养老服务。明显提高了提高了65岁及以上老年人疾病治愈率和康复效果，从而提升了老年人的生活质量。资金使用范围：一是为65岁及以上老年人提供医养结合服务；二是65岁及以上失能老年人开展健康评估与健康服务的所有经费开支。项目要求按照市卫健委、财政局规定，专款专用，不得用于基本建设、大型设备购置。足额保障项目的正常开展。通过相关绩效评价指标设定，该项目的目标、范围和要求均能够通过绩效评价指标体系完整地体现。</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其次，该项目的计划填报和执行过程均通过财政国库集中支付一体化2.0平台进行，该项目通过购置医用化验材料、采购医疗器械、康复器材，支付村医和专业医师的人员经费，达到有效的改善老年人的生活质量减少家庭生活的负担。截止2024年12月31日，项目进展顺利，并完成了预期目标，资金执行率达到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最后，此项目的评价数据来源为财政国库集中支付一体2.0平台支付回单和财务人员账务处理的数据、财务凭证及采购合同、发票、入库、验收单、成交通知，合同审批单中相关人员的签字等资料，确保数据的准确性和完整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2.评价目的</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医养结合项目的实施情况，并考察项目实施过程和效果。</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（2）通过评价，客观公正反映项目立项科学性、项目管理规范性、项目实施有效性和项目效果，总结项目实施的经验，发现项目实施过程中存在的问题，提高财政资金使用效益。</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3.评价对象</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（1）绩效评价的对象：乌财社【2023】135号2023年中央基本公共卫生服务补助资金我【直达资金】【第二批】（上年结转资金）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4.绩效评价范围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1.时间范围：2024年1月1日至2024年12月31日。</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2.项目范围：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乌财社【2023】135号2023年中央基本公共卫生服务补助资金我【直达资金】【第二批】（上年结转资金）项目的基本情况：①为65岁及以上老年人提供医养结合服务。基层医疗卫生机构每年为辖区内65岁及以上居家养老的老年人进行两次医养结合服务，内容包含血压测量、末梢血血糖检测、康复指导、护理技能指导、保健咨询、营养改善指导6个方面。对高龄、失能、行动不便的老年人上门进行服务。②为65岁及以上失能老年人提供健康评估与健康服务。基层医疗卫生机构从老年人能力（具体包括日常生活活动能力、精神状态与社会参与能力、感知觉与沟通能力）和老年综合征罹患等维度，每年对辖区内提出申请的65岁及以上失能老年人上门进行健康评估，并对符合条件的失能老年人及照护者年内提供至少1次的健康服务工作，健康服务的具体内容包括康复护理指导、心理支持等。</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评价工作的开展情况：我单位针对4个一级指标5个二级指标13个三级指标逐一针对每一个指标的目标值、业绩值、完成率、存在偏差原因以及指标得分进行了评价。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实现的产出情况：乌财社【2023】135号2023年中央基本公共卫生服务补助资金我【直达资金】【第二批】（上年结转资金）项目资金共计10万元，其中6.4万元为村医补助经费于2024年3月25由财政直接拨付到村医个人银行卡内。付轮椅19个合计金额为7467元财政2024年3月25日直接拨付到供货商江西国峰医疗器械公司，血糖试纸条90盒，单价160元/盒，共计14400元财政2024年3月25日直接拨付到供货商新疆生荣医学科技公司帐户，电子血压计21个，单价225元/个共计4725元，欧姆龙电子血压计6个，单价1568元/个共计9408元，两项合计金额14133元财政2024年3月25日直接拨付到供货商新疆生荣医学科技有限公司。</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取得的效益情况：乌财社【2023】135号2023年中央基本公共卫生服务补助资金我【直达资金】【第二批】（上年结转资金）作为一种新型的养老服务模式，旨在通过医疗资源和养老资源的有效整合，为老年人提供全面、专业、高效的医疗与养老服务，提升老年人生活质量，实现老有所医、老有所养的目标；医养结合项目通过提供健康管理、疾病治疗、康复护理等服务，显著改善了老年人的健康状况，提高了疾病治愈率和康复效果，从而提升了老年人的生活质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主要经验及做法：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主要的经验：结合全民免费健康体检下派专业医护人员对65岁及以上居家养老老年人提供医养结合服务此项工作，提高了疾病预防及筛查及中医保健意识。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做法：长山子卫生院抽调专业的医护、技师人员联合村卫生室组建居家上门医护团队，为辖区内65岁及以上居家养老的老年人进行两次医养结合服务，内容包含血压测量、末梢血血糖检测、康复指导、护理技能指导、保健咨询、营养改善指导6个方面。对高龄、失能、行动不便的老年人上门进行服务。</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存在的问题及原因分析：</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存在的问题：在养老服务中，老年人除日常护理、慢性病管理、康复、健康教育和咨询以及中医保健服务外，急需的是失能、半失能老年人在生活照料和康复护理等多方面服务。但是乡镇卫生院医疗资源仅能开展院内医疗服务，均没有深入居家养老服务，不能满足患慢性病的老年人的康复疗养需求。</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原因：养老医护专业人才缺乏，专业水平有限，加上医疗设备简单，只能进行一般医护处理，不能进行专业医疗和急病抢救服务。特别是失能老人的专业护理和处置慢性病，目前机构医护人员医技远跟不上需要。所以在新的一年工作中我们会加强人员培训以及学习更多的护理知识来关注关照老年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合性评价结论：综上所述，本次项目绩效自评对乌财社【2023】135号2023年中央基本公共卫生服务补助资金我【直达资金】【第二批】（上年结转资金）进行了了客观评价，最终评分结果为：总分为100分，绩效评级为“优”。</w:t>
      </w:r>
    </w:p>
    <w:p w14:paraId="2F88AF16">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A58CB4C">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（一）科学公正。绩效评价应当运用科学合理的方法，按照规范的程序，对项目绩效进行客观、公正的反映。</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（四）公开透明。绩效评价结果应依法依规公开，并自觉接受社会监督。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2.评价指标体系</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绩效评价指标体系作为衡量绩效目标实现程度的考核工具，一般遵循以下原则：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（1）相关性原则：绩效评价指标应当与绩效目标有直接的联系，能够恰当反映目标的实现程度。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（2）重要性原则：应当优先使用最具评价对象代表性、最能反映评价要求的核心指标。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（3）可比性原则：对同类评价对象要设定共性的绩效评价指标，以便于评价结果可以相互比较。</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本项目的评价指标体系建立如下表所示。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项目支出绩效评价指标体系</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一级指标</w:t>
      </w:r>
      <w:r>
        <w:rPr>
          <w:rStyle w:val="18"/>
          <w:rFonts w:hint="eastAsia" w:eastAsia="楷体"/>
          <w:b w:val="0"/>
          <w:bCs w:val="0"/>
          <w:spacing w:val="-4"/>
          <w:sz w:val="32"/>
          <w:szCs w:val="32"/>
        </w:rPr>
        <w:tab/>
        <w:t>二级指标</w:t>
      </w:r>
      <w:r>
        <w:rPr>
          <w:rStyle w:val="18"/>
          <w:rFonts w:hint="eastAsia" w:eastAsia="楷体"/>
          <w:b w:val="0"/>
          <w:bCs w:val="0"/>
          <w:spacing w:val="-4"/>
          <w:sz w:val="32"/>
          <w:szCs w:val="32"/>
        </w:rPr>
        <w:tab/>
        <w:t>三级指标</w:t>
      </w:r>
      <w:r>
        <w:rPr>
          <w:rStyle w:val="18"/>
          <w:rFonts w:hint="eastAsia" w:eastAsia="楷体"/>
          <w:b w:val="0"/>
          <w:bCs w:val="0"/>
          <w:spacing w:val="-4"/>
          <w:sz w:val="32"/>
          <w:szCs w:val="32"/>
        </w:rPr>
        <w:tab/>
        <w:t>指标解释</w:t>
      </w:r>
      <w:r>
        <w:rPr>
          <w:rStyle w:val="18"/>
          <w:rFonts w:hint="eastAsia" w:eastAsia="楷体"/>
          <w:b w:val="0"/>
          <w:bCs w:val="0"/>
          <w:spacing w:val="-4"/>
          <w:sz w:val="32"/>
          <w:szCs w:val="32"/>
        </w:rPr>
        <w:tab/>
        <w:t>指标说明</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w:t>
      </w:r>
      <w:r>
        <w:rPr>
          <w:rStyle w:val="18"/>
          <w:rFonts w:hint="eastAsia" w:eastAsia="楷体"/>
          <w:b w:val="0"/>
          <w:bCs w:val="0"/>
          <w:spacing w:val="-4"/>
          <w:sz w:val="32"/>
          <w:szCs w:val="32"/>
        </w:rPr>
        <w:tab/>
        <w:t>项目立项</w:t>
      </w:r>
      <w:r>
        <w:rPr>
          <w:rStyle w:val="18"/>
          <w:rFonts w:hint="eastAsia" w:eastAsia="楷体"/>
          <w:b w:val="0"/>
          <w:bCs w:val="0"/>
          <w:spacing w:val="-4"/>
          <w:sz w:val="32"/>
          <w:szCs w:val="32"/>
        </w:rPr>
        <w:tab/>
        <w:t>立项依据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充分性</w:t>
      </w:r>
      <w:r>
        <w:rPr>
          <w:rStyle w:val="18"/>
          <w:rFonts w:hint="eastAsia" w:eastAsia="楷体"/>
          <w:b w:val="0"/>
          <w:bCs w:val="0"/>
          <w:spacing w:val="-4"/>
          <w:sz w:val="32"/>
          <w:szCs w:val="32"/>
        </w:rPr>
        <w:tab/>
        <w:t>项目立项是否符合法律法规、相关政策、发展规划以及部门职责，用以反映和考核项目立项依据情况。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①项目立项是否符合国家法律法规、国民经济发展规划和相关政策；</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②项目立项是否符合行业发展规划和政策要求；</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③项目立项是否与部门职责范围相符，属于部门履职所需；</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④项目是否属于公共财政支持范围，是否符合中央、地方事权支出责任划分原则；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⑤项目是否与相关部门同类项目或部门内部相关项目重复。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立项程序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规范性</w:t>
      </w:r>
      <w:r>
        <w:rPr>
          <w:rStyle w:val="18"/>
          <w:rFonts w:hint="eastAsia" w:eastAsia="楷体"/>
          <w:b w:val="0"/>
          <w:bCs w:val="0"/>
          <w:spacing w:val="-4"/>
          <w:sz w:val="32"/>
          <w:szCs w:val="32"/>
        </w:rPr>
        <w:tab/>
        <w:t>项目申请、设立过程是否符合相关要求，用以反映和考核项目立项的规范情况。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①项目是否按照规定的程序申请设立；</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②审批文件、材料是否符合相关要求；</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③事前是否已经过必要的可行性研究、专家论证、风险评估、绩效评估、集体决策。</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合理性</w:t>
      </w:r>
      <w:r>
        <w:rPr>
          <w:rStyle w:val="18"/>
          <w:rFonts w:hint="eastAsia"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（如未设定预算绩效目标，也可考核其他工作任务目标）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①项目是否有绩效目标；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②项目绩效目标与实际工作内容是否具有相关性；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③项目预期产出效益和效果是否符合正常的业绩水平；</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④是否与预算确定的项目投资额或资金量相匹配。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w:t>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tab/>
        <w:t>绩效指标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明确性</w:t>
      </w:r>
      <w:r>
        <w:rPr>
          <w:rStyle w:val="18"/>
          <w:rFonts w:hint="eastAsia" w:eastAsia="楷体"/>
          <w:b w:val="0"/>
          <w:bCs w:val="0"/>
          <w:spacing w:val="-4"/>
          <w:sz w:val="32"/>
          <w:szCs w:val="32"/>
        </w:rPr>
        <w:tab/>
        <w:t>依据绩效目标设定的绩效指标是否清晰、细化、可衡量等，用以反映和考核项目绩效目标的明细化情况。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①是否将项目绩效目标细化分解为具体的绩效指标；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②是否通过清晰、可衡量的指标值予以体现；</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③是否与项目目标任务数或计划数相对应。</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资金投入</w:t>
      </w:r>
      <w:r>
        <w:rPr>
          <w:rStyle w:val="18"/>
          <w:rFonts w:hint="eastAsia" w:eastAsia="楷体"/>
          <w:b w:val="0"/>
          <w:bCs w:val="0"/>
          <w:spacing w:val="-4"/>
          <w:sz w:val="32"/>
          <w:szCs w:val="32"/>
        </w:rPr>
        <w:tab/>
        <w:t>预算编制</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科学性</w:t>
      </w:r>
      <w:r>
        <w:rPr>
          <w:rStyle w:val="18"/>
          <w:rFonts w:hint="eastAsia"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①预算编制是否经过科学论证；</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②预算内容与项目内容是否匹配；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③预算额度测算依据是否充分，是否按照标准编制；</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④预算确定的项目投资额或资金量是否与工作任务相匹配。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资金分配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合理性</w:t>
      </w:r>
      <w:r>
        <w:rPr>
          <w:rStyle w:val="18"/>
          <w:rFonts w:hint="eastAsia"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①预算资金分配依据是否充分；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②资金分配额度是否合理，与项目单位或地方实际是否相适应。</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w:t>
      </w:r>
      <w:r>
        <w:rPr>
          <w:rStyle w:val="18"/>
          <w:rFonts w:hint="eastAsia" w:eastAsia="楷体"/>
          <w:b w:val="0"/>
          <w:bCs w:val="0"/>
          <w:spacing w:val="-4"/>
          <w:sz w:val="32"/>
          <w:szCs w:val="32"/>
        </w:rPr>
        <w:tab/>
        <w:t>资金管理</w:t>
      </w:r>
      <w:r>
        <w:rPr>
          <w:rStyle w:val="18"/>
          <w:rFonts w:hint="eastAsia" w:eastAsia="楷体"/>
          <w:b w:val="0"/>
          <w:bCs w:val="0"/>
          <w:spacing w:val="-4"/>
          <w:sz w:val="32"/>
          <w:szCs w:val="32"/>
        </w:rPr>
        <w:tab/>
        <w:t>资金到位率</w:t>
      </w:r>
      <w:r>
        <w:rPr>
          <w:rStyle w:val="18"/>
          <w:rFonts w:hint="eastAsia" w:eastAsia="楷体"/>
          <w:b w:val="0"/>
          <w:bCs w:val="0"/>
          <w:spacing w:val="-4"/>
          <w:sz w:val="32"/>
          <w:szCs w:val="32"/>
        </w:rPr>
        <w:tab/>
        <w:t>实际到位资金与预算资金的比率，用以反映和考核资金落实情况对项目实施的总体保障程度。</w:t>
      </w:r>
      <w:r>
        <w:rPr>
          <w:rStyle w:val="18"/>
          <w:rFonts w:hint="eastAsia" w:eastAsia="楷体"/>
          <w:b w:val="0"/>
          <w:bCs w:val="0"/>
          <w:spacing w:val="-4"/>
          <w:sz w:val="32"/>
          <w:szCs w:val="32"/>
        </w:rPr>
        <w:tab/>
        <w:t>资金到位率=（实际到位资金/预算资金）×100%。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实际到位资金：一定时期（本年度或项目期）内落实到具体项目的资金。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预算资金：一定时期（本年度或项目期）内预算安排到具体项目的资金。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预算执行率</w:t>
      </w:r>
      <w:r>
        <w:rPr>
          <w:rStyle w:val="18"/>
          <w:rFonts w:hint="eastAsia" w:eastAsia="楷体"/>
          <w:b w:val="0"/>
          <w:bCs w:val="0"/>
          <w:spacing w:val="-4"/>
          <w:sz w:val="32"/>
          <w:szCs w:val="32"/>
        </w:rPr>
        <w:tab/>
        <w:t>项目预算资金是否按照计划执行，用以反映或考核项目预算执行情况。</w:t>
      </w:r>
      <w:r>
        <w:rPr>
          <w:rStyle w:val="18"/>
          <w:rFonts w:hint="eastAsia" w:eastAsia="楷体"/>
          <w:b w:val="0"/>
          <w:bCs w:val="0"/>
          <w:spacing w:val="-4"/>
          <w:sz w:val="32"/>
          <w:szCs w:val="32"/>
        </w:rPr>
        <w:tab/>
        <w:t>预算执行率=（实际支出资金/实际到位资金）×100%。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实际支出资金：一定时期（本年度或项目期）内项目实际拨付的资金。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w:t>
      </w:r>
      <w:r>
        <w:rPr>
          <w:rStyle w:val="18"/>
          <w:rFonts w:hint="eastAsia" w:eastAsia="楷体"/>
          <w:b w:val="0"/>
          <w:bCs w:val="0"/>
          <w:spacing w:val="-4"/>
          <w:sz w:val="32"/>
          <w:szCs w:val="32"/>
        </w:rPr>
        <w:tab/>
        <w:t>资金管理</w:t>
      </w:r>
      <w:r>
        <w:rPr>
          <w:rStyle w:val="18"/>
          <w:rFonts w:hint="eastAsia" w:eastAsia="楷体"/>
          <w:b w:val="0"/>
          <w:bCs w:val="0"/>
          <w:spacing w:val="-4"/>
          <w:sz w:val="32"/>
          <w:szCs w:val="32"/>
        </w:rPr>
        <w:tab/>
        <w:t>资金使用</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合规性</w:t>
      </w:r>
      <w:r>
        <w:rPr>
          <w:rStyle w:val="18"/>
          <w:rFonts w:hint="eastAsia" w:eastAsia="楷体"/>
          <w:b w:val="0"/>
          <w:bCs w:val="0"/>
          <w:spacing w:val="-4"/>
          <w:sz w:val="32"/>
          <w:szCs w:val="32"/>
        </w:rPr>
        <w:tab/>
        <w:t>项目资金使用是否符合相关的财务管理制度规定，用以反映和考核项目资金的规范运行情况。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①是否符合国家财经法规和财务管理制度以及有关专项资金管理办法的规定；</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②资金的拨付是否有完整的审批程序和手续；</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③是否符合项目预算批复或合同规定的用途；</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④是否存在截留、挤占、挪用、虚列支出等情况。</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组织实施</w:t>
      </w:r>
      <w:r>
        <w:rPr>
          <w:rStyle w:val="18"/>
          <w:rFonts w:hint="eastAsia" w:eastAsia="楷体"/>
          <w:b w:val="0"/>
          <w:bCs w:val="0"/>
          <w:spacing w:val="-4"/>
          <w:sz w:val="32"/>
          <w:szCs w:val="32"/>
        </w:rPr>
        <w:tab/>
        <w:t>管理制度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健全性</w:t>
      </w:r>
      <w:r>
        <w:rPr>
          <w:rStyle w:val="18"/>
          <w:rFonts w:hint="eastAsia"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①是否已制定或具有相应的财务和业务管理制度；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②财务和业务管理制度是否合法、合规、完整。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制度执行</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有效性</w:t>
      </w:r>
      <w:r>
        <w:rPr>
          <w:rStyle w:val="18"/>
          <w:rFonts w:hint="eastAsia" w:eastAsia="楷体"/>
          <w:b w:val="0"/>
          <w:bCs w:val="0"/>
          <w:spacing w:val="-4"/>
          <w:sz w:val="32"/>
          <w:szCs w:val="32"/>
        </w:rPr>
        <w:tab/>
        <w:t>项目实施是否符合相关管理规定，用以反映和考核相关管理制度的有效执行情况。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①是否遵守相关法律法规和相关管理规定；</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②项目调整及支出调整手续是否完备；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③项目合同书、验收报告、技术鉴定等资料是否齐全并及时归档；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④项目实施的人员条件、场地设备、信息支撑等是否落实到位。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产出指标</w:t>
      </w:r>
      <w:r>
        <w:rPr>
          <w:rStyle w:val="18"/>
          <w:rFonts w:hint="eastAsia" w:eastAsia="楷体"/>
          <w:b w:val="0"/>
          <w:bCs w:val="0"/>
          <w:spacing w:val="-4"/>
          <w:sz w:val="32"/>
          <w:szCs w:val="32"/>
        </w:rPr>
        <w:tab/>
        <w:t>数量指标</w:t>
      </w:r>
      <w:r>
        <w:rPr>
          <w:rStyle w:val="18"/>
          <w:rFonts w:hint="eastAsia" w:eastAsia="楷体"/>
          <w:b w:val="0"/>
          <w:bCs w:val="0"/>
          <w:spacing w:val="-4"/>
          <w:sz w:val="32"/>
          <w:szCs w:val="32"/>
        </w:rPr>
        <w:tab/>
        <w:t>65岁及以上老年人医养结合服务量</w:t>
      </w:r>
      <w:r>
        <w:rPr>
          <w:rStyle w:val="18"/>
          <w:rFonts w:hint="eastAsia" w:eastAsia="楷体"/>
          <w:b w:val="0"/>
          <w:bCs w:val="0"/>
          <w:spacing w:val="-4"/>
          <w:sz w:val="32"/>
          <w:szCs w:val="32"/>
        </w:rPr>
        <w:tab/>
        <w:t>项目实施的实际业绩值与计划目标值的比率，用以反映和考核项目完成数量目标的实现程度。</w:t>
      </w:r>
      <w:r>
        <w:rPr>
          <w:rStyle w:val="18"/>
          <w:rFonts w:hint="eastAsia" w:eastAsia="楷体"/>
          <w:b w:val="0"/>
          <w:bCs w:val="0"/>
          <w:spacing w:val="-4"/>
          <w:sz w:val="32"/>
          <w:szCs w:val="32"/>
        </w:rPr>
        <w:tab/>
        <w:t>①用以考核65岁及以上老年人服务人数是否达标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②指标完成率=实际服务老年人人数/计划服务老年人人数*100%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③购置物资的数量是否达标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④指标完成率=实际购置物资数量/计划购置物资数量*100%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65岁及以上失能老人服务量</w:t>
      </w:r>
      <w:r>
        <w:rPr>
          <w:rStyle w:val="18"/>
          <w:rFonts w:hint="eastAsia" w:eastAsia="楷体"/>
          <w:b w:val="0"/>
          <w:bCs w:val="0"/>
          <w:spacing w:val="-4"/>
          <w:sz w:val="32"/>
          <w:szCs w:val="32"/>
        </w:rPr>
        <w:tab/>
        <w:t/>
      </w:r>
      <w:r>
        <w:rPr>
          <w:rStyle w:val="18"/>
          <w:rFonts w:hint="eastAsia" w:eastAsia="楷体"/>
          <w:b w:val="0"/>
          <w:bCs w:val="0"/>
          <w:spacing w:val="-4"/>
          <w:sz w:val="32"/>
          <w:szCs w:val="32"/>
        </w:rPr>
        <w:tab/>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购置电子血压计数量</w:t>
      </w:r>
      <w:r>
        <w:rPr>
          <w:rStyle w:val="18"/>
          <w:rFonts w:hint="eastAsia" w:eastAsia="楷体"/>
          <w:b w:val="0"/>
          <w:bCs w:val="0"/>
          <w:spacing w:val="-4"/>
          <w:sz w:val="32"/>
          <w:szCs w:val="32"/>
        </w:rPr>
        <w:tab/>
        <w:t/>
      </w:r>
      <w:r>
        <w:rPr>
          <w:rStyle w:val="18"/>
          <w:rFonts w:hint="eastAsia" w:eastAsia="楷体"/>
          <w:b w:val="0"/>
          <w:bCs w:val="0"/>
          <w:spacing w:val="-4"/>
          <w:sz w:val="32"/>
          <w:szCs w:val="32"/>
        </w:rPr>
        <w:tab/>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购置欧龙电子血压计数量</w:t>
      </w:r>
      <w:r>
        <w:rPr>
          <w:rStyle w:val="18"/>
          <w:rFonts w:hint="eastAsia" w:eastAsia="楷体"/>
          <w:b w:val="0"/>
          <w:bCs w:val="0"/>
          <w:spacing w:val="-4"/>
          <w:sz w:val="32"/>
          <w:szCs w:val="32"/>
        </w:rPr>
        <w:tab/>
        <w:t/>
      </w:r>
      <w:r>
        <w:rPr>
          <w:rStyle w:val="18"/>
          <w:rFonts w:hint="eastAsia" w:eastAsia="楷体"/>
          <w:b w:val="0"/>
          <w:bCs w:val="0"/>
          <w:spacing w:val="-4"/>
          <w:sz w:val="32"/>
          <w:szCs w:val="32"/>
        </w:rPr>
        <w:tab/>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购置血糖试纸条数量</w:t>
      </w:r>
      <w:r>
        <w:rPr>
          <w:rStyle w:val="18"/>
          <w:rFonts w:hint="eastAsia" w:eastAsia="楷体"/>
          <w:b w:val="0"/>
          <w:bCs w:val="0"/>
          <w:spacing w:val="-4"/>
          <w:sz w:val="32"/>
          <w:szCs w:val="32"/>
        </w:rPr>
        <w:tab/>
        <w:t/>
      </w:r>
      <w:r>
        <w:rPr>
          <w:rStyle w:val="18"/>
          <w:rFonts w:hint="eastAsia" w:eastAsia="楷体"/>
          <w:b w:val="0"/>
          <w:bCs w:val="0"/>
          <w:spacing w:val="-4"/>
          <w:sz w:val="32"/>
          <w:szCs w:val="32"/>
        </w:rPr>
        <w:tab/>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购置轮椅数量</w:t>
      </w:r>
      <w:r>
        <w:rPr>
          <w:rStyle w:val="18"/>
          <w:rFonts w:hint="eastAsia" w:eastAsia="楷体"/>
          <w:b w:val="0"/>
          <w:bCs w:val="0"/>
          <w:spacing w:val="-4"/>
          <w:sz w:val="32"/>
          <w:szCs w:val="32"/>
        </w:rPr>
        <w:tab/>
        <w:t/>
      </w:r>
      <w:r>
        <w:rPr>
          <w:rStyle w:val="18"/>
          <w:rFonts w:hint="eastAsia" w:eastAsia="楷体"/>
          <w:b w:val="0"/>
          <w:bCs w:val="0"/>
          <w:spacing w:val="-4"/>
          <w:sz w:val="32"/>
          <w:szCs w:val="32"/>
        </w:rPr>
        <w:tab/>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产出指标</w:t>
      </w:r>
      <w:r>
        <w:rPr>
          <w:rStyle w:val="18"/>
          <w:rFonts w:hint="eastAsia" w:eastAsia="楷体"/>
          <w:b w:val="0"/>
          <w:bCs w:val="0"/>
          <w:spacing w:val="-4"/>
          <w:sz w:val="32"/>
          <w:szCs w:val="32"/>
        </w:rPr>
        <w:tab/>
        <w:t>产出质量</w:t>
      </w:r>
      <w:r>
        <w:rPr>
          <w:rStyle w:val="18"/>
          <w:rFonts w:hint="eastAsia" w:eastAsia="楷体"/>
          <w:b w:val="0"/>
          <w:bCs w:val="0"/>
          <w:spacing w:val="-4"/>
          <w:sz w:val="32"/>
          <w:szCs w:val="32"/>
        </w:rPr>
        <w:tab/>
        <w:t>采购验收合格率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项目完成的质量达标产出数与实际产出数的比率，用以反映和考核项目产出质量目标的实现程度。</w:t>
      </w:r>
      <w:r>
        <w:rPr>
          <w:rStyle w:val="18"/>
          <w:rFonts w:hint="eastAsia" w:eastAsia="楷体"/>
          <w:b w:val="0"/>
          <w:bCs w:val="0"/>
          <w:spacing w:val="-4"/>
          <w:sz w:val="32"/>
          <w:szCs w:val="32"/>
        </w:rPr>
        <w:tab/>
        <w:t>用以考核医养结合项目所产生的费用合格率（准确率）是否达标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指标完成率={实际采购验收合格数（补助发放准确人数）/计划采购验收数（补助发放人数）}*100%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补助发放准确率</w:t>
      </w:r>
      <w:r>
        <w:rPr>
          <w:rStyle w:val="18"/>
          <w:rFonts w:hint="eastAsia" w:eastAsia="楷体"/>
          <w:b w:val="0"/>
          <w:bCs w:val="0"/>
          <w:spacing w:val="-4"/>
          <w:sz w:val="32"/>
          <w:szCs w:val="32"/>
        </w:rPr>
        <w:tab/>
        <w:t/>
      </w:r>
      <w:r>
        <w:rPr>
          <w:rStyle w:val="18"/>
          <w:rFonts w:hint="eastAsia" w:eastAsia="楷体"/>
          <w:b w:val="0"/>
          <w:bCs w:val="0"/>
          <w:spacing w:val="-4"/>
          <w:sz w:val="32"/>
          <w:szCs w:val="32"/>
        </w:rPr>
        <w:tab/>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产出时效</w:t>
      </w:r>
      <w:r>
        <w:rPr>
          <w:rStyle w:val="18"/>
          <w:rFonts w:hint="eastAsia" w:eastAsia="楷体"/>
          <w:b w:val="0"/>
          <w:bCs w:val="0"/>
          <w:spacing w:val="-4"/>
          <w:sz w:val="32"/>
          <w:szCs w:val="32"/>
        </w:rPr>
        <w:tab/>
        <w:t>项目完成及时率</w:t>
      </w:r>
      <w:r>
        <w:rPr>
          <w:rStyle w:val="18"/>
          <w:rFonts w:hint="eastAsia" w:eastAsia="楷体"/>
          <w:b w:val="0"/>
          <w:bCs w:val="0"/>
          <w:spacing w:val="-4"/>
          <w:sz w:val="32"/>
          <w:szCs w:val="32"/>
        </w:rPr>
        <w:tab/>
        <w:t>项目实际完成时间与计划完成时间的比较，用以反映和考核项目产出时效目标的实现程度。</w:t>
      </w:r>
      <w:r>
        <w:rPr>
          <w:rStyle w:val="18"/>
          <w:rFonts w:hint="eastAsia" w:eastAsia="楷体"/>
          <w:b w:val="0"/>
          <w:bCs w:val="0"/>
          <w:spacing w:val="-4"/>
          <w:sz w:val="32"/>
          <w:szCs w:val="32"/>
        </w:rPr>
        <w:tab/>
        <w:t>用以考核该项目完成时间是否达标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实际完成时间：项目实施单位完成该项目所耗用的时间。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计划完成时间：按照项目实施计划或相关规定完成该项目所需时间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产出成本</w:t>
      </w:r>
      <w:r>
        <w:rPr>
          <w:rStyle w:val="18"/>
          <w:rFonts w:hint="eastAsia" w:eastAsia="楷体"/>
          <w:b w:val="0"/>
          <w:bCs w:val="0"/>
          <w:spacing w:val="-4"/>
          <w:sz w:val="32"/>
          <w:szCs w:val="32"/>
        </w:rPr>
        <w:tab/>
        <w:t>购置医疗耗材器械成本</w:t>
      </w:r>
      <w:r>
        <w:rPr>
          <w:rStyle w:val="18"/>
          <w:rFonts w:hint="eastAsia" w:eastAsia="楷体"/>
          <w:b w:val="0"/>
          <w:bCs w:val="0"/>
          <w:spacing w:val="-4"/>
          <w:sz w:val="32"/>
          <w:szCs w:val="32"/>
        </w:rPr>
        <w:tab/>
        <w:t>完成项目计划工作目标的实际节约成本与计划成本的比率，用以反映和考核项目的成本节约程度。</w:t>
      </w:r>
      <w:r>
        <w:rPr>
          <w:rStyle w:val="18"/>
          <w:rFonts w:hint="eastAsia" w:eastAsia="楷体"/>
          <w:b w:val="0"/>
          <w:bCs w:val="0"/>
          <w:spacing w:val="-4"/>
          <w:sz w:val="32"/>
          <w:szCs w:val="32"/>
        </w:rPr>
        <w:tab/>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指标完成率=（实际支出成本/计划支出成本）*100%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若实际支出成本控制在计划支出范围内的，按照完成比例计算得分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若实际支出成本超出计划支出成本的不得分。项目经费小于等于10万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村医补助成本</w:t>
      </w:r>
      <w:r>
        <w:rPr>
          <w:rStyle w:val="18"/>
          <w:rFonts w:hint="eastAsia" w:eastAsia="楷体"/>
          <w:b w:val="0"/>
          <w:bCs w:val="0"/>
          <w:spacing w:val="-4"/>
          <w:sz w:val="32"/>
          <w:szCs w:val="32"/>
        </w:rPr>
        <w:tab/>
        <w:t/>
      </w:r>
      <w:r>
        <w:rPr>
          <w:rStyle w:val="18"/>
          <w:rFonts w:hint="eastAsia" w:eastAsia="楷体"/>
          <w:b w:val="0"/>
          <w:bCs w:val="0"/>
          <w:spacing w:val="-4"/>
          <w:sz w:val="32"/>
          <w:szCs w:val="32"/>
        </w:rPr>
        <w:tab/>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效益指标</w:t>
      </w:r>
      <w:r>
        <w:rPr>
          <w:rStyle w:val="18"/>
          <w:rFonts w:hint="eastAsia" w:eastAsia="楷体"/>
          <w:b w:val="0"/>
          <w:bCs w:val="0"/>
          <w:spacing w:val="-4"/>
          <w:sz w:val="32"/>
          <w:szCs w:val="32"/>
        </w:rPr>
        <w:tab/>
        <w:t>社会效益指标</w:t>
      </w:r>
      <w:r>
        <w:rPr>
          <w:rStyle w:val="18"/>
          <w:rFonts w:hint="eastAsia" w:eastAsia="楷体"/>
          <w:b w:val="0"/>
          <w:bCs w:val="0"/>
          <w:spacing w:val="-4"/>
          <w:sz w:val="32"/>
          <w:szCs w:val="32"/>
        </w:rPr>
        <w:tab/>
        <w:t>改善老年人生活质量和健康水平</w:t>
      </w:r>
      <w:r>
        <w:rPr>
          <w:rStyle w:val="18"/>
          <w:rFonts w:hint="eastAsia" w:eastAsia="楷体"/>
          <w:b w:val="0"/>
          <w:bCs w:val="0"/>
          <w:spacing w:val="-4"/>
          <w:sz w:val="32"/>
          <w:szCs w:val="32"/>
        </w:rPr>
        <w:tab/>
        <w:t>项目实施所产生的效益。</w:t>
      </w:r>
      <w:r>
        <w:rPr>
          <w:rStyle w:val="18"/>
          <w:rFonts w:hint="eastAsia" w:eastAsia="楷体"/>
          <w:b w:val="0"/>
          <w:bCs w:val="0"/>
          <w:spacing w:val="-4"/>
          <w:sz w:val="32"/>
          <w:szCs w:val="32"/>
        </w:rPr>
        <w:tab/>
        <w:t>通过提供专业的医疗护理和养老服务，满足老年人在生活照料、医疗保健、精神慰藉等方面的需求，使老年人能够在熟悉的环境中得到全面的照顾，提升其生活的舒适度和幸福感。</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满意度指标</w:t>
      </w:r>
      <w:r>
        <w:rPr>
          <w:rStyle w:val="18"/>
          <w:rFonts w:hint="eastAsia" w:eastAsia="楷体"/>
          <w:b w:val="0"/>
          <w:bCs w:val="0"/>
          <w:spacing w:val="-4"/>
          <w:sz w:val="32"/>
          <w:szCs w:val="32"/>
        </w:rPr>
        <w:tab/>
        <w:t>满意度指标</w:t>
      </w:r>
      <w:r>
        <w:rPr>
          <w:rStyle w:val="18"/>
          <w:rFonts w:hint="eastAsia" w:eastAsia="楷体"/>
          <w:b w:val="0"/>
          <w:bCs w:val="0"/>
          <w:spacing w:val="-4"/>
          <w:sz w:val="32"/>
          <w:szCs w:val="32"/>
        </w:rPr>
        <w:tab/>
        <w:t>老年人满意度</w:t>
      </w:r>
      <w:r>
        <w:rPr>
          <w:rStyle w:val="18"/>
          <w:rFonts w:hint="eastAsia" w:eastAsia="楷体"/>
          <w:b w:val="0"/>
          <w:bCs w:val="0"/>
          <w:spacing w:val="-4"/>
          <w:sz w:val="32"/>
          <w:szCs w:val="32"/>
        </w:rPr>
        <w:tab/>
        <w:t>社会公众或服务对象对项目实施效果的满意程度。</w:t>
      </w:r>
      <w:r>
        <w:rPr>
          <w:rStyle w:val="18"/>
          <w:rFonts w:hint="eastAsia" w:eastAsia="楷体"/>
          <w:b w:val="0"/>
          <w:bCs w:val="0"/>
          <w:spacing w:val="-4"/>
          <w:sz w:val="32"/>
          <w:szCs w:val="32"/>
        </w:rPr>
        <w:tab/>
        <w:t>社会公众或服务对象是指因该项目实施而受到影响群体或个人。一般采取社会调查的方式。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3.评价方法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（1）成本效益分析法。是指将投入与产出、效益进行关联性分析的方法。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（2）比较法。是指将实施情况与绩效目标、历史情况、不同部门和地区同类支出情况进行比较的方法。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（3）因素分析法。是指综合分析影响绩效目标实现、实施效果的内外部因素的方法。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（4）最低成本法。是指在绩效目标确定的前提下，成本最小者为优的方法。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（5）公众评判法。是指通过专家评估、公众问卷及抽样调查等方式进行评判的方法。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（6）标杆管理法。是指以国内外同行业中较高的绩效水平为标杆进行评判的方法。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（7）其他评价方法。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根据本项目乌财社【2023】135号2023年中央基本公共卫生服务补助资金我【直达资金】【第二批】（上年结转资金）的特点，本次评价主要采用比较法和公众评判法，对项目总预算和明细预算的内容、标准、计划是否经济合理进行深入分析，以考察实际产出和效益是否达到预期。</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绩效评价标准主要包括计划标准、行业标准、历史标准等，用于对绩效指标完成情况进行比较。</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（1）计划标准。指以预先制定的目标、计划、预算、定额等作为评价标准。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（2）行业标准。指参照国家公布的行业指标数据制定的评价标准。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在上述评价标准的基础上，本次评价依据以下文件为重要指导和准绳：</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·《中共中央国务院关于全面实施预算绩效管理的意见》（中发〔2018〕34号）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·《关于印发&lt;乌鲁木齐市本级部门预算绩效目标管理暂行办法&gt;的通知》（乌财预〔2018〕56号）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·《关于做好2019年部门预算项目支出绩效目标管理有关事宜的通知》（乌财预〔2018〕76号）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·《项目支出绩效评价管理办法》（财预〔2020〕10号）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.《关于2023年中央基本公共卫生服务补助资金的通知》乌财社【2023】135号.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《关于拨付2023年中央基本公共卫生服务补助资金的通知》</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新财社【2023】63号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《关于印发自治区老年健康与医养结合服务管理工作规范的通知》新卫老龄发【2022】1号</w:t>
      </w:r>
    </w:p>
    <w:p w14:paraId="5F144A41">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1AAEF88">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6E0F3420">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3406C686">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结合项目特点，制定符合项目实际的绩效评价指标体系及评分标准，通过数据采集、问卷调查及访谈等形式，对乌财社【2023】135号2023年中央基本公共卫生服务补助资金我【直达资金】【第二批】（上年结转资金）的项目进行客观评价，最终评分结果为：总分为100分，绩效评级为“优”[本次绩效评价结果实施百分制和四级分类，其中90（含）-100分为优、80（含）-90分为良、70（含）-80分为中、70分以下为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项目各部分权重和绩效分值如附表所示：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项目各部分权重和绩效分值</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一级指标</w:t>
      </w:r>
      <w:r>
        <w:rPr>
          <w:rStyle w:val="18"/>
          <w:rFonts w:hint="eastAsia" w:eastAsia="楷体"/>
          <w:b w:val="0"/>
          <w:bCs w:val="0"/>
          <w:spacing w:val="-4"/>
          <w:sz w:val="32"/>
          <w:szCs w:val="32"/>
        </w:rPr>
        <w:tab/>
        <w:t>二级指标</w:t>
      </w:r>
      <w:r>
        <w:rPr>
          <w:rStyle w:val="18"/>
          <w:rFonts w:hint="eastAsia" w:eastAsia="楷体"/>
          <w:b w:val="0"/>
          <w:bCs w:val="0"/>
          <w:spacing w:val="-4"/>
          <w:sz w:val="32"/>
          <w:szCs w:val="32"/>
        </w:rPr>
        <w:tab/>
        <w:t>三级指标</w:t>
      </w:r>
      <w:r>
        <w:rPr>
          <w:rStyle w:val="18"/>
          <w:rFonts w:hint="eastAsia" w:eastAsia="楷体"/>
          <w:b w:val="0"/>
          <w:bCs w:val="0"/>
          <w:spacing w:val="-4"/>
          <w:sz w:val="32"/>
          <w:szCs w:val="32"/>
        </w:rPr>
        <w:tab/>
        <w:t>分值</w:t>
      </w:r>
      <w:r>
        <w:rPr>
          <w:rStyle w:val="18"/>
          <w:rFonts w:hint="eastAsia" w:eastAsia="楷体"/>
          <w:b w:val="0"/>
          <w:bCs w:val="0"/>
          <w:spacing w:val="-4"/>
          <w:sz w:val="32"/>
          <w:szCs w:val="32"/>
        </w:rPr>
        <w:tab/>
        <w:t>得分</w:t>
      </w:r>
      <w:r>
        <w:rPr>
          <w:rStyle w:val="18"/>
          <w:rFonts w:hint="eastAsia" w:eastAsia="楷体"/>
          <w:b w:val="0"/>
          <w:bCs w:val="0"/>
          <w:spacing w:val="-4"/>
          <w:sz w:val="32"/>
          <w:szCs w:val="32"/>
        </w:rPr>
        <w:tab/>
        <w:t>得分率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w:t>
      </w:r>
      <w:r>
        <w:rPr>
          <w:rStyle w:val="18"/>
          <w:rFonts w:hint="eastAsia" w:eastAsia="楷体"/>
          <w:b w:val="0"/>
          <w:bCs w:val="0"/>
          <w:spacing w:val="-4"/>
          <w:sz w:val="32"/>
          <w:szCs w:val="32"/>
        </w:rPr>
        <w:tab/>
        <w:t>项目立项</w:t>
      </w:r>
      <w:r>
        <w:rPr>
          <w:rStyle w:val="18"/>
          <w:rFonts w:hint="eastAsia" w:eastAsia="楷体"/>
          <w:b w:val="0"/>
          <w:bCs w:val="0"/>
          <w:spacing w:val="-4"/>
          <w:sz w:val="32"/>
          <w:szCs w:val="32"/>
        </w:rPr>
        <w:tab/>
        <w:t>立项依据充分性</w:t>
      </w:r>
      <w:r>
        <w:rPr>
          <w:rStyle w:val="18"/>
          <w:rFonts w:hint="eastAsia" w:eastAsia="楷体"/>
          <w:b w:val="0"/>
          <w:bCs w:val="0"/>
          <w:spacing w:val="-4"/>
          <w:sz w:val="32"/>
          <w:szCs w:val="32"/>
        </w:rPr>
        <w:tab/>
        <w:t>4</w:t>
      </w:r>
      <w:r>
        <w:rPr>
          <w:rStyle w:val="18"/>
          <w:rFonts w:hint="eastAsia" w:eastAsia="楷体"/>
          <w:b w:val="0"/>
          <w:bCs w:val="0"/>
          <w:spacing w:val="-4"/>
          <w:sz w:val="32"/>
          <w:szCs w:val="32"/>
        </w:rPr>
        <w:tab/>
        <w:t>4</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立项程序规范性</w:t>
      </w:r>
      <w:r>
        <w:rPr>
          <w:rStyle w:val="18"/>
          <w:rFonts w:hint="eastAsia" w:eastAsia="楷体"/>
          <w:b w:val="0"/>
          <w:bCs w:val="0"/>
          <w:spacing w:val="-4"/>
          <w:sz w:val="32"/>
          <w:szCs w:val="32"/>
        </w:rPr>
        <w:tab/>
        <w:t>4</w:t>
      </w:r>
      <w:r>
        <w:rPr>
          <w:rStyle w:val="18"/>
          <w:rFonts w:hint="eastAsia" w:eastAsia="楷体"/>
          <w:b w:val="0"/>
          <w:bCs w:val="0"/>
          <w:spacing w:val="-4"/>
          <w:sz w:val="32"/>
          <w:szCs w:val="32"/>
        </w:rPr>
        <w:tab/>
        <w:t>4</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tab/>
        <w:t>绩效目标合理性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绩效指标明确性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资金投入</w:t>
      </w:r>
      <w:r>
        <w:rPr>
          <w:rStyle w:val="18"/>
          <w:rFonts w:hint="eastAsia" w:eastAsia="楷体"/>
          <w:b w:val="0"/>
          <w:bCs w:val="0"/>
          <w:spacing w:val="-4"/>
          <w:sz w:val="32"/>
          <w:szCs w:val="32"/>
        </w:rPr>
        <w:tab/>
        <w:t>预算编制科学性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资金分配合理性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w:t>
      </w:r>
      <w:r>
        <w:rPr>
          <w:rStyle w:val="18"/>
          <w:rFonts w:hint="eastAsia" w:eastAsia="楷体"/>
          <w:b w:val="0"/>
          <w:bCs w:val="0"/>
          <w:spacing w:val="-4"/>
          <w:sz w:val="32"/>
          <w:szCs w:val="32"/>
        </w:rPr>
        <w:tab/>
        <w:t>资金管理</w:t>
      </w:r>
      <w:r>
        <w:rPr>
          <w:rStyle w:val="18"/>
          <w:rFonts w:hint="eastAsia" w:eastAsia="楷体"/>
          <w:b w:val="0"/>
          <w:bCs w:val="0"/>
          <w:spacing w:val="-4"/>
          <w:sz w:val="32"/>
          <w:szCs w:val="32"/>
        </w:rPr>
        <w:tab/>
        <w:t>资金到位率</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预算执行率</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资金使用合规性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组织实施</w:t>
      </w:r>
      <w:r>
        <w:rPr>
          <w:rStyle w:val="18"/>
          <w:rFonts w:hint="eastAsia" w:eastAsia="楷体"/>
          <w:b w:val="0"/>
          <w:bCs w:val="0"/>
          <w:spacing w:val="-4"/>
          <w:sz w:val="32"/>
          <w:szCs w:val="32"/>
        </w:rPr>
        <w:tab/>
        <w:t>管理制度健全性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制度执行有效性</w:t>
      </w:r>
      <w:r>
        <w:rPr>
          <w:rStyle w:val="18"/>
          <w:rFonts w:hint="eastAsia" w:eastAsia="楷体"/>
          <w:b w:val="0"/>
          <w:bCs w:val="0"/>
          <w:spacing w:val="-4"/>
          <w:sz w:val="32"/>
          <w:szCs w:val="32"/>
        </w:rPr>
        <w:tab/>
        <w:t>4</w:t>
      </w:r>
      <w:r>
        <w:rPr>
          <w:rStyle w:val="18"/>
          <w:rFonts w:hint="eastAsia" w:eastAsia="楷体"/>
          <w:b w:val="0"/>
          <w:bCs w:val="0"/>
          <w:spacing w:val="-4"/>
          <w:sz w:val="32"/>
          <w:szCs w:val="32"/>
        </w:rPr>
        <w:tab/>
        <w:t>4</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w:t>
      </w:r>
      <w:r>
        <w:rPr>
          <w:rStyle w:val="18"/>
          <w:rFonts w:hint="eastAsia" w:eastAsia="楷体"/>
          <w:b w:val="0"/>
          <w:bCs w:val="0"/>
          <w:spacing w:val="-4"/>
          <w:sz w:val="32"/>
          <w:szCs w:val="32"/>
        </w:rPr>
        <w:tab/>
        <w:t>数量指标</w:t>
      </w:r>
      <w:r>
        <w:rPr>
          <w:rStyle w:val="18"/>
          <w:rFonts w:hint="eastAsia" w:eastAsia="楷体"/>
          <w:b w:val="0"/>
          <w:bCs w:val="0"/>
          <w:spacing w:val="-4"/>
          <w:sz w:val="32"/>
          <w:szCs w:val="32"/>
        </w:rPr>
        <w:tab/>
        <w:t>65岁及以上老年人医养结合服务任务量</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65岁及以上失能老人服务量</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购置电子血压计数量</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购置欧姆龙电子血压计数量</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购置血糖试纸条数量</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购置轮椅数量</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质量指标</w:t>
      </w:r>
      <w:r>
        <w:rPr>
          <w:rStyle w:val="18"/>
          <w:rFonts w:hint="eastAsia" w:eastAsia="楷体"/>
          <w:b w:val="0"/>
          <w:bCs w:val="0"/>
          <w:spacing w:val="-4"/>
          <w:sz w:val="32"/>
          <w:szCs w:val="32"/>
        </w:rPr>
        <w:tab/>
        <w:t>采购验收合格率</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补助发放准确率</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产出时效</w:t>
      </w:r>
      <w:r>
        <w:rPr>
          <w:rStyle w:val="18"/>
          <w:rFonts w:hint="eastAsia" w:eastAsia="楷体"/>
          <w:b w:val="0"/>
          <w:bCs w:val="0"/>
          <w:spacing w:val="-4"/>
          <w:sz w:val="32"/>
          <w:szCs w:val="32"/>
        </w:rPr>
        <w:tab/>
        <w:t>项目完成及时率</w:t>
      </w:r>
      <w:r>
        <w:rPr>
          <w:rStyle w:val="18"/>
          <w:rFonts w:hint="eastAsia" w:eastAsia="楷体"/>
          <w:b w:val="0"/>
          <w:bCs w:val="0"/>
          <w:spacing w:val="-4"/>
          <w:sz w:val="32"/>
          <w:szCs w:val="32"/>
        </w:rPr>
        <w:tab/>
        <w:t>6</w:t>
      </w:r>
      <w:r>
        <w:rPr>
          <w:rStyle w:val="18"/>
          <w:rFonts w:hint="eastAsia" w:eastAsia="楷体"/>
          <w:b w:val="0"/>
          <w:bCs w:val="0"/>
          <w:spacing w:val="-4"/>
          <w:sz w:val="32"/>
          <w:szCs w:val="32"/>
        </w:rPr>
        <w:tab/>
        <w:t>6</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成本指标</w:t>
      </w:r>
      <w:r>
        <w:rPr>
          <w:rStyle w:val="18"/>
          <w:rFonts w:hint="eastAsia" w:eastAsia="楷体"/>
          <w:b w:val="0"/>
          <w:bCs w:val="0"/>
          <w:spacing w:val="-4"/>
          <w:sz w:val="32"/>
          <w:szCs w:val="32"/>
        </w:rPr>
        <w:tab/>
        <w:t>购置医疗耗材器械成本</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村医补助成本</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效益指标</w:t>
      </w:r>
      <w:r>
        <w:rPr>
          <w:rStyle w:val="18"/>
          <w:rFonts w:hint="eastAsia" w:eastAsia="楷体"/>
          <w:b w:val="0"/>
          <w:bCs w:val="0"/>
          <w:spacing w:val="-4"/>
          <w:sz w:val="32"/>
          <w:szCs w:val="32"/>
        </w:rPr>
        <w:tab/>
        <w:t>社会效益指标</w:t>
      </w:r>
      <w:r>
        <w:rPr>
          <w:rStyle w:val="18"/>
          <w:rFonts w:hint="eastAsia" w:eastAsia="楷体"/>
          <w:b w:val="0"/>
          <w:bCs w:val="0"/>
          <w:spacing w:val="-4"/>
          <w:sz w:val="32"/>
          <w:szCs w:val="32"/>
        </w:rPr>
        <w:tab/>
        <w:t>改善老年人生活质量和健康水平</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满意度指标</w:t>
      </w:r>
      <w:r>
        <w:rPr>
          <w:rStyle w:val="18"/>
          <w:rFonts w:hint="eastAsia" w:eastAsia="楷体"/>
          <w:b w:val="0"/>
          <w:bCs w:val="0"/>
          <w:spacing w:val="-4"/>
          <w:sz w:val="32"/>
          <w:szCs w:val="32"/>
        </w:rPr>
        <w:tab/>
        <w:t>满意度指标</w:t>
      </w:r>
      <w:r>
        <w:rPr>
          <w:rStyle w:val="18"/>
          <w:rFonts w:hint="eastAsia" w:eastAsia="楷体"/>
          <w:b w:val="0"/>
          <w:bCs w:val="0"/>
          <w:spacing w:val="-4"/>
          <w:sz w:val="32"/>
          <w:szCs w:val="32"/>
        </w:rPr>
        <w:tab/>
        <w:t>老年人满意度</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（二）主要绩效</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该项目资金区财政及时拨付，单位在此次评价期间内，有序完成设定目标的全部工作任务，完成比较好的以下三个指标：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为65岁及以上老年人提供医养结合服务。目标值为2000人，业绩值为2038人，完成率为102%。工作方法：村卫生室及古牧地卫生院的专业医护人员携带医疗器械下村入户每年为辖区内65岁及以上居家养老的老年人进行两次医养结合服务，内容包含血压测量、末梢血血糖检测、康复指导、护理技能指导、保健咨询、营养改善指导6个方面。对高龄、失能、行动不便的老年人上门进行服务。主要的经验：结合全民免费健康体检下派专业医护人员对65岁及以上居家养老老年人提供医养结合服务此项工作，提高了疾病预防及筛查及中医保健意识。取得的效益：大大提高了老年人的健康意识、基本护理常识及保健意识。将医疗资源与养老资源有机结合，实现了慢性病管理、康复护理等医疗服务在养老机构及家庭。</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为65岁及以上失能老年人提供健康评估与健康服务。目标值为100人次，业绩值为102人次，完成率102%。工作方法：村卫生室及古牧地卫生院的专业医护人员携带医疗器械下村入户每年为65岁及以上失能老年人提供健康评估与健康服务，从老年人能力（具体包括日常生活活动能力、精神状态与社会参与能力、感知觉与沟通能力）和老年综合征罹患等维度，每年对辖区内提出申请的65岁及以上失能老年人上门进行健康评估，并对符合条件的失能老年人及照护者年内提供至少2次的健康服务工作，健康服务的具体内容包括康复护理指导、心理支持等。同时开展医养结合服务、健康评估与健康服务的相关信息录入信息系统，做好数据信息的及时更新、上报等工作。主要的经验：结合全民免费健康体检下派专业医护人员对65岁以上失能老年人提供医养结合服务，此项工作提高了疾病预防及筛查及中医保健意识。取得的效益：大大提高了老年人的健康意识、基本护理常识及保健意识。将医疗资源与养老资源有机结合，实现了慢性病管理、康复护理等医疗服务在养老机构及家庭。</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采购验收合格率,目标值100%，业绩值为100%，完成率100%。工作方法：严格根据《医疗器械监督管理条例》等法规要求，对资金使用、合同执行和验收流程进行全流程监管，确保采购合规性。责任主体明确与协同基层采购通常执行政府采购制度，对供应商资质、产品注册证、生产许可产品验收单、随货通行单等文件进行严格审查，确保源头合规性、产品的合格率。大大提高了产品的合格率，减少了产品不合格产生的时间成本。</w:t>
      </w:r>
    </w:p>
    <w:p w14:paraId="7742810F">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F607E07">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2A7804A">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1.项目立项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依据充分性：项目立项符合《中华人民共和国基本医疗卫生与健康促进法》、《“十四五”国家老龄事业发展和养老服务体系规划》等相关政策；符合《关于印发自治区老年健康服务体系建设实施办法的通知》（新卫老龄发〔2020〕2号）、《关于印发自治区老年健康与医养结合服务管理工作规范（试行）的通知》（新卫老龄发〔2022〕1号）等政策要求。我单位主要承担基本医疗服务，辖区居民的健康档案以及慢性病管理等国家基本公共卫生服务等部门职责，该项目属于公共卫生范畴，因此与我单位部门职责相符，属于部门履职所需。此外，本项目由中央财政支持，属于公共财政支持范围，符合中央、地方事权支出责任划分原则。该项目与部门同类项目及部门内部相关项目不存在重复问题，因此，立项依据充分，得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程序规范性:项立项程序规范性:本项目严格遵循国家及地方关于医养结合服务的要求开展立项工作，在申请设立、审批流程及材料规范性上均符合相关要求，事前已通过项目可行性研究、风险评估、绩效评估、集体决策等程序，故立项程序规范，得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综上，该指标满分8分，得分8分。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明确性：其中，目标已细化为具体的绩效指标根据项目开展实际情况，设置“65岁及以上老年人医养结合服务任务量”、“65岁及以上失能老人服务量”、“购置电子血压计数量”、“购置欧姆龙电子血压计数量”、“购置血糖试纸条数量”、“购置轮椅数量”、“采购验收合格率”、“补助发放准确率”、“购置医疗耗材器械成本”、“村医补助成本”、“改善老年人生活质量和健康水平”、“老年人满意度”等，可通过数量指标、质量指标、时效指标和成本指标、效益指标、满意度指标予以量化，并具有确切的评价标准，且指标设定均与目标相关。各项指标均能在现实条件下收集到相关数据进行佐证，通过财务科处理的有关此项目的所有经费开支凭证中，可获取到此项目的资金使用计划、采购计划申请、合同审批单、采购合同、发票、入库、验收单、成交通知书等资料中确定项目已达标完成，并与当年项目年度计划相对应。故绩效目标明确性指标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综上，该指标满分6分，得分6分。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3.资金投入</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预算编制科学性：乌财社【2023】135号2023年中央基本公共卫生服务补助资金我【直达资金】【第二批】（上年结转资金）项目。 在预算编制时充分考虑政策因素，确保预算符合政策导向，提高预算的合规性和可操作性。同时，依据行业标准和规范：参考医疗卫生、养老服务等相关行业的收费标准、成本核算方法以及政府部门发布的指导性文件，确保预算编制有章可循。预算人员经费是以65岁及以上老年人提供医养结合服务2000人，每人2次，36元/人；录入信息4元/人，每人2次，共计64000元计算得出。医疗器械是根据服务人口及检查项目所需数量核算。</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故预算编制科学性指标得分3分。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分配合理性：乌财社【2023】135号2023年中央基本公共卫生服务补助资金我【直达资金】【第二批】（上年结转资金）项目。一优先保障核心业务：将资金重点分配到医疗护理、康复服务、生活照料等核心业务上，确保医养结合服务的质量和安全。二 根据项目的服务需求：合理安排资金用于购置医疗耗材及器械，以提升此次对老年人服务质量的提高及项目圆满的完成。</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故资金分配合理性指标得分3分。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综上，该指标满分6分，得分6分。</w:t>
      </w:r>
      <w:r>
        <w:rPr>
          <w:rStyle w:val="18"/>
          <w:rFonts w:hint="eastAsia" w:eastAsia="楷体"/>
          <w:b w:val="0"/>
          <w:bCs w:val="0"/>
          <w:spacing w:val="-4"/>
          <w:sz w:val="32"/>
          <w:szCs w:val="32"/>
        </w:rPr>
        <w:tab/>
      </w:r>
    </w:p>
    <w:p w14:paraId="52A5B9E4">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781D3A7">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项目过程指标由2个二级指标和5个三级指标构成，权重为20分，实际得分20分。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1.资金管理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到位率：乌财社【2023】135号2023年中央基本公共卫生服务补助资金我【直达资金】【第二批】（上年结转资金）项目资金10万元属于上年财政结转资金。财政拨付到帐时间为2024年3月25日。有财政局分别直接拨付到第三方</w:t>
      </w:r>
      <w:r>
        <w:rPr>
          <w:rStyle w:val="18"/>
          <w:rFonts w:hint="eastAsia" w:eastAsia="楷体"/>
          <w:b w:val="0"/>
          <w:bCs w:val="0"/>
          <w:spacing w:val="-4"/>
          <w:sz w:val="32"/>
          <w:szCs w:val="32"/>
          <w:lang w:eastAsia="zh-CN"/>
        </w:rPr>
        <w:t>银行账户</w:t>
      </w:r>
      <w:bookmarkStart w:id="0" w:name="_GoBack"/>
      <w:bookmarkEnd w:id="0"/>
      <w:r>
        <w:rPr>
          <w:rStyle w:val="18"/>
          <w:rFonts w:hint="eastAsia" w:eastAsia="楷体"/>
          <w:b w:val="0"/>
          <w:bCs w:val="0"/>
          <w:spacing w:val="-4"/>
          <w:sz w:val="32"/>
          <w:szCs w:val="32"/>
        </w:rPr>
        <w:t>中，资金到位率100%，故资金到位率指标得分5分。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执行率：乌财社【2023】135号2023年中央基本公共卫生服务补助资金我【直达资金】【第二批】（上年结转资金）项目资金共计10万元，其中6.4万元为村医补助经费于2024年3月25由财政直接拨付到村医个人银行卡内。付轮椅19个合计金额为7467元财政2024年3月25日直接拨付到供货商江西国峰医疗器械公司，血糖试纸条90盒，单价160元/盒，共计14400元财政2024年3月25日直接拨付到供货商新疆生荣医学科技公司帐户，电子血压计21个，单价225元/个共计4725元，欧姆龙电子血压计6个，单价1568元/个共计9408元，两项合计金额14133元，财政2024年3月25日直接拨付到供货商新疆生荣医学科技有限公司，以上经费支出共计10万元，故预算执行率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使用合规性：乌财社【2023】135号2023年中央基本公共卫生服务补助资金我【直达资金】【第二批】（上年结转资金）项目资金的使用符合《古牧地卫生院财务管理制度》和《古牧地卫生院专项资金管理办法》的规定。同时，资金的拨付有专门的付款审批程序，首先每月固定的时间有业务科室负责人向财务科提交所需支付的款项，其次财务根据</w:t>
      </w:r>
      <w:r>
        <w:rPr>
          <w:rStyle w:val="18"/>
          <w:rFonts w:hint="eastAsia" w:eastAsia="楷体"/>
          <w:b w:val="0"/>
          <w:bCs w:val="0"/>
          <w:spacing w:val="-4"/>
          <w:sz w:val="32"/>
          <w:szCs w:val="32"/>
          <w:lang w:eastAsia="zh-CN"/>
        </w:rPr>
        <w:t>账户</w:t>
      </w:r>
      <w:r>
        <w:rPr>
          <w:rStyle w:val="18"/>
          <w:rFonts w:hint="eastAsia" w:eastAsia="楷体"/>
          <w:b w:val="0"/>
          <w:bCs w:val="0"/>
          <w:spacing w:val="-4"/>
          <w:sz w:val="32"/>
          <w:szCs w:val="32"/>
        </w:rPr>
        <w:t>资金情况做预算，然后上支委会，最后付款时在结算单据上需要由经办人、管理科室负责人签字，分管院长签署意见，财务审批，财务科根据资金情况，分期分批支付款项。符合项目预算批复或合同规定的用途，不存在截留、挤占、挪用、虚列支出等情况，故资金使用合规性得分为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综上，该指标满分13分，得分13分。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2.组织实施</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管理制度健全性：古牧地卫生院依据乌财社【2023】135号2023年中央基本公共卫生服务补助资金我【直达资金】【第二批】（上年结转资金）的项目已制定相应的《古牧地卫生院专项资金管理制度》并结合《古牧地卫生院财务资金管理制度》来实施，且制度合法、合规、完整，为项目顺利实施提供重要保障。健全的资金管理制度需要确保资金使用规范、透明、高效。故管理制度健全性得分为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制度执行有效性：乌财社【2023】135号2023年中央基本公共卫生服务补助资金我【直达资金】【第二批】（上年结转资金）的项目严格遵守相关法律法规和相关管理规定，项目调整及支出调整手续完备，整体管理合理有序，项目完成后，财务科及时将会计凭证、资金使用计划、采购计划申请、合同审批单、采购合同、发票、入库、验收单、成交通知书等相关资料分类归档以备审计针对专项资金的检查，制度执行有效。故制度执行有效性指标得分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综上，该指标满分7分，得分7分。</w:t>
      </w:r>
    </w:p>
    <w:p w14:paraId="2D8D9802">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696FF1DE">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项目产出指标由4个二级指标和11个三级指标构成，权重为50分，实际得分50分。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1.产出数量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65岁及以上老年人医养结合服务任务量”的目标值是2000人，2024年度我单位实际完成业绩值为2038人，实际完成率：102%，原因是2024年领导班子加强了管理，村医及卫生院负责医养结合项目公共卫生工作人员下村入户重点完成此项工作，使得实际完成任务超过目标值。故得分为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65岁及以上失能老人服务量”的目标值是100人次，2024年度我单位实际完成业绩值为102人次，实际完成率：102%，原因是2024年领导班子加强了管理，村医及卫生院负责医养结合项目公共卫生工作人员下村入户重点完成此项工作，使得实际完成任务超过目标值。故得分为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数量指标“购置电子血压计数量”的目标值是21个，2024年度我单位实际完成业绩值21个实际完成率：100%。故得分为3分。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数量指标“购置欧姆龙电子血压计数量”的目标值是6个，2024年度我单位实际完成业绩值6个，实际完成率：100%。故得分为3分。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数量指标“购置血糖试纸条数量”的目标值是90盒，2024年度我单位实际完成业绩值90盒实际完成率：100%。故得分为3分。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数量指标“购置轮椅数量”的目标值是19个，2024年度我单位实际完成业绩值19个，实际完成率：100%。故实际完成率得分为3分。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综上，数量指标得分为18分。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2.产出质量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质量指标“采购验收合格率”的目标值是100%，2024年度我单位实际完成业绩值100%，实际完成率：100%，单位严格根据《医疗器械监督管理条例》等法规要求，对资金使用、合同执行和验收流程进行全流程监管，确保采购合规性。责任主体明确与协同基层采购通常执行政府采购制度，对供应商资质、产品注册证、生产许可等文件进行严格审查，确保源头合规性。医养结合项目通过定点采购和资质审查实现设备质量合格率100%。故得分为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质量指标“补助发放准确率”的目标值是100%，2024年度我单位实际完成业绩值100%，实际完成率：100%，在基层卫生补助发放工作中，对每个环节的工作人员都明确了相应的责任，一旦出现问题能够及时追究责任。这种责任追究机制促使工作人员更加认真负责地对待补助发放工作，保证了工作的准确性和严谨性，为补助发放准确率达到100%，提供了有力保障。故得分为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质量指标得分为6分。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3.产出时效</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项目完成及时率：项目2024年3月25日均已完成，完成及时率为100%。故产出时效指标得分为6分。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4.产出成本</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经济成本：购置医疗耗材器械成本的目标值支出值3.6万元，实际业绩值3.6万元，无超支情况，项目资金全部完成，得分为10分。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经济成本：村医补助成本的目标值支出值6.4万元，实际业绩值6.4万元，无超支情况，项目资金全部完成，得分为10分。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综上，经济成本指标得分为20分。</w:t>
      </w:r>
    </w:p>
    <w:p w14:paraId="09C80CBA">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2162F58A">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项目效益指标由1个二级指标和1个三级指标构成，权重为5分，实际得分5分。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1.实施效益</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经济效益指标：不适用。</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社会效益指标：评价指标“改善老年人生活质量和健康水平”，指标值目标值：有效改善，实际完成业绩值：完全达到预期。医养结合作为一种新型的养老服务模式，旨在通过医疗资源和养老资源的有效整合，为老年人提供全面、专业、高效的医疗与养老服务，提升老年人生活质量，实现老有所医、老有所养的目标；医养结合项目通过提供健康管理、疾病治疗、康复护理等服务，显著改善了老年人的健康状况，提高了疾病治愈率和康复效果，从而提升了老年人的生活质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生态效益指标：不适用。</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综上，该指标满分5分，得分5分。</w:t>
      </w:r>
    </w:p>
    <w:p w14:paraId="27292479">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 满意度指标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群众满意度：评价指标“老年人满意度”，指标值：≥90%，实际完成值：100%。通过设置问卷调查的方式进行考评评价，共计调查样本总量为20个样本，有效调查问卷20份。其中，统计“老年人满意度”的平均值为100%。故满意度指标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综上，该指标满分5分，得分5分。</w:t>
      </w:r>
    </w:p>
    <w:p w14:paraId="440C44F7">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58544BAD">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主要经验及做法：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主要的经验：结合全民免费健康体检下派专业医护人员对65岁及以上居家养老老年人提供医养结合服务此项工作，提高了疾病预防及筛查及中医保健意识。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做法：古牧地卫生院抽调专业的医护、技师人员联合村卫生室组建居家上门医护团队，为辖区内65岁及以上居家养老的老年人进行两次医养结合服务，内容包含血压测量、末梢血血糖检测、康复指导、护理技能指导、保健咨询、营养改善指导6个方面。对高龄、失能、行动不便的老年人上门进行服务。</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（二）存在的问题及原因分析</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存在的问题：在养老服务中，老年人除日常护理、慢性病管理、康复、健康教育和咨询以及中医保健服务外，急需的是失能、半失能老年人在生活照料和康复护理等多方面服务。但是乡镇卫生院医疗资源仅能开展院内医疗服务，均没有深入居家养老服务，不能满足患慢性病的老年人的康复疗养需求。</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原因：养老医护专业人才缺乏，专业水平有限，加上医疗设备简单，只能进行一般医护处理，不能进行专业医疗和急病抢救服务。特别是失能老人的专业护理和处置慢性病，目前机构医护人员医技远跟不上需要。所以在新的一年工作中我们会加强人员培训以及学习更多的护理知识来关注关照老年人。</w:t>
      </w:r>
    </w:p>
    <w:p w14:paraId="17510FB0">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14:paraId="52DD5904">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针对基层卫生院医养结合项目中“服务供给不足与结构失衡”“方面提出有关建议：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1.精准对接需求，优化服务结构</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开展老年人健康需求基线调查，建立动态需求数据库，按急慢分治原则优先补足康复护理、安宁疗护等薄弱环节，避免服务同质化。</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推动“嵌入式”医养服务，在社区设立家庭病床、日间照料中心，将基础医疗服务延伸至居家养老场景，缓解卫生院床位紧张问题。</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2.深化医联体合作，整合区域资源</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与上级医院建立紧密型医联体，开通绿色通道实现双向转诊，依托上级医院技术资源开展远程会诊、联合查房，提升复杂病症处置能力。</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探索“卫生院+养老机构+社区”协同模式，通过签订合作协议、派驻医护团队等方式，为周边养老机构提供定期巡诊、健康管理服务。</w:t>
      </w:r>
    </w:p>
    <w:p w14:paraId="2132149B">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36DBC88F">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1.项目支出政策和路径设计科学，符合实际需要；</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目资金的支出符合国家财经法规，符合我单位《财务工作管理办法》和《专项资金管理制度》以及有关《2023年乌鲁木齐市老年健康与医养结合服务工作方案（草拟稿）》专项资金管理办法的规定。项目预算资金的支出预算由公卫科负责本项目的专干、采购人员、财务人员经过科学论证共同编制，项目预算投资额与本项目的工作任务相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2.项目的申报、审核机制完善；</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本项目严格遵循国家及地方关于医养结合服务的要求开展立项工作，在申请设立、审批流程及材料规范性上均符合相关要求，事前已通过项目可行性研究、风险评估、绩效评估、集体决策等程序，审核机制完善。</w:t>
      </w:r>
    </w:p>
    <w:p w14:paraId="37330575">
      <w:pPr>
        <w:spacing w:line="540" w:lineRule="exact"/>
        <w:ind w:firstLine="624" w:firstLineChars="200"/>
        <w:rPr>
          <w:rStyle w:val="18"/>
          <w:rFonts w:ascii="仿宋" w:hAnsi="仿宋" w:eastAsia="仿宋"/>
          <w:b w:val="0"/>
          <w:spacing w:val="-4"/>
          <w:sz w:val="32"/>
          <w:szCs w:val="32"/>
        </w:rPr>
      </w:pPr>
    </w:p>
    <w:p w14:paraId="58F7D986">
      <w:pPr>
        <w:spacing w:line="540" w:lineRule="exact"/>
        <w:ind w:firstLine="624" w:firstLineChars="200"/>
        <w:rPr>
          <w:rStyle w:val="18"/>
          <w:rFonts w:ascii="仿宋" w:hAnsi="仿宋" w:eastAsia="仿宋"/>
          <w:b w:val="0"/>
          <w:spacing w:val="-4"/>
          <w:sz w:val="32"/>
          <w:szCs w:val="32"/>
        </w:rPr>
      </w:pPr>
    </w:p>
    <w:p w14:paraId="157F7A1F">
      <w:pPr>
        <w:spacing w:line="540" w:lineRule="exact"/>
        <w:ind w:firstLine="624" w:firstLineChars="200"/>
        <w:rPr>
          <w:rStyle w:val="18"/>
          <w:rFonts w:ascii="仿宋" w:hAnsi="仿宋" w:eastAsia="仿宋"/>
          <w:b w:val="0"/>
          <w:spacing w:val="-4"/>
          <w:sz w:val="32"/>
          <w:szCs w:val="32"/>
        </w:rPr>
      </w:pPr>
    </w:p>
    <w:p w14:paraId="06FF52BB">
      <w:pPr>
        <w:spacing w:line="540" w:lineRule="exact"/>
        <w:ind w:firstLine="624" w:firstLineChars="200"/>
        <w:rPr>
          <w:rStyle w:val="18"/>
          <w:rFonts w:ascii="仿宋" w:hAnsi="仿宋" w:eastAsia="仿宋"/>
          <w:b w:val="0"/>
          <w:spacing w:val="-4"/>
          <w:sz w:val="32"/>
          <w:szCs w:val="32"/>
        </w:rPr>
      </w:pPr>
    </w:p>
    <w:p w14:paraId="043518D9">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69225CE">
        <w:pPr>
          <w:pStyle w:val="12"/>
          <w:jc w:val="center"/>
        </w:pPr>
        <w:r>
          <w:fldChar w:fldCharType="begin"/>
        </w:r>
        <w:r>
          <w:instrText xml:space="preserve">PAGE   \* MERGEFORMAT</w:instrText>
        </w:r>
        <w:r>
          <w:fldChar w:fldCharType="separate"/>
        </w:r>
        <w:r>
          <w:rPr>
            <w:lang w:val="zh-CN"/>
          </w:rPr>
          <w:t>2</w:t>
        </w:r>
        <w:r>
          <w:fldChar w:fldCharType="end"/>
        </w:r>
      </w:p>
    </w:sdtContent>
  </w:sdt>
  <w:p w14:paraId="4A5507C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2C8965FC"/>
    <w:rsid w:val="3029612C"/>
    <w:rsid w:val="32A221C5"/>
    <w:rsid w:val="33F20F2A"/>
    <w:rsid w:val="34C44675"/>
    <w:rsid w:val="38C22245"/>
    <w:rsid w:val="393671C3"/>
    <w:rsid w:val="3B5B5607"/>
    <w:rsid w:val="3BB028B6"/>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40</Pages>
  <Words>1868</Words>
  <Characters>1984</Characters>
  <Lines>4</Lines>
  <Paragraphs>1</Paragraphs>
  <TotalTime>1</TotalTime>
  <ScaleCrop>false</ScaleCrop>
  <LinksUpToDate>false</LinksUpToDate>
  <CharactersWithSpaces>1997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2025-04-28T05:31:00Z</dcterms:created>
  <dc:creator>赵 恺（预算处）</dc:creator>
  <cp:lastModifiedBy>谢凤</cp:lastModifiedBy>
  <cp:lastPrinted>2018-12-31T10:56:00Z</cp:lastPrinted>
  <dcterms:modified xsi:type="dcterms:W3CDTF">2025-11-17T07:59:03Z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AC8D1C95289B424182C977C1902B2A2F</vt:lpwstr>
  </property>
  <property fmtid="{D5CDD505-2E9C-101B-9397-08002B2CF9AE}" pid="4" name="KSOTemplateDocerSaveRecord">
    <vt:lpwstr>eyJoZGlkIjoiMWExYjI5YmI4NTg2YzA1MWY0Y2ZkOGYyMDM2NmExMGEiLCJ1c2VySWQiOiIxMTk3MDAxNzMxIn0=</vt:lpwstr>
  </property>
</Properties>
</file>