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hint="eastAsia" w:ascii="宋体" w:eastAsia="宋体"/>
          <w:sz w:val="32"/>
          <w:szCs w:val="32"/>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乌鲁木齐市米东区古牧地西路</w:t>
      </w:r>
    </w:p>
    <w:p>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片区管理委员会</w:t>
      </w:r>
    </w:p>
    <w:p>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pPr>
        <w:rPr>
          <w:rFonts w:hint="eastAsia"/>
          <w:lang w:eastAsia="zh-CN"/>
        </w:rPr>
      </w:pPr>
      <w:r>
        <w:rPr>
          <w:sz w:val="0"/>
          <w:szCs w:val="0"/>
          <w:lang w:eastAsia="zh-CN"/>
        </w:rPr>
        <w:br w:type="page"/>
      </w:r>
    </w:p>
    <w:p>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米东区古牧地西路街道办事处机构设置为正科级单位。受区委、区人民政府委托，统一领导和管理辖区党务、行政和社会事务工作，促进片区和谐发展;拟定片区发展规划，提出强化“两个机制”、夯实基层基础工作的建议和措施，并组织实施；统筹整合辖区行政资源，社会资源和公共服务资源，综合协调相关职能部门和驻区企事业单位，为辖区居民提供民生保障、社会治安、城市管理等综合服务；对相关职能部门和驻区企事业单位履行社区管理和公共服务职能情况进行监督、检查和考核</w:t>
      </w:r>
      <w:r>
        <w:rPr>
          <w:rFonts w:hint="eastAsia"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承办区委、区人民政府交办的其他事项。</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乌鲁木齐市米东区古牧地西路片区管理委员会2024年度，实有人数250人，其中：在职人员234人，减少13人；离休人员0人，较上年无变化；退休人员16人，增加6人。</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乌鲁木齐市米东区古牧地西路片区管理委员会无下属预算单位，下设</w:t>
      </w:r>
      <w:r>
        <w:rPr>
          <w:rFonts w:hint="eastAsia" w:ascii="仿宋_GB2312" w:eastAsia="仿宋_GB2312"/>
          <w:sz w:val="32"/>
          <w:szCs w:val="32"/>
          <w:lang w:eastAsia="zh-CN"/>
        </w:rPr>
        <w:t>8</w:t>
      </w:r>
      <w:r>
        <w:rPr>
          <w:rFonts w:ascii="仿宋_GB2312" w:eastAsia="仿宋_GB2312"/>
          <w:sz w:val="32"/>
          <w:szCs w:val="32"/>
          <w:lang w:eastAsia="zh-CN"/>
        </w:rPr>
        <w:t>个</w:t>
      </w:r>
      <w:r>
        <w:rPr>
          <w:rFonts w:hint="eastAsia" w:ascii="仿宋_GB2312" w:eastAsia="仿宋_GB2312"/>
          <w:sz w:val="32"/>
          <w:szCs w:val="32"/>
          <w:lang w:eastAsia="zh-CN"/>
        </w:rPr>
        <w:t>科室</w:t>
      </w:r>
      <w:r>
        <w:rPr>
          <w:rFonts w:ascii="仿宋_GB2312" w:eastAsia="仿宋_GB2312"/>
          <w:sz w:val="32"/>
          <w:szCs w:val="32"/>
          <w:lang w:eastAsia="zh-CN"/>
        </w:rPr>
        <w:t>，分别是：党建工作办公室、综合协调办公室、综合执法办公室</w:t>
      </w:r>
      <w:r>
        <w:rPr>
          <w:rFonts w:hint="eastAsia" w:ascii="仿宋_GB2312" w:eastAsia="仿宋_GB2312"/>
          <w:sz w:val="32"/>
          <w:szCs w:val="32"/>
          <w:lang w:eastAsia="zh-CN"/>
        </w:rPr>
        <w:t>、</w:t>
      </w:r>
      <w:r>
        <w:rPr>
          <w:rFonts w:ascii="仿宋_GB2312" w:eastAsia="仿宋_GB2312"/>
          <w:sz w:val="32"/>
          <w:szCs w:val="32"/>
          <w:lang w:eastAsia="zh-CN"/>
        </w:rPr>
        <w:t>党群服务中心、社会事务服务中心（退役军人服务站）、综治和网格化服务中心、经济发展中心、综合行政执法队。</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2024年度收入总计4,177.10万元，其中：本年收入合计4,055.03万元，使用非财政拨款结余（含专用结余）0.00万元，年初结转和结余122.07万元。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2024年度支出总计4,177.10万元，其中：本年支出合计4,089.80万元，结余分配0.00万元，年末结转和结余87.30万元。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收入支出总体与上年相比，减少476.49万元，下降10.24%，主要原因是：</w:t>
      </w:r>
      <w:r>
        <w:rPr>
          <w:rFonts w:hint="eastAsia" w:ascii="仿宋_GB2312" w:eastAsia="仿宋_GB2312"/>
          <w:sz w:val="32"/>
          <w:szCs w:val="32"/>
          <w:lang w:eastAsia="zh-CN"/>
        </w:rPr>
        <w:t>单位本年人员减少，人员工资、津贴补贴、奖金等经费减少;</w:t>
      </w:r>
      <w:r>
        <w:rPr>
          <w:rFonts w:hint="eastAsia" w:ascii="仿宋_GB2312" w:eastAsia="仿宋_GB2312"/>
          <w:sz w:val="32"/>
          <w:szCs w:val="32"/>
          <w:lang w:val="en-US" w:eastAsia="zh-CN"/>
        </w:rPr>
        <w:t>单位本年</w:t>
      </w:r>
      <w:r>
        <w:rPr>
          <w:rFonts w:hint="eastAsia" w:ascii="仿宋_GB2312" w:eastAsia="仿宋_GB2312"/>
          <w:sz w:val="32"/>
          <w:szCs w:val="32"/>
          <w:lang w:eastAsia="zh-CN"/>
        </w:rPr>
        <w:t>临聘人员减少，劳务费减少</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本年收入4,055.03万元，其中：财政拨款收入4,055.03万元,占100.00%；上级补助收入0.00万元,占0.00%；事业收入0.00万元，占0.00%；经营收入0.00万元,占0.00%；附属单位上缴收入0.00万元，占0.00%；其他收入0.00万元，占0.00%。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本年支出4,089.80万元，其中：基本支出4,089.80万元，占100.00%；项目支出0.00万元，占0.00%；上缴上级支出0.00万元，占0.00%；经营支出0.00万元，占0.00%；对附属单位补助支出0.00万元，占0.00%。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4,177.10万元，其中：年初财政拨款结转和结余122.07万元，本年财政拨款收入4,055.03万元。财政拨款支出总计4,177.10万元，其中：年末财政拨款结转和结余87.30万元，本年财政拨款支出4,089.80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财政拨款收入支出总体与上年相比，减少476.49万元，下降10.24%，主要原因是：</w:t>
      </w:r>
      <w:r>
        <w:rPr>
          <w:rFonts w:hint="eastAsia" w:ascii="仿宋_GB2312" w:eastAsia="仿宋_GB2312"/>
          <w:sz w:val="32"/>
          <w:szCs w:val="32"/>
          <w:lang w:eastAsia="zh-CN"/>
        </w:rPr>
        <w:t>单位本年人员减少，人员工资、津贴补贴、奖金等经费减少;</w:t>
      </w:r>
      <w:r>
        <w:rPr>
          <w:rFonts w:hint="eastAsia" w:ascii="仿宋_GB2312" w:eastAsia="仿宋_GB2312"/>
          <w:sz w:val="32"/>
          <w:szCs w:val="32"/>
          <w:lang w:val="en-US" w:eastAsia="zh-CN"/>
        </w:rPr>
        <w:t>单位本年</w:t>
      </w:r>
      <w:r>
        <w:rPr>
          <w:rFonts w:hint="eastAsia" w:ascii="仿宋_GB2312" w:eastAsia="仿宋_GB2312"/>
          <w:sz w:val="32"/>
          <w:szCs w:val="32"/>
          <w:lang w:eastAsia="zh-CN"/>
        </w:rPr>
        <w:t>临聘人员减少，劳务费减少</w:t>
      </w:r>
      <w:r>
        <w:rPr>
          <w:rFonts w:ascii="仿宋_GB2312" w:eastAsia="仿宋_GB2312"/>
          <w:sz w:val="32"/>
          <w:szCs w:val="32"/>
          <w:lang w:eastAsia="zh-CN"/>
        </w:rPr>
        <w:t>。与年初预算相比，年初预算数6,221.84万元，决算数4,177.10万元，预决算差异率-32.86%，主要原因是：</w:t>
      </w:r>
      <w:r>
        <w:rPr>
          <w:rFonts w:hint="eastAsia" w:ascii="仿宋_GB2312" w:eastAsia="仿宋_GB2312"/>
          <w:sz w:val="32"/>
          <w:szCs w:val="32"/>
          <w:highlight w:val="none"/>
          <w:lang w:eastAsia="zh-CN"/>
        </w:rPr>
        <w:t>较预算减少人员工资、津贴补贴、奖金、劳务费等经费</w:t>
      </w:r>
      <w:r>
        <w:rPr>
          <w:rFonts w:ascii="仿宋_GB2312" w:eastAsia="仿宋_GB2312"/>
          <w:sz w:val="32"/>
          <w:szCs w:val="32"/>
          <w:highlight w:val="none"/>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2024年度一般公共预算财政拨款支出4,089.80万元，占本年支出合计的100.00%。与上年相比，减少437.11万元，下降9.66%，主要原因是：</w:t>
      </w:r>
      <w:r>
        <w:rPr>
          <w:rFonts w:hint="eastAsia" w:ascii="仿宋_GB2312" w:eastAsia="仿宋_GB2312"/>
          <w:sz w:val="32"/>
          <w:szCs w:val="32"/>
          <w:lang w:eastAsia="zh-CN"/>
        </w:rPr>
        <w:t>单位本年人员减少，人员工资、津贴补贴、奖金等经费减少;</w:t>
      </w:r>
      <w:r>
        <w:rPr>
          <w:rFonts w:hint="eastAsia" w:ascii="仿宋_GB2312" w:eastAsia="仿宋_GB2312"/>
          <w:sz w:val="32"/>
          <w:szCs w:val="32"/>
          <w:lang w:val="en-US" w:eastAsia="zh-CN"/>
        </w:rPr>
        <w:t>单位本年</w:t>
      </w:r>
      <w:r>
        <w:rPr>
          <w:rFonts w:hint="eastAsia" w:ascii="仿宋_GB2312" w:eastAsia="仿宋_GB2312"/>
          <w:sz w:val="32"/>
          <w:szCs w:val="32"/>
          <w:lang w:eastAsia="zh-CN"/>
        </w:rPr>
        <w:t>临聘人员减少，劳务费减少</w:t>
      </w:r>
      <w:r>
        <w:rPr>
          <w:rFonts w:ascii="仿宋_GB2312" w:eastAsia="仿宋_GB2312"/>
          <w:sz w:val="32"/>
          <w:szCs w:val="32"/>
          <w:lang w:eastAsia="zh-CN"/>
        </w:rPr>
        <w:t>。与年初预算相比，年初预算数6,221.84万元，决算数4,089.80万元，预决算差异率-34.27%，主要原因是：</w:t>
      </w:r>
      <w:r>
        <w:rPr>
          <w:rFonts w:hint="eastAsia" w:ascii="仿宋_GB2312" w:eastAsia="仿宋_GB2312"/>
          <w:sz w:val="32"/>
          <w:szCs w:val="32"/>
          <w:highlight w:val="none"/>
          <w:lang w:eastAsia="zh-CN"/>
        </w:rPr>
        <w:t>较预算减少人员工资、津贴补贴、奖金、劳务费等经费</w:t>
      </w:r>
      <w:r>
        <w:rPr>
          <w:rFonts w:ascii="仿宋_GB2312" w:eastAsia="仿宋_GB2312"/>
          <w:sz w:val="32"/>
          <w:szCs w:val="32"/>
          <w:highlight w:val="none"/>
          <w:lang w:eastAsia="zh-CN"/>
        </w:rPr>
        <w:t>。</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pPr>
        <w:pStyle w:val="25"/>
        <w:numPr>
          <w:numId w:val="0"/>
        </w:numPr>
        <w:spacing w:after="0" w:line="240" w:lineRule="auto"/>
        <w:ind w:left="640" w:leftChars="0"/>
        <w:jc w:val="both"/>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ascii="仿宋_GB2312" w:eastAsia="仿宋_GB2312"/>
          <w:sz w:val="32"/>
          <w:szCs w:val="32"/>
          <w:lang w:eastAsia="zh-CN"/>
        </w:rPr>
        <w:t>一般公共服务支出（类）846.05万元，占20.69%。</w:t>
      </w:r>
    </w:p>
    <w:p>
      <w:pPr>
        <w:pStyle w:val="25"/>
        <w:numPr>
          <w:numId w:val="0"/>
        </w:numPr>
        <w:spacing w:after="0" w:line="240" w:lineRule="auto"/>
        <w:ind w:left="640" w:leftChars="0"/>
        <w:jc w:val="both"/>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ascii="仿宋_GB2312" w:eastAsia="仿宋_GB2312"/>
          <w:sz w:val="32"/>
          <w:szCs w:val="32"/>
          <w:lang w:eastAsia="zh-CN"/>
        </w:rPr>
        <w:t>社会保障和就业支出（类）3,239.40万元，占79.21%。</w:t>
      </w:r>
    </w:p>
    <w:p>
      <w:pPr>
        <w:pStyle w:val="25"/>
        <w:numPr>
          <w:numId w:val="0"/>
        </w:numPr>
        <w:spacing w:after="0" w:line="240" w:lineRule="auto"/>
        <w:ind w:left="640" w:leftChars="0"/>
        <w:jc w:val="both"/>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ascii="仿宋_GB2312" w:eastAsia="仿宋_GB2312"/>
          <w:sz w:val="32"/>
          <w:szCs w:val="32"/>
          <w:lang w:eastAsia="zh-CN"/>
        </w:rPr>
        <w:t>卫生健康支出（类）4.35万元，占0.11%。</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1、一般公共服务支出（类）政府办公厅（室）及相关机构事务（款）行政运行（项）：支出决算数为308.63万元，比上年决算减少53.32万元，下降14.73%，主要原因是：</w:t>
      </w:r>
      <w:r>
        <w:rPr>
          <w:rFonts w:hint="eastAsia" w:ascii="仿宋_GB2312" w:eastAsia="仿宋_GB2312"/>
          <w:sz w:val="32"/>
          <w:szCs w:val="32"/>
          <w:lang w:eastAsia="zh-CN"/>
        </w:rPr>
        <w:t>单位本年人员减少，人员工资、津贴补贴、奖金等经费减少</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2、一般公共服务支出（类）政府办公厅（室）及相关机构事务（款）机关服务（项）：支出决算数为477.42万元，比上年决算增加65.67万元，增长15.95%，主要原因是：</w:t>
      </w:r>
      <w:r>
        <w:rPr>
          <w:rFonts w:hint="eastAsia" w:ascii="仿宋_GB2312" w:eastAsia="仿宋_GB2312"/>
          <w:sz w:val="32"/>
          <w:szCs w:val="32"/>
          <w:lang w:eastAsia="zh-CN"/>
        </w:rPr>
        <w:t>单位本年社保缴费基数调增，人员基本医疗、公务员医疗、大病医疗保险缴费增加</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3、一般公共服务支出（类）组织事务（款）其他组织事务支出（项）：支出决算数为60.00万元，比上年决算增加60.00万元，增长100.00%，主要原因是：本年</w:t>
      </w:r>
      <w:r>
        <w:rPr>
          <w:rFonts w:hint="eastAsia" w:ascii="仿宋_GB2312" w:eastAsia="仿宋_GB2312"/>
          <w:sz w:val="32"/>
          <w:szCs w:val="32"/>
          <w:lang w:eastAsia="zh-CN"/>
        </w:rPr>
        <w:t>古牧地西路片区管委会</w:t>
      </w:r>
      <w:r>
        <w:rPr>
          <w:rFonts w:ascii="仿宋_GB2312" w:eastAsia="仿宋_GB2312"/>
          <w:sz w:val="32"/>
          <w:szCs w:val="32"/>
          <w:lang w:eastAsia="zh-CN"/>
        </w:rPr>
        <w:t>基层组织建设资金</w:t>
      </w:r>
      <w:r>
        <w:rPr>
          <w:rFonts w:hint="eastAsia" w:ascii="仿宋_GB2312" w:eastAsia="仿宋_GB2312"/>
          <w:sz w:val="32"/>
          <w:szCs w:val="32"/>
          <w:lang w:eastAsia="zh-CN"/>
        </w:rPr>
        <w:t>增加</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4、社会保障和就业支出（类）民政管理事务（款）基层政权建设和社区治理（项）：支出决算数为2,820.37万元，比上年决算减少573.50万元，下降16.90%，主要原因是：</w:t>
      </w:r>
      <w:r>
        <w:rPr>
          <w:rFonts w:hint="eastAsia" w:ascii="仿宋_GB2312" w:eastAsia="仿宋_GB2312"/>
          <w:sz w:val="32"/>
          <w:szCs w:val="32"/>
          <w:lang w:eastAsia="zh-CN"/>
        </w:rPr>
        <w:t>单位本年人员减少，人员工资、津贴补贴、奖金等经费减少；</w:t>
      </w:r>
      <w:r>
        <w:rPr>
          <w:rFonts w:hint="eastAsia" w:ascii="仿宋_GB2312" w:eastAsia="仿宋_GB2312"/>
          <w:sz w:val="32"/>
          <w:szCs w:val="32"/>
          <w:lang w:val="en-US" w:eastAsia="zh-CN"/>
        </w:rPr>
        <w:t>单位本年</w:t>
      </w:r>
      <w:r>
        <w:rPr>
          <w:rFonts w:hint="eastAsia" w:ascii="仿宋_GB2312" w:eastAsia="仿宋_GB2312"/>
          <w:sz w:val="32"/>
          <w:szCs w:val="32"/>
          <w:lang w:eastAsia="zh-CN"/>
        </w:rPr>
        <w:t>临聘人员减少，劳务费减少。</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5、社会保障和就业支出（类）行政事业单位养老支出（款）机关事业单位基本养老保险缴费支出（项）：支出决算数为419.03万元，比上年决算增加65.03万元，增长18.37%，主要原因是：</w:t>
      </w:r>
      <w:bookmarkStart w:id="0" w:name="_Hlk209267990"/>
      <w:r>
        <w:rPr>
          <w:rFonts w:hint="eastAsia" w:ascii="仿宋_GB2312" w:eastAsia="仿宋_GB2312"/>
          <w:sz w:val="32"/>
          <w:szCs w:val="32"/>
          <w:lang w:eastAsia="zh-CN"/>
        </w:rPr>
        <w:t>单位本年社保缴费基数调增，人员养老保险缴费增加</w:t>
      </w:r>
      <w:bookmarkEnd w:id="0"/>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6、卫生健康支出（类）计划生育事务（款）计划生育服务（项）：支出决算数为4.35万元，比上年决算减少0.99万元，下降18.54%，主要原因是：本年未</w:t>
      </w:r>
      <w:r>
        <w:rPr>
          <w:rFonts w:hint="eastAsia" w:ascii="仿宋_GB2312" w:eastAsia="仿宋_GB2312"/>
          <w:sz w:val="32"/>
          <w:szCs w:val="32"/>
          <w:lang w:eastAsia="zh-CN"/>
        </w:rPr>
        <w:t>安排</w:t>
      </w:r>
      <w:r>
        <w:rPr>
          <w:rFonts w:ascii="仿宋_GB2312" w:eastAsia="仿宋_GB2312"/>
          <w:sz w:val="32"/>
          <w:szCs w:val="32"/>
          <w:lang w:eastAsia="zh-CN"/>
        </w:rPr>
        <w:t>机动车保险费</w:t>
      </w:r>
      <w:r>
        <w:rPr>
          <w:rFonts w:hint="eastAsia" w:ascii="仿宋_GB2312" w:eastAsia="仿宋_GB2312"/>
          <w:sz w:val="32"/>
          <w:szCs w:val="32"/>
          <w:lang w:eastAsia="zh-CN"/>
        </w:rPr>
        <w:t>，导致此项经费减少</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4,089.80万元，其中：人员经费3,893.41万元，包括：基本工资、津贴补贴、奖金、绩效工资、机关事业单位基本养老保险缴费、职业年金缴费、职工基本医疗保险缴费、公务员医疗补助缴费、其他社会保障缴费和住房公积金。</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公用经费196.39万元，包括：办公费、水费、电费、邮电费、取暖费、差旅费、维修（护）费、租赁费、培训费、工会经费、福利费、公务用车运行维护费、其他交通费用、税金及附加费用和其他商品和服务支出。</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2024年度财政拨款“三公”经费支出4.35万元，与上年相比无变化，主要原因是：</w:t>
      </w:r>
      <w:r>
        <w:rPr>
          <w:rFonts w:hint="eastAsia" w:ascii="仿宋_GB2312" w:eastAsia="仿宋_GB2312"/>
          <w:sz w:val="32"/>
          <w:szCs w:val="32"/>
          <w:lang w:eastAsia="zh-CN"/>
        </w:rPr>
        <w:t>本年</w:t>
      </w:r>
      <w:r>
        <w:rPr>
          <w:rFonts w:ascii="仿宋_GB2312" w:eastAsia="仿宋_GB2312"/>
          <w:sz w:val="32"/>
          <w:szCs w:val="32"/>
          <w:lang w:eastAsia="zh-CN"/>
        </w:rPr>
        <w:t>财政拨款“三公”经费</w:t>
      </w:r>
      <w:r>
        <w:rPr>
          <w:rFonts w:hint="eastAsia" w:ascii="仿宋_GB2312" w:eastAsia="仿宋_GB2312"/>
          <w:sz w:val="32"/>
          <w:szCs w:val="32"/>
          <w:lang w:eastAsia="zh-CN"/>
        </w:rPr>
        <w:t>与上年对比无差异</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；公务用车购置及运行维护费支出4.35万元，占100.00%，与上年相比无变化，主要原因是：</w:t>
      </w:r>
      <w:r>
        <w:rPr>
          <w:rFonts w:hint="eastAsia" w:ascii="仿宋_GB2312" w:eastAsia="仿宋_GB2312"/>
          <w:sz w:val="32"/>
          <w:szCs w:val="32"/>
          <w:lang w:eastAsia="zh-CN"/>
        </w:rPr>
        <w:t>本年</w:t>
      </w:r>
      <w:r>
        <w:rPr>
          <w:rFonts w:ascii="仿宋_GB2312" w:eastAsia="仿宋_GB2312"/>
          <w:sz w:val="32"/>
          <w:szCs w:val="32"/>
          <w:lang w:eastAsia="zh-CN"/>
        </w:rPr>
        <w:t>公务用车购置及运行维护费</w:t>
      </w:r>
      <w:r>
        <w:rPr>
          <w:rFonts w:hint="eastAsia" w:ascii="仿宋_GB2312" w:eastAsia="仿宋_GB2312"/>
          <w:sz w:val="32"/>
          <w:szCs w:val="32"/>
          <w:lang w:eastAsia="zh-CN"/>
        </w:rPr>
        <w:t>与上年对比无差异</w:t>
      </w:r>
      <w:r>
        <w:rPr>
          <w:rFonts w:ascii="仿宋_GB2312" w:eastAsia="仿宋_GB2312"/>
          <w:sz w:val="32"/>
          <w:szCs w:val="32"/>
          <w:lang w:eastAsia="zh-CN"/>
        </w:rPr>
        <w:t>；公务接待费支出0.00万元，占0.00%，与上年相比无变化，主要原因是：</w:t>
      </w:r>
      <w:bookmarkStart w:id="1" w:name="_Hlk207114081"/>
      <w:bookmarkStart w:id="2" w:name="_Hlk207720892"/>
      <w:r>
        <w:rPr>
          <w:rFonts w:hint="eastAsia" w:ascii="仿宋_GB2312" w:eastAsia="仿宋_GB2312"/>
          <w:sz w:val="32"/>
          <w:szCs w:val="32"/>
          <w:lang w:eastAsia="zh-CN"/>
        </w:rPr>
        <w:t>我单位上年度与本年度均无</w:t>
      </w:r>
      <w:bookmarkEnd w:id="1"/>
      <w:r>
        <w:rPr>
          <w:rFonts w:hint="eastAsia" w:ascii="仿宋_GB2312" w:eastAsia="仿宋_GB2312"/>
          <w:sz w:val="32"/>
          <w:szCs w:val="32"/>
          <w:lang w:eastAsia="zh-CN"/>
        </w:rPr>
        <w:t>此项经费</w:t>
      </w:r>
      <w:bookmarkEnd w:id="2"/>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3" w:name="_Hlk207127465"/>
      <w:r>
        <w:rPr>
          <w:rFonts w:ascii="仿宋_GB2312" w:eastAsia="仿宋_GB2312"/>
          <w:sz w:val="32"/>
          <w:szCs w:val="32"/>
          <w:lang w:eastAsia="zh-CN"/>
        </w:rPr>
        <w:t>本单位本年度无因公出国（境）费</w:t>
      </w:r>
      <w:bookmarkEnd w:id="3"/>
      <w:r>
        <w:rPr>
          <w:rFonts w:ascii="仿宋_GB2312" w:eastAsia="仿宋_GB2312"/>
          <w:sz w:val="32"/>
          <w:szCs w:val="32"/>
          <w:lang w:eastAsia="zh-CN"/>
        </w:rPr>
        <w:t>。单位全年安排的因公出国（境）团组0个，因公出国（境）0人次。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公务用车购置及运行维护费4.35万元，其中：公务用车购置费0.00万元，公务用车运行维护费4.35万元。公务用车运行维护费开支内容包括</w:t>
      </w:r>
      <w:bookmarkStart w:id="4" w:name="_Hlk207110208"/>
      <w:r>
        <w:rPr>
          <w:rFonts w:hint="eastAsia" w:ascii="仿宋_GB2312" w:eastAsia="仿宋_GB2312"/>
          <w:sz w:val="32"/>
          <w:szCs w:val="32"/>
          <w:lang w:eastAsia="zh-CN"/>
        </w:rPr>
        <w:t>公务用车燃油费、车辆维修维护费、保险费、过路费等</w:t>
      </w:r>
      <w:bookmarkEnd w:id="4"/>
      <w:r>
        <w:rPr>
          <w:rFonts w:ascii="仿宋_GB2312" w:eastAsia="仿宋_GB2312"/>
          <w:sz w:val="32"/>
          <w:szCs w:val="32"/>
          <w:lang w:eastAsia="zh-CN"/>
        </w:rPr>
        <w:t>。公务用车购置数0辆，公务用车保有量3辆。国有资产占用情况中固定资产车辆44辆，与公务用车保有量差异原因是：</w:t>
      </w:r>
      <w:bookmarkStart w:id="5" w:name="_Hlk207720983"/>
      <w:r>
        <w:rPr>
          <w:rFonts w:hint="eastAsia" w:ascii="仿宋_GB2312" w:eastAsia="仿宋_GB2312"/>
          <w:sz w:val="32"/>
          <w:szCs w:val="32"/>
          <w:lang w:eastAsia="zh-CN"/>
        </w:rPr>
        <w:t>差异车辆为一般业务用车41辆，车辆费用未使用财政拨款公务用车运行维护费支付</w:t>
      </w:r>
      <w:bookmarkEnd w:id="5"/>
      <w:r>
        <w:rPr>
          <w:rFonts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6" w:name="_Hlk207128367"/>
      <w:r>
        <w:rPr>
          <w:rFonts w:ascii="仿宋_GB2312" w:eastAsia="仿宋_GB2312"/>
          <w:sz w:val="32"/>
          <w:szCs w:val="32"/>
          <w:lang w:eastAsia="zh-CN"/>
        </w:rPr>
        <w:t>本单位本年度无公务接待费</w:t>
      </w:r>
      <w:bookmarkEnd w:id="6"/>
      <w:r>
        <w:rPr>
          <w:rFonts w:ascii="仿宋_GB2312" w:eastAsia="仿宋_GB2312"/>
          <w:sz w:val="32"/>
          <w:szCs w:val="32"/>
          <w:lang w:eastAsia="zh-CN"/>
        </w:rPr>
        <w:t>。单位全年安排的国内公务接待0批次，0人次。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与全年预算相比，财政拨款“三公”经费支出全年预算数4.35万元，决算数4.35万元，预决算差异率0.00%，主要原因是：</w:t>
      </w:r>
      <w:bookmarkStart w:id="7" w:name="_Hlk207110149"/>
      <w:r>
        <w:rPr>
          <w:rFonts w:hint="eastAsia" w:ascii="仿宋_GB2312" w:eastAsia="仿宋_GB2312"/>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；公务用车运行维护费全年预算数4.35万元，决算数4.35万元，预决算差异率0.00%，主要原因是：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古牧地西路片区管理委员会单位（行政单位和参照公务员法管理事业单位）机关运行经费支出196.39万元，比上年减少291.63万元，下降59.76%，主要原因是：本年办公费、水费、电费、取暖费、</w:t>
      </w:r>
      <w:r>
        <w:rPr>
          <w:rFonts w:hint="eastAsia" w:ascii="仿宋_GB2312" w:eastAsia="仿宋_GB2312"/>
          <w:sz w:val="32"/>
          <w:szCs w:val="32"/>
          <w:lang w:eastAsia="zh-CN"/>
        </w:rPr>
        <w:t>劳务费减少</w:t>
      </w:r>
      <w:r>
        <w:rPr>
          <w:rFonts w:ascii="仿宋_GB2312" w:eastAsia="仿宋_GB2312"/>
          <w:sz w:val="32"/>
          <w:szCs w:val="32"/>
          <w:lang w:eastAsia="zh-CN"/>
        </w:rPr>
        <w:t>。</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2024年度政府采购支出总额30.42万元，其中：政府采购货物支出21.79万元、政府采购工程支出1.17万元、政府采购服务支出7.47万元。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授予中小企业合同金额30.42万元，占政府采购支出总额的100.00%，其中：授予小微企业合同金额26.45万元，占政府采购支出总额的86.95%。</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截至2024年12月31日，房屋8,142.11平方米，价值1,671.64万元。</w:t>
      </w:r>
      <w:r>
        <w:rPr>
          <w:rFonts w:ascii="仿宋_GB2312" w:eastAsia="仿宋_GB2312"/>
          <w:sz w:val="32"/>
          <w:szCs w:val="32"/>
          <w:lang w:eastAsia="zh-CN"/>
        </w:rPr>
        <w:t>车辆44辆，价值239.46万元，其中：副部（省）级及以上领导用车0辆、主要负责人用车0辆、机要通信用车0辆、应急保障用车0辆、执法执勤用车0辆、特种专业技术用车0辆、离退休干部服务用车0辆、其他用车44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根据预算绩效管理要求，本单位2024年度</w:t>
      </w:r>
      <w:r>
        <w:rPr>
          <w:rFonts w:hint="eastAsia" w:ascii="仿宋_GB2312" w:hAnsi="仿宋_GB2312" w:eastAsia="仿宋_GB2312" w:cs="仿宋_GB2312"/>
          <w:sz w:val="32"/>
          <w:szCs w:val="32"/>
          <w:lang w:eastAsia="zh-CN"/>
        </w:rPr>
        <w:t>预算绩效管理形成整体支出绩效</w:t>
      </w:r>
      <w:r>
        <w:rPr>
          <w:rFonts w:hint="eastAsia" w:ascii="仿宋_GB2312" w:eastAsia="仿宋_GB2312"/>
          <w:sz w:val="32"/>
          <w:szCs w:val="32"/>
          <w:lang w:eastAsia="zh-CN"/>
        </w:rPr>
        <w:t>自评表1个，全年预算总额4,177.10万元，实际执行总额4,089.80万元；预算绩效评价项目0个，全年预算数0.00万元，全年执行数0.00万元。预算绩效管理取得的成效：一是预算绩效目标实现情况均已完成,完成情况良好，通过预算绩效管理，规范了项目资金的使用，不断提高专项资金使用效益，加强了项目资金的管理；二是实行预算绩效管理，推进项目的实施进度，严格执行预算，预算绩效管理水平有了进一步提高。发现的问题及原因：一是预算执行和绩效目标编制上依然有欠缺，绩效目标设立不够细化，对绩效分析不够透彻；二是缺乏高水平的绩效管理人才，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加强资金使用管理，做好绩效目标设立和预算执行，继续规范资金管理，全面做好项目绩效预算；二是提高思想认识，加强对预算执行和绩效监控重视程度，以便更好的开展工作。具体附部门整体支出绩效自评表</w:t>
      </w:r>
      <w:r>
        <w:rPr>
          <w:rFonts w:ascii="仿宋_GB2312" w:eastAsia="仿宋_GB2312"/>
          <w:sz w:val="32"/>
          <w:szCs w:val="32"/>
          <w:lang w:eastAsia="zh-CN"/>
        </w:rPr>
        <w:t>。</w:t>
      </w:r>
      <w:bookmarkStart w:id="8" w:name="_Hlk174962300"/>
    </w:p>
    <w:p>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乌鲁木齐市米东区古牧地西路片区管理委员会</w:t>
            </w:r>
          </w:p>
        </w:tc>
      </w:tr>
      <w:tr>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6,221.84</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4,177.10</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4,089.80</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97.91%</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9.8</w:t>
            </w:r>
          </w:p>
        </w:tc>
      </w:tr>
      <w:tr>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6,221.84</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4,177.10</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4,089.80</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一、单位职能：1.受区委、区人民政府委托，统一领导和管理辖区党务，行政和社会事务工作，促进片区和谐发展；2、拟定片区发展规划，提出强化“两个机制”、夯实基层基础工作的建议和措施，并组织实施3、统筹整合辖区行政资源、社会资源和公共服务资源，综合协调相关职能部门和驻区企事业单位，为辖区居民提供民生保障、社会治安、城市管理等综合服务；4、对相关职能部门和驻区企事业单位履行社会管理和公共服务职能情况进行监督、检查和考核。二、2024年重点工作1、2024年继续聚焦聚力总目标，2、常态化法制化落实维稳措施，3、加大城市建设管理，4、持续关注民生工作。</w:t>
            </w:r>
          </w:p>
        </w:tc>
        <w:tc>
          <w:tcPr>
            <w:tcW w:w="4547" w:type="dxa"/>
            <w:gridSpan w:val="4"/>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1.强化理论学习，提高理论水平和政治觉悟。2.坚持统筹发展和安全，开创社会和谐稳定新局面。3.全面贯彻经济发展措施，打造优质营商环境4.治理增进民生福祉，满足群众生活新期待。</w:t>
            </w:r>
            <w:bookmarkStart w:id="9" w:name="_GoBack"/>
            <w:bookmarkEnd w:id="9"/>
          </w:p>
        </w:tc>
      </w:tr>
      <w:tr>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流动人口清查人次</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&gt;=8000人</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西路街道2023年工作总结和2024年工作重点</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5600人</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21</w:t>
            </w:r>
          </w:p>
        </w:tc>
      </w:tr>
      <w:tr>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封闭式小区管理网</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=78个</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西路街道2023年工作总结和2024年工作重点</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67个</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25.8</w:t>
            </w:r>
          </w:p>
        </w:tc>
      </w:tr>
      <w:tr>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社会效益</w:t>
            </w:r>
          </w:p>
        </w:tc>
        <w:tc>
          <w:tcPr>
            <w:tcW w:w="1417"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物业监管部门专项问题处理率</w:t>
            </w:r>
          </w:p>
        </w:tc>
        <w:tc>
          <w:tcPr>
            <w:tcW w:w="1276"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single" w:color="auto" w:sz="4" w:space="0"/>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西路街道2023年工作总结和2024年工作重点</w:t>
            </w:r>
          </w:p>
        </w:tc>
        <w:tc>
          <w:tcPr>
            <w:tcW w:w="1134"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86.6</w:t>
            </w:r>
          </w:p>
        </w:tc>
      </w:tr>
      <w:bookmarkEnd w:id="8"/>
    </w:tbl>
    <w:p>
      <w:pPr>
        <w:rPr>
          <w:rFonts w:hint="eastAsia" w:ascii="宋体" w:hAnsi="宋体" w:eastAsia="宋体" w:cs="宋体"/>
          <w:b/>
          <w:bCs/>
          <w:sz w:val="18"/>
          <w:szCs w:val="18"/>
          <w:lang w:eastAsia="zh-CN"/>
        </w:rPr>
      </w:pP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
  <w:rsids>
    <w:rsidRoot w:val="006164A6"/>
    <w:rsid w:val="002C2AD2"/>
    <w:rsid w:val="006164A6"/>
    <w:rsid w:val="006C3D23"/>
    <w:rsid w:val="00837869"/>
    <w:rsid w:val="0084713E"/>
    <w:rsid w:val="00A95194"/>
    <w:rsid w:val="00C54779"/>
    <w:rsid w:val="00D5377D"/>
    <w:rsid w:val="00FB29C4"/>
    <w:rsid w:val="044600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 w:type="paragraph" w:styleId="2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3427</Words>
  <Characters>3840</Characters>
  <Lines>225</Lines>
  <Paragraphs>201</Paragraphs>
  <TotalTime>34</TotalTime>
  <ScaleCrop>false</ScaleCrop>
  <LinksUpToDate>false</LinksUpToDate>
  <CharactersWithSpaces>7066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2025-09-29T03:36:00Z</dcterms:created>
  <dc:creator>回上.LAPTOP-7R4U860U</dc:creator>
  <cp:lastModifiedBy>しののめ</cp:lastModifiedBy>
  <dcterms:modified xsi:type="dcterms:W3CDTF">2025-10-14T10:28:03Z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