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C4A714">
      <w:pPr>
        <w:spacing w:after="0" w:line="240" w:lineRule="auto"/>
        <w:rPr>
          <w:rFonts w:hint="eastAsia" w:ascii="宋体" w:eastAsia="宋体"/>
          <w:sz w:val="32"/>
          <w:szCs w:val="32"/>
        </w:rPr>
      </w:pPr>
    </w:p>
    <w:p w14:paraId="324A62FD">
      <w:pPr>
        <w:spacing w:after="0" w:line="240" w:lineRule="auto"/>
        <w:rPr>
          <w:rFonts w:hint="eastAsia" w:ascii="宋体" w:eastAsia="宋体"/>
          <w:sz w:val="44"/>
          <w:szCs w:val="44"/>
        </w:rPr>
      </w:pPr>
    </w:p>
    <w:p w14:paraId="6AC44AA4">
      <w:pPr>
        <w:spacing w:after="0" w:line="240" w:lineRule="auto"/>
        <w:rPr>
          <w:rFonts w:hint="eastAsia" w:ascii="宋体" w:eastAsia="宋体"/>
          <w:sz w:val="44"/>
          <w:szCs w:val="44"/>
        </w:rPr>
      </w:pPr>
    </w:p>
    <w:p w14:paraId="07706167">
      <w:pPr>
        <w:spacing w:after="0" w:line="240" w:lineRule="auto"/>
        <w:rPr>
          <w:rFonts w:hint="eastAsia" w:ascii="宋体" w:eastAsia="宋体"/>
          <w:sz w:val="44"/>
          <w:szCs w:val="44"/>
        </w:rPr>
      </w:pPr>
    </w:p>
    <w:p w14:paraId="7D556E94">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乌鲁木齐市米东区商务局</w:t>
      </w:r>
    </w:p>
    <w:p w14:paraId="51800C84">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386CFB65">
      <w:pPr>
        <w:rPr>
          <w:rFonts w:hint="eastAsia"/>
          <w:lang w:eastAsia="zh-CN"/>
        </w:rPr>
      </w:pPr>
      <w:r>
        <w:rPr>
          <w:sz w:val="0"/>
          <w:szCs w:val="0"/>
          <w:lang w:eastAsia="zh-CN"/>
        </w:rPr>
        <w:br w:type="page"/>
      </w:r>
    </w:p>
    <w:p w14:paraId="47F52A8E">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236E73C3">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5F5BC213">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5E31429E">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2D5A0EF">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788BBC2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23BD0685">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5AFEF9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69863995">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D5BF3E6">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BA8B88A">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2BC54E3">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E113846">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5A8849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6CF25C74">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8D1CDAC">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3CBF8F5">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31A8EB2">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7CE10546">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F943AA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5499F10D">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30C17343">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086FAEA1">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3F8B0F6F">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54DBF0F6">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14B7ECD4">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6F054439">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38173C4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6E70A6D7">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2BD7CA4">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A638734">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746B7D3">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F06DCA3">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54B41E5">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332B9827">
      <w:pPr>
        <w:rPr>
          <w:rFonts w:hint="eastAsia"/>
          <w:lang w:eastAsia="zh-CN"/>
        </w:rPr>
      </w:pPr>
      <w:r>
        <w:rPr>
          <w:sz w:val="0"/>
          <w:szCs w:val="0"/>
          <w:lang w:eastAsia="zh-CN"/>
        </w:rPr>
        <w:br w:type="page"/>
      </w:r>
    </w:p>
    <w:p w14:paraId="2A78DF38">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7A18330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030577D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1、宣传贯彻执行国家、自治区及本市有关商贸、流通方面的方针、政策及法律法规和规章。</w:t>
      </w:r>
    </w:p>
    <w:p w14:paraId="4D14425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2、负责受理商务领域举报投诉并提供相关咨询服务。</w:t>
      </w:r>
    </w:p>
    <w:p w14:paraId="27A6E70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3、负责对成品油经营企业经营行为、再生资源回收经营活动、报废汽车回收活动进行日常监管。</w:t>
      </w:r>
    </w:p>
    <w:p w14:paraId="4D2D2CE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4、负责对酒类、洗染、餐饮、美容美发、人像摄影、沐浴、住宿、家电维修服务、家庭服务机构从业行为进行日常监管。</w:t>
      </w:r>
    </w:p>
    <w:p w14:paraId="3213512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5、负责商贸批发市场、肉菜流通追溯监督管理工作。</w:t>
      </w:r>
    </w:p>
    <w:p w14:paraId="3303E4F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6、负责开展大中型商场、超市安全生产监督管理工作。</w:t>
      </w:r>
    </w:p>
    <w:p w14:paraId="4A74AA0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7、社区蔬菜副食品直销点的选址建设，以及日常监管和协调服务。</w:t>
      </w:r>
    </w:p>
    <w:p w14:paraId="4FCCFB2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8、储备肉菜投放的组织实施。</w:t>
      </w:r>
    </w:p>
    <w:p w14:paraId="34DF0D9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9、亚欧博览会、厦投会、津恰会的参展工作。</w:t>
      </w:r>
    </w:p>
    <w:p w14:paraId="0D6A323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10、商贸流通领域服务业提档升级的组织实施。</w:t>
      </w:r>
    </w:p>
    <w:p w14:paraId="3E14408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29FBE31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乌鲁木齐市米东区商务局2024年度，实有人数12人，其中：在职人员9人，减少6人；离休人员0人，较上年无变化；退休人员3人，减少3人。</w:t>
      </w:r>
    </w:p>
    <w:p w14:paraId="3F42D83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乌鲁木齐市米东区商务局无下属预算单位，下设5个</w:t>
      </w:r>
      <w:r>
        <w:rPr>
          <w:rFonts w:hint="eastAsia" w:ascii="仿宋_GB2312" w:eastAsia="仿宋_GB2312"/>
          <w:sz w:val="32"/>
          <w:szCs w:val="32"/>
          <w:lang w:eastAsia="zh-CN"/>
        </w:rPr>
        <w:t>科室</w:t>
      </w:r>
      <w:r>
        <w:rPr>
          <w:rFonts w:ascii="仿宋_GB2312" w:eastAsia="仿宋_GB2312"/>
          <w:sz w:val="32"/>
          <w:szCs w:val="32"/>
          <w:lang w:eastAsia="zh-CN"/>
        </w:rPr>
        <w:t>，分别是：党政办、综合业务科、蔬菜直销点管理科、商品流通科、财务室。</w:t>
      </w:r>
    </w:p>
    <w:p w14:paraId="026DBC68">
      <w:pPr>
        <w:rPr>
          <w:rFonts w:hint="eastAsia"/>
          <w:lang w:eastAsia="zh-CN"/>
        </w:rPr>
      </w:pPr>
      <w:r>
        <w:rPr>
          <w:sz w:val="0"/>
          <w:szCs w:val="0"/>
          <w:lang w:eastAsia="zh-CN"/>
        </w:rPr>
        <w:br w:type="page"/>
      </w:r>
    </w:p>
    <w:p w14:paraId="46E1900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565E9FB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07219A5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2024年度收入总计678.84万元，其中：本年收入合计653.76万元，使用非财政拨款结余（含专用结余）0.00万元，年初结转和结余25.08万元。</w:t>
      </w:r>
    </w:p>
    <w:p w14:paraId="2F2B3FF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2024年度支出总计678.84万元，其中：本年支出合计643.89万元，结余分配0.00万元，年末结转和结余34.95万元。</w:t>
      </w:r>
    </w:p>
    <w:p w14:paraId="2942D03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收入支出总体与上年相比，增加360.50万元，增长113.24%，主要原因是：</w:t>
      </w:r>
      <w:r>
        <w:rPr>
          <w:rFonts w:hint="eastAsia" w:ascii="仿宋_GB2312" w:eastAsia="仿宋_GB2312"/>
          <w:sz w:val="32"/>
          <w:szCs w:val="32"/>
          <w:lang w:eastAsia="zh-CN"/>
        </w:rPr>
        <w:t>本年单位增加自贸区投资服务中心租用办公场地经费、米东区功能区块领导小组办公室专项经费及促销售宣传活动经费等</w:t>
      </w:r>
      <w:r>
        <w:rPr>
          <w:rFonts w:ascii="仿宋_GB2312" w:eastAsia="仿宋_GB2312"/>
          <w:sz w:val="32"/>
          <w:szCs w:val="32"/>
          <w:lang w:eastAsia="zh-CN"/>
        </w:rPr>
        <w:t>。</w:t>
      </w:r>
    </w:p>
    <w:p w14:paraId="03397DE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4F9FF72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本年收入653.76万元，其中：财政拨款收入653.73万元,占100.00%；上级补助收入0.00万元,占0.00%；事业收入0.00万元，占0.00%；经营收入0.00万元,占0.00%；附属单位上缴收入0.00万元，占0.00%；其他收入0.03万元，占0.00%。</w:t>
      </w:r>
    </w:p>
    <w:p w14:paraId="46D9BD7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2A47038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本年支出643.89万元，其中：基本支出188.77万元，占29.32%；项目支出455.11万元，占70.68%；上缴上级支出0.00万元，占0.00%；经营支出0.00万元，占0.00%；对附属单位补助支出0.00万元，占0.00%。</w:t>
      </w:r>
    </w:p>
    <w:p w14:paraId="015E545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1AD562D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2024年度财政拨款收入总计678.81万元，其中：年初财政拨款结转和结余25.08万元，本年财政拨款收入653.73万元。财政拨款支出总计678.81万元，其中：年末财政拨款结转和结余34.92万元，本年财政拨款支出643.89万元。</w:t>
      </w:r>
    </w:p>
    <w:p w14:paraId="073DD3E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财政拨款收入支出总体与上年相比，增加363.27万元，增长115.13%，主要原因是：</w:t>
      </w:r>
      <w:r>
        <w:rPr>
          <w:rFonts w:hint="eastAsia" w:ascii="仿宋_GB2312" w:eastAsia="仿宋_GB2312"/>
          <w:sz w:val="32"/>
          <w:szCs w:val="32"/>
          <w:lang w:eastAsia="zh-CN"/>
        </w:rPr>
        <w:t>本年单位增加自贸区投资服务中心租用办公场地经费、米东区功能区块领导小组办公室专项经费及促销售宣传活动经费等</w:t>
      </w:r>
      <w:r>
        <w:rPr>
          <w:rFonts w:ascii="仿宋_GB2312" w:eastAsia="仿宋_GB2312"/>
          <w:sz w:val="32"/>
          <w:szCs w:val="32"/>
          <w:lang w:eastAsia="zh-CN"/>
        </w:rPr>
        <w:t>。与年初预算相比，年初预算数207.39万元，决算数678.81万元，预决算差异率227.31%，主要原因是：</w:t>
      </w:r>
      <w:r>
        <w:rPr>
          <w:rFonts w:hint="eastAsia" w:ascii="仿宋_GB2312" w:eastAsia="仿宋_GB2312"/>
          <w:sz w:val="32"/>
          <w:szCs w:val="32"/>
          <w:lang w:eastAsia="zh-CN"/>
        </w:rPr>
        <w:t>年中追加自贸区投资服务中心租用办公场地经费、米东区功能区块领导小组办公室专项经费及促销售宣传活动经费等</w:t>
      </w:r>
      <w:r>
        <w:rPr>
          <w:rFonts w:ascii="仿宋_GB2312" w:eastAsia="仿宋_GB2312"/>
          <w:sz w:val="32"/>
          <w:szCs w:val="32"/>
          <w:lang w:eastAsia="zh-CN"/>
        </w:rPr>
        <w:t>。</w:t>
      </w:r>
    </w:p>
    <w:p w14:paraId="69F65B2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2B13EBC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3648219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2024年度一般公共预算财政拨款支出643.89万元，占本年支出合计的100.00%。与上年相比，增加371.95万元，增长136.78%，主要原因是：</w:t>
      </w:r>
      <w:r>
        <w:rPr>
          <w:rFonts w:hint="eastAsia" w:ascii="仿宋_GB2312" w:eastAsia="仿宋_GB2312"/>
          <w:sz w:val="32"/>
          <w:szCs w:val="32"/>
          <w:lang w:eastAsia="zh-CN"/>
        </w:rPr>
        <w:t>本年单位增加自贸区投资服务中心租用办公场地经费、米东区功能区块领导小组办公室专项经费及促销售宣传活动经费等</w:t>
      </w:r>
      <w:r>
        <w:rPr>
          <w:rFonts w:ascii="仿宋_GB2312" w:eastAsia="仿宋_GB2312"/>
          <w:sz w:val="32"/>
          <w:szCs w:val="32"/>
          <w:lang w:eastAsia="zh-CN"/>
        </w:rPr>
        <w:t>。与年初预算相比，年初预算数207.39万元，决算数643.89万元，预决算差异率210.47%，主要原因是：</w:t>
      </w:r>
      <w:r>
        <w:rPr>
          <w:rFonts w:hint="eastAsia" w:ascii="仿宋_GB2312" w:eastAsia="仿宋_GB2312"/>
          <w:sz w:val="32"/>
          <w:szCs w:val="32"/>
          <w:lang w:eastAsia="zh-CN"/>
        </w:rPr>
        <w:t>年中追加自贸区投资服务中心租用办公场地经费、米东区功能区块领导小组办公室专项经费及促销售宣传活动经费等</w:t>
      </w:r>
      <w:r>
        <w:rPr>
          <w:rFonts w:ascii="仿宋_GB2312" w:eastAsia="仿宋_GB2312"/>
          <w:sz w:val="32"/>
          <w:szCs w:val="32"/>
          <w:lang w:eastAsia="zh-CN"/>
        </w:rPr>
        <w:t>。</w:t>
      </w:r>
    </w:p>
    <w:p w14:paraId="083D1C2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2B6D176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社会保障和就业支出（类）22.73万元，占3.53%。</w:t>
      </w:r>
    </w:p>
    <w:p w14:paraId="13267B3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粮油物资储备支出（类）605.16万元，占93.98%。</w:t>
      </w:r>
    </w:p>
    <w:p w14:paraId="4652CA4C">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其他支出（类）16.00万元，占2.48%。</w:t>
      </w:r>
    </w:p>
    <w:p w14:paraId="7127981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17031D20">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1、社会保障和就业支出（类）行政事业单位养老支出（款）机关事业单位基本养老保险缴费支出（项）：支出决算数为22.73万元，比上年决算增加1.63万元，增长7.73%，主要原因是：</w:t>
      </w:r>
      <w:r>
        <w:rPr>
          <w:rFonts w:hint="eastAsia" w:ascii="仿宋_GB2312" w:eastAsia="仿宋_GB2312"/>
          <w:sz w:val="32"/>
          <w:szCs w:val="32"/>
          <w:lang w:eastAsia="zh-CN"/>
        </w:rPr>
        <w:t>社保缴费基数调增，人员养老保险缴费增加。</w:t>
      </w:r>
    </w:p>
    <w:p w14:paraId="6D811BE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2、粮油物资储备支出（类）粮油物资事务（款）行政运行（项）：支出决算数为101.56万元，比上年决算减少26.12万元，下降20.46%，主要原因是：</w:t>
      </w:r>
      <w:r>
        <w:rPr>
          <w:rFonts w:hint="eastAsia" w:ascii="仿宋_GB2312" w:eastAsia="仿宋_GB2312"/>
          <w:sz w:val="32"/>
          <w:szCs w:val="32"/>
          <w:lang w:eastAsia="zh-CN"/>
        </w:rPr>
        <w:t>单位人员减少，人员工资、津补贴等人员经费较上年减少。</w:t>
      </w:r>
    </w:p>
    <w:p w14:paraId="0D177CFB">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3、粮油物资储备支出（类）粮油物资事务（款）一般行政管理事务（项）：支出决算数为439.11万元，比上年决算增加417.85万元，增长1,965.43%，主要原因是：</w:t>
      </w:r>
      <w:r>
        <w:rPr>
          <w:rFonts w:hint="eastAsia" w:ascii="仿宋_GB2312" w:eastAsia="仿宋_GB2312"/>
          <w:sz w:val="32"/>
          <w:szCs w:val="32"/>
          <w:lang w:eastAsia="zh-CN"/>
        </w:rPr>
        <w:t>本年增加自贸区投资服务中心租用办公场地经费、米东区功能区块领导小组办公室专项经费及促销售宣传活动经费等项目经费。</w:t>
      </w:r>
    </w:p>
    <w:p w14:paraId="59224E9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4、粮油物资储备支出（类）粮油物资事务（款）事业运行（项）：支出决算数为64.48万元，比上年决算减少37.43万元，下降36.73%，主要原因是：</w:t>
      </w:r>
      <w:r>
        <w:rPr>
          <w:rFonts w:hint="eastAsia" w:ascii="仿宋_GB2312" w:eastAsia="仿宋_GB2312"/>
          <w:sz w:val="32"/>
          <w:szCs w:val="32"/>
          <w:lang w:eastAsia="zh-CN"/>
        </w:rPr>
        <w:t>单位人员减少，人员工资、津补贴等人员经费较上年减少。</w:t>
      </w:r>
    </w:p>
    <w:p w14:paraId="142D296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5、其他支出（类）其他支出（款）其他支出（项）：支出决算数为16.00万元，比上年决算增加16.00万元，增长100.00%，主要原因是：</w:t>
      </w:r>
      <w:r>
        <w:rPr>
          <w:rFonts w:hint="eastAsia" w:ascii="仿宋_GB2312" w:eastAsia="仿宋_GB2312"/>
          <w:sz w:val="32"/>
          <w:szCs w:val="32"/>
          <w:lang w:eastAsia="zh-CN"/>
        </w:rPr>
        <w:t>本年单位增加边境贸易转移支付资金。</w:t>
      </w:r>
    </w:p>
    <w:p w14:paraId="23994F1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4B7D2CC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188.77万元，其中：人员经费182.36万元，包括：基本工资、津贴补贴、绩效工资、机关事业单位基本养老保险缴费、职工基本医疗保险缴费、公务员医疗补助缴费、其他社会保障缴费和住房公积金。</w:t>
      </w:r>
    </w:p>
    <w:p w14:paraId="1C2BCA4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公用经费6.41万元，包括：办公费和工会经费。</w:t>
      </w:r>
    </w:p>
    <w:p w14:paraId="56FCB70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380747B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A56F0B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445DE0B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082C1D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13525A0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_Hlk207143847"/>
      <w:r>
        <w:rPr>
          <w:rFonts w:hint="eastAsia" w:ascii="仿宋_GB2312" w:eastAsia="仿宋_GB2312"/>
          <w:sz w:val="32"/>
          <w:szCs w:val="32"/>
          <w:lang w:eastAsia="zh-CN"/>
        </w:rPr>
        <w:t>我</w:t>
      </w:r>
      <w:bookmarkStart w:id="1" w:name="_Hlk209026967"/>
      <w:r>
        <w:rPr>
          <w:rFonts w:hint="eastAsia" w:ascii="仿宋_GB2312" w:eastAsia="仿宋_GB2312"/>
          <w:sz w:val="32"/>
          <w:szCs w:val="32"/>
          <w:lang w:eastAsia="zh-CN"/>
        </w:rPr>
        <w:t>单位上年度与本年度均无此项经费</w:t>
      </w:r>
      <w:bookmarkEnd w:id="0"/>
      <w:bookmarkEnd w:id="1"/>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59537B2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72A7859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2"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2"/>
      <w:r>
        <w:rPr>
          <w:rFonts w:ascii="仿宋_GB2312" w:eastAsia="仿宋_GB2312"/>
          <w:sz w:val="32"/>
          <w:szCs w:val="32"/>
          <w:lang w:eastAsia="zh-CN"/>
        </w:rPr>
        <w:t>。单位全年安排的因公出国（境）团组0个，因公出国（境）0人次。</w:t>
      </w:r>
    </w:p>
    <w:p w14:paraId="1FBDD61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7140356"/>
      <w:r>
        <w:rPr>
          <w:rFonts w:hint="eastAsia" w:ascii="仿宋_GB2312" w:eastAsia="仿宋_GB2312"/>
          <w:sz w:val="32"/>
          <w:szCs w:val="32"/>
          <w:lang w:eastAsia="zh-CN"/>
        </w:rPr>
        <w:t>单位本年无</w:t>
      </w:r>
      <w:r>
        <w:rPr>
          <w:rFonts w:ascii="仿宋_GB2312" w:eastAsia="仿宋_GB2312"/>
          <w:sz w:val="32"/>
          <w:szCs w:val="32"/>
          <w:lang w:eastAsia="zh-CN"/>
        </w:rPr>
        <w:t>公务用车购置及运行维护费</w:t>
      </w:r>
      <w:bookmarkEnd w:id="3"/>
      <w:r>
        <w:rPr>
          <w:rFonts w:ascii="仿宋_GB2312" w:eastAsia="仿宋_GB2312"/>
          <w:sz w:val="32"/>
          <w:szCs w:val="32"/>
          <w:lang w:eastAsia="zh-CN"/>
        </w:rPr>
        <w:t>。公务用车购置数0辆，公务用车保有量0辆。国有资产占用情况中固定资产车辆0辆，与公务用车保有量差异原因是：</w:t>
      </w:r>
      <w:bookmarkStart w:id="4" w:name="_Hlk207143898"/>
      <w:r>
        <w:rPr>
          <w:rFonts w:hint="eastAsia" w:ascii="仿宋_GB2312" w:eastAsia="仿宋_GB2312"/>
          <w:sz w:val="32"/>
          <w:szCs w:val="32"/>
          <w:lang w:eastAsia="zh-CN"/>
        </w:rPr>
        <w:t>本单位固定资产车辆与公务用车保有量一致无差异</w:t>
      </w:r>
      <w:bookmarkEnd w:id="4"/>
      <w:r>
        <w:rPr>
          <w:rFonts w:ascii="仿宋_GB2312" w:eastAsia="仿宋_GB2312"/>
          <w:sz w:val="32"/>
          <w:szCs w:val="32"/>
          <w:lang w:eastAsia="zh-CN"/>
        </w:rPr>
        <w:t>。</w:t>
      </w:r>
    </w:p>
    <w:p w14:paraId="50CA11B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bookmarkStart w:id="5" w:name="_Hlk207140433"/>
      <w:r>
        <w:rPr>
          <w:rFonts w:hint="eastAsia" w:ascii="仿宋_GB2312" w:eastAsia="仿宋_GB2312"/>
          <w:sz w:val="32"/>
          <w:szCs w:val="32"/>
          <w:lang w:eastAsia="zh-CN"/>
        </w:rPr>
        <w:t>单</w:t>
      </w:r>
      <w:bookmarkStart w:id="6"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5"/>
      <w:bookmarkEnd w:id="6"/>
      <w:r>
        <w:rPr>
          <w:rFonts w:ascii="仿宋_GB2312" w:eastAsia="仿宋_GB2312"/>
          <w:sz w:val="32"/>
          <w:szCs w:val="32"/>
          <w:lang w:eastAsia="zh-CN"/>
        </w:rPr>
        <w:t>。单位全年安排的国内公务接待0批次，0人次。</w:t>
      </w:r>
    </w:p>
    <w:p w14:paraId="73171EA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7" w:name="_Hlk207142995"/>
      <w:r>
        <w:rPr>
          <w:rFonts w:hint="eastAsia" w:ascii="仿宋_GB2312" w:eastAsia="仿宋_GB2312"/>
          <w:sz w:val="32"/>
          <w:szCs w:val="32"/>
          <w:lang w:eastAsia="zh-CN"/>
        </w:rPr>
        <w:t>严格按照预算执行，预决算对比无差异</w:t>
      </w:r>
      <w:bookmarkEnd w:id="7"/>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5900DAB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10D29E48">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7B0EEBC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2024年度乌鲁木齐市米东区商务局单位（行政单位和参照公务员法管理事业单位）机关运行经费支出6.41万元，比上年减少4.47万元，下降41.08%，主要原因是：</w:t>
      </w:r>
      <w:r>
        <w:rPr>
          <w:rFonts w:hint="eastAsia" w:ascii="仿宋_GB2312" w:eastAsia="仿宋_GB2312"/>
          <w:sz w:val="32"/>
          <w:szCs w:val="32"/>
          <w:lang w:eastAsia="zh-CN"/>
        </w:rPr>
        <w:t>本年单位办公经费及工会经费等较上年减少</w:t>
      </w:r>
      <w:r>
        <w:rPr>
          <w:rFonts w:ascii="仿宋_GB2312" w:eastAsia="仿宋_GB2312"/>
          <w:sz w:val="32"/>
          <w:szCs w:val="32"/>
          <w:lang w:eastAsia="zh-CN"/>
        </w:rPr>
        <w:t>。</w:t>
      </w:r>
    </w:p>
    <w:p w14:paraId="0678E16E">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666CF73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7D5543B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4B14711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6A42770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sz w:val="32"/>
          <w:szCs w:val="32"/>
          <w:lang w:eastAsia="zh-CN"/>
        </w:rPr>
        <w:t>单位无其他用车</w:t>
      </w:r>
      <w:r>
        <w:rPr>
          <w:rFonts w:ascii="仿宋_GB2312" w:eastAsia="仿宋_GB2312"/>
          <w:sz w:val="32"/>
          <w:szCs w:val="32"/>
          <w:lang w:eastAsia="zh-CN"/>
        </w:rPr>
        <w:t>;单价100万元（含）以上设备（不含车辆）0台（套）。</w:t>
      </w:r>
    </w:p>
    <w:p w14:paraId="12DE6B2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79C1251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678.80</w:t>
      </w:r>
      <w:r>
        <w:rPr>
          <w:rFonts w:ascii="仿宋_GB2312" w:eastAsia="仿宋_GB2312"/>
          <w:sz w:val="32"/>
          <w:szCs w:val="32"/>
          <w:lang w:eastAsia="zh-CN"/>
        </w:rPr>
        <w:t>万元，实际执行总额</w:t>
      </w:r>
      <w:r>
        <w:rPr>
          <w:rFonts w:hint="eastAsia" w:ascii="仿宋_GB2312" w:eastAsia="仿宋_GB2312"/>
          <w:sz w:val="32"/>
          <w:szCs w:val="32"/>
          <w:lang w:eastAsia="zh-CN"/>
        </w:rPr>
        <w:t>643.90</w:t>
      </w:r>
      <w:r>
        <w:rPr>
          <w:rFonts w:ascii="仿宋_GB2312" w:eastAsia="仿宋_GB2312"/>
          <w:sz w:val="32"/>
          <w:szCs w:val="32"/>
          <w:lang w:eastAsia="zh-CN"/>
        </w:rPr>
        <w:t>万元；预算绩效评价项目</w:t>
      </w:r>
      <w:r>
        <w:rPr>
          <w:rFonts w:hint="eastAsia" w:ascii="仿宋_GB2312" w:eastAsia="仿宋_GB2312"/>
          <w:sz w:val="32"/>
          <w:szCs w:val="32"/>
          <w:lang w:eastAsia="zh-CN"/>
        </w:rPr>
        <w:t>3</w:t>
      </w:r>
      <w:r>
        <w:rPr>
          <w:rFonts w:ascii="仿宋_GB2312" w:eastAsia="仿宋_GB2312"/>
          <w:sz w:val="32"/>
          <w:szCs w:val="32"/>
          <w:lang w:eastAsia="zh-CN"/>
        </w:rPr>
        <w:t>个，全年预算数</w:t>
      </w:r>
      <w:r>
        <w:rPr>
          <w:rFonts w:hint="eastAsia" w:ascii="仿宋_GB2312" w:eastAsia="仿宋_GB2312"/>
          <w:sz w:val="32"/>
          <w:szCs w:val="32"/>
          <w:lang w:eastAsia="zh-CN"/>
        </w:rPr>
        <w:t>33.14</w:t>
      </w:r>
      <w:r>
        <w:rPr>
          <w:rFonts w:ascii="仿宋_GB2312" w:eastAsia="仿宋_GB2312"/>
          <w:sz w:val="32"/>
          <w:szCs w:val="32"/>
          <w:lang w:eastAsia="zh-CN"/>
        </w:rPr>
        <w:t>万元，全年执行数</w:t>
      </w:r>
      <w:r>
        <w:rPr>
          <w:rFonts w:hint="eastAsia" w:ascii="仿宋_GB2312" w:eastAsia="仿宋_GB2312"/>
          <w:sz w:val="32"/>
          <w:szCs w:val="32"/>
          <w:lang w:eastAsia="zh-CN"/>
        </w:rPr>
        <w:t>30.79</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注重绩效目标编制，预算编制环节注重编细编实预算需求，科学选择绩效指标，合理设置绩效目标值，并严格按照财政统一要求，规范编制事前绩效报告，为财政资金发挥效益夯实基础；二是扎实开展自评工作，年度终了，扎实开展预算绩效目标完成情况部门审核和自评工作。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建议以规章规则的形式，出台绩效管理制度，对绩效管理的目的、意义、性质和特点，以及组织实施绩效管理的程序、步骤、方法、原则和要求进行统一的规定；二是合理设置年度任务。提高各科室对部门中长期规划的重视程度，增强相关规划的落地性、导向性</w:t>
      </w:r>
      <w:r>
        <w:rPr>
          <w:rFonts w:ascii="仿宋_GB2312" w:eastAsia="仿宋_GB2312"/>
          <w:sz w:val="32"/>
          <w:szCs w:val="32"/>
          <w:lang w:eastAsia="zh-CN"/>
        </w:rPr>
        <w:t>。具体附部门整体支出绩效自评表，项目支出绩效自评表和部门评价报告。</w:t>
      </w:r>
    </w:p>
    <w:p w14:paraId="18C1C63E">
      <w:pPr>
        <w:rPr>
          <w:rFonts w:hint="eastAsia" w:ascii="宋体" w:hAnsi="宋体" w:eastAsia="宋体" w:cs="宋体"/>
          <w:b/>
          <w:bCs/>
          <w:sz w:val="18"/>
          <w:szCs w:val="18"/>
        </w:rPr>
      </w:pPr>
      <w:bookmarkStart w:id="8" w:name="_Hlk174962300"/>
    </w:p>
    <w:p w14:paraId="5CDEFF08">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71EAACD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1"/>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38C93D22">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2F4E91A">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189F6B2E">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乌鲁木齐市米东区商务局</w:t>
            </w:r>
          </w:p>
        </w:tc>
        <w:tc>
          <w:tcPr>
            <w:tcW w:w="284" w:type="dxa"/>
            <w:tcBorders>
              <w:top w:val="nil"/>
              <w:left w:val="nil"/>
              <w:bottom w:val="nil"/>
              <w:right w:val="nil"/>
            </w:tcBorders>
            <w:noWrap/>
            <w:vAlign w:val="center"/>
          </w:tcPr>
          <w:p w14:paraId="36DF8A4B">
            <w:pPr>
              <w:rPr>
                <w:rFonts w:hint="eastAsia" w:ascii="宋体" w:hAnsi="宋体" w:eastAsia="宋体" w:cs="宋体"/>
                <w:b/>
                <w:bCs/>
                <w:sz w:val="18"/>
                <w:szCs w:val="18"/>
                <w:lang w:eastAsia="zh-CN"/>
              </w:rPr>
            </w:pPr>
          </w:p>
        </w:tc>
      </w:tr>
      <w:tr w14:paraId="54AC5FD7">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B3B0BAF">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433BF33E">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6DEF73FA">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16413196">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5E181365">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5CACE39B">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6FA489F2">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164D048C">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23B43D9C">
            <w:pPr>
              <w:jc w:val="center"/>
              <w:rPr>
                <w:rFonts w:hint="eastAsia" w:ascii="宋体" w:hAnsi="宋体" w:eastAsia="宋体" w:cs="宋体"/>
                <w:b/>
                <w:bCs/>
                <w:sz w:val="18"/>
                <w:szCs w:val="18"/>
              </w:rPr>
            </w:pPr>
          </w:p>
        </w:tc>
      </w:tr>
      <w:tr w14:paraId="73C16B57">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3E5909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48E92116">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32A72B39">
            <w:pPr>
              <w:jc w:val="center"/>
              <w:rPr>
                <w:rFonts w:hint="eastAsia" w:ascii="宋体" w:hAnsi="宋体" w:eastAsia="宋体" w:cs="宋体"/>
                <w:sz w:val="18"/>
                <w:szCs w:val="18"/>
              </w:rPr>
            </w:pPr>
            <w:r>
              <w:rPr>
                <w:rFonts w:hint="eastAsia" w:ascii="宋体" w:hAnsi="宋体" w:eastAsia="宋体" w:cs="宋体"/>
                <w:sz w:val="18"/>
                <w:szCs w:val="18"/>
              </w:rPr>
              <w:t>207.39</w:t>
            </w:r>
          </w:p>
        </w:tc>
        <w:tc>
          <w:tcPr>
            <w:tcW w:w="1276" w:type="dxa"/>
            <w:tcBorders>
              <w:top w:val="nil"/>
              <w:left w:val="nil"/>
              <w:bottom w:val="single" w:color="auto" w:sz="4" w:space="0"/>
              <w:right w:val="single" w:color="auto" w:sz="4" w:space="0"/>
            </w:tcBorders>
            <w:vAlign w:val="center"/>
          </w:tcPr>
          <w:p w14:paraId="52320891">
            <w:pPr>
              <w:jc w:val="center"/>
              <w:rPr>
                <w:rFonts w:hint="eastAsia" w:ascii="宋体" w:hAnsi="宋体" w:eastAsia="宋体" w:cs="宋体"/>
                <w:sz w:val="18"/>
                <w:szCs w:val="18"/>
              </w:rPr>
            </w:pPr>
            <w:r>
              <w:rPr>
                <w:rFonts w:hint="eastAsia" w:ascii="宋体" w:hAnsi="宋体" w:eastAsia="宋体" w:cs="宋体"/>
                <w:sz w:val="18"/>
                <w:szCs w:val="18"/>
              </w:rPr>
              <w:t>678.80</w:t>
            </w:r>
          </w:p>
        </w:tc>
        <w:tc>
          <w:tcPr>
            <w:tcW w:w="1701" w:type="dxa"/>
            <w:tcBorders>
              <w:top w:val="nil"/>
              <w:left w:val="nil"/>
              <w:bottom w:val="single" w:color="auto" w:sz="4" w:space="0"/>
              <w:right w:val="single" w:color="auto" w:sz="4" w:space="0"/>
            </w:tcBorders>
            <w:vAlign w:val="center"/>
          </w:tcPr>
          <w:p w14:paraId="647F7ADD">
            <w:pPr>
              <w:jc w:val="center"/>
              <w:rPr>
                <w:rFonts w:hint="eastAsia" w:ascii="宋体" w:hAnsi="宋体" w:eastAsia="宋体" w:cs="宋体"/>
                <w:sz w:val="18"/>
                <w:szCs w:val="18"/>
              </w:rPr>
            </w:pPr>
            <w:r>
              <w:rPr>
                <w:rFonts w:hint="eastAsia" w:ascii="宋体" w:hAnsi="宋体" w:eastAsia="宋体" w:cs="宋体"/>
                <w:sz w:val="18"/>
                <w:szCs w:val="18"/>
              </w:rPr>
              <w:t>643.90</w:t>
            </w:r>
          </w:p>
        </w:tc>
        <w:tc>
          <w:tcPr>
            <w:tcW w:w="1134" w:type="dxa"/>
            <w:tcBorders>
              <w:top w:val="nil"/>
              <w:left w:val="nil"/>
              <w:bottom w:val="single" w:color="auto" w:sz="4" w:space="0"/>
              <w:right w:val="single" w:color="auto" w:sz="4" w:space="0"/>
            </w:tcBorders>
            <w:vAlign w:val="center"/>
          </w:tcPr>
          <w:p w14:paraId="09996879">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5D49AAEB">
            <w:pPr>
              <w:jc w:val="center"/>
              <w:rPr>
                <w:rFonts w:hint="eastAsia" w:ascii="宋体" w:hAnsi="宋体" w:eastAsia="宋体" w:cs="宋体"/>
                <w:sz w:val="18"/>
                <w:szCs w:val="18"/>
              </w:rPr>
            </w:pPr>
            <w:r>
              <w:rPr>
                <w:rFonts w:hint="eastAsia" w:ascii="宋体" w:hAnsi="宋体" w:eastAsia="宋体" w:cs="宋体"/>
                <w:sz w:val="18"/>
                <w:szCs w:val="18"/>
              </w:rPr>
              <w:t>94.86%</w:t>
            </w:r>
          </w:p>
        </w:tc>
        <w:tc>
          <w:tcPr>
            <w:tcW w:w="720" w:type="dxa"/>
            <w:tcBorders>
              <w:top w:val="nil"/>
              <w:left w:val="nil"/>
              <w:bottom w:val="single" w:color="auto" w:sz="4" w:space="0"/>
              <w:right w:val="single" w:color="auto" w:sz="4" w:space="0"/>
            </w:tcBorders>
            <w:vAlign w:val="center"/>
          </w:tcPr>
          <w:p w14:paraId="6E2EE5B7">
            <w:pPr>
              <w:jc w:val="center"/>
              <w:rPr>
                <w:rFonts w:hint="eastAsia" w:ascii="宋体" w:hAnsi="宋体" w:eastAsia="宋体" w:cs="宋体"/>
                <w:sz w:val="18"/>
                <w:szCs w:val="18"/>
              </w:rPr>
            </w:pPr>
            <w:r>
              <w:rPr>
                <w:rFonts w:hint="eastAsia" w:ascii="宋体" w:hAnsi="宋体" w:eastAsia="宋体" w:cs="宋体"/>
                <w:sz w:val="18"/>
                <w:szCs w:val="18"/>
              </w:rPr>
              <w:t>9.48</w:t>
            </w:r>
          </w:p>
        </w:tc>
        <w:tc>
          <w:tcPr>
            <w:tcW w:w="284" w:type="dxa"/>
            <w:tcBorders>
              <w:top w:val="nil"/>
              <w:left w:val="nil"/>
              <w:bottom w:val="nil"/>
              <w:right w:val="nil"/>
            </w:tcBorders>
            <w:noWrap/>
            <w:vAlign w:val="center"/>
          </w:tcPr>
          <w:p w14:paraId="182F9059">
            <w:pPr>
              <w:jc w:val="center"/>
              <w:rPr>
                <w:rFonts w:hint="eastAsia" w:ascii="宋体" w:hAnsi="宋体" w:eastAsia="宋体" w:cs="宋体"/>
                <w:b/>
                <w:bCs/>
                <w:sz w:val="18"/>
                <w:szCs w:val="18"/>
              </w:rPr>
            </w:pPr>
          </w:p>
        </w:tc>
      </w:tr>
      <w:tr w14:paraId="0007F92E">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E3FCD9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0BFADD1">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647C041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04B5C60B">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4C7B45C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302FA19B">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2E577C65">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6D4BF44C">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15E7FE00">
            <w:pPr>
              <w:jc w:val="center"/>
              <w:rPr>
                <w:rFonts w:hint="eastAsia" w:ascii="宋体" w:hAnsi="宋体" w:eastAsia="宋体" w:cs="宋体"/>
                <w:sz w:val="18"/>
                <w:szCs w:val="18"/>
              </w:rPr>
            </w:pPr>
          </w:p>
        </w:tc>
      </w:tr>
      <w:tr w14:paraId="087EF7DC">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CEF0F8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A32D81B">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5B9937CF">
            <w:pPr>
              <w:jc w:val="center"/>
              <w:rPr>
                <w:rFonts w:hint="eastAsia" w:ascii="宋体" w:hAnsi="宋体" w:eastAsia="宋体" w:cs="宋体"/>
                <w:sz w:val="18"/>
                <w:szCs w:val="18"/>
              </w:rPr>
            </w:pPr>
            <w:r>
              <w:rPr>
                <w:rFonts w:hint="eastAsia" w:ascii="宋体" w:hAnsi="宋体" w:eastAsia="宋体" w:cs="宋体"/>
                <w:sz w:val="18"/>
                <w:szCs w:val="18"/>
              </w:rPr>
              <w:t>207.39</w:t>
            </w:r>
          </w:p>
        </w:tc>
        <w:tc>
          <w:tcPr>
            <w:tcW w:w="1276" w:type="dxa"/>
            <w:tcBorders>
              <w:top w:val="nil"/>
              <w:left w:val="nil"/>
              <w:bottom w:val="single" w:color="auto" w:sz="4" w:space="0"/>
              <w:right w:val="single" w:color="auto" w:sz="4" w:space="0"/>
            </w:tcBorders>
            <w:vAlign w:val="center"/>
          </w:tcPr>
          <w:p w14:paraId="1FFEDC4A">
            <w:pPr>
              <w:jc w:val="center"/>
              <w:rPr>
                <w:rFonts w:hint="eastAsia" w:ascii="宋体" w:hAnsi="宋体" w:eastAsia="宋体" w:cs="宋体"/>
                <w:sz w:val="18"/>
                <w:szCs w:val="18"/>
              </w:rPr>
            </w:pPr>
            <w:r>
              <w:rPr>
                <w:rFonts w:hint="eastAsia" w:ascii="宋体" w:hAnsi="宋体" w:eastAsia="宋体" w:cs="宋体"/>
                <w:sz w:val="18"/>
                <w:szCs w:val="18"/>
              </w:rPr>
              <w:t>678.80</w:t>
            </w:r>
          </w:p>
        </w:tc>
        <w:tc>
          <w:tcPr>
            <w:tcW w:w="1701" w:type="dxa"/>
            <w:tcBorders>
              <w:top w:val="nil"/>
              <w:left w:val="nil"/>
              <w:bottom w:val="single" w:color="auto" w:sz="4" w:space="0"/>
              <w:right w:val="single" w:color="auto" w:sz="4" w:space="0"/>
            </w:tcBorders>
            <w:vAlign w:val="center"/>
          </w:tcPr>
          <w:p w14:paraId="0F55BF6E">
            <w:pPr>
              <w:jc w:val="center"/>
              <w:rPr>
                <w:rFonts w:hint="eastAsia" w:ascii="宋体" w:hAnsi="宋体" w:eastAsia="宋体" w:cs="宋体"/>
                <w:sz w:val="18"/>
                <w:szCs w:val="18"/>
              </w:rPr>
            </w:pPr>
            <w:r>
              <w:rPr>
                <w:rFonts w:hint="eastAsia" w:ascii="宋体" w:hAnsi="宋体" w:eastAsia="宋体" w:cs="宋体"/>
                <w:sz w:val="18"/>
                <w:szCs w:val="18"/>
              </w:rPr>
              <w:t>643.90</w:t>
            </w:r>
          </w:p>
        </w:tc>
        <w:tc>
          <w:tcPr>
            <w:tcW w:w="1134" w:type="dxa"/>
            <w:tcBorders>
              <w:top w:val="nil"/>
              <w:left w:val="nil"/>
              <w:bottom w:val="single" w:color="auto" w:sz="4" w:space="0"/>
              <w:right w:val="single" w:color="auto" w:sz="4" w:space="0"/>
            </w:tcBorders>
            <w:vAlign w:val="center"/>
          </w:tcPr>
          <w:p w14:paraId="679D8971">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21AEB3E1">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63793EF">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5D32FF74">
            <w:pPr>
              <w:jc w:val="center"/>
              <w:rPr>
                <w:rFonts w:hint="eastAsia" w:ascii="宋体" w:hAnsi="宋体" w:eastAsia="宋体" w:cs="宋体"/>
                <w:sz w:val="18"/>
                <w:szCs w:val="18"/>
              </w:rPr>
            </w:pPr>
          </w:p>
        </w:tc>
      </w:tr>
      <w:tr w14:paraId="375AB1BB">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9F769E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3A742A5">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72B4B1D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1916A52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14C97C64">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10B5D1E9">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2A42995C">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58021D5C">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642D4270">
            <w:pPr>
              <w:jc w:val="center"/>
              <w:rPr>
                <w:rFonts w:hint="eastAsia" w:ascii="宋体" w:hAnsi="宋体" w:eastAsia="宋体" w:cs="宋体"/>
                <w:sz w:val="18"/>
                <w:szCs w:val="18"/>
              </w:rPr>
            </w:pPr>
          </w:p>
        </w:tc>
      </w:tr>
      <w:tr w14:paraId="5AFFF882">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D61341E">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05192CEE">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31DD6B9F">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16767F57">
            <w:pPr>
              <w:rPr>
                <w:rFonts w:hint="eastAsia" w:ascii="宋体" w:hAnsi="宋体" w:eastAsia="宋体" w:cs="宋体"/>
                <w:b/>
                <w:bCs/>
                <w:sz w:val="18"/>
                <w:szCs w:val="18"/>
              </w:rPr>
            </w:pPr>
          </w:p>
        </w:tc>
      </w:tr>
      <w:tr w14:paraId="5A4D07F2">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8ED6D24">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3780D6B8">
            <w:pPr>
              <w:rPr>
                <w:rFonts w:hint="eastAsia" w:ascii="宋体" w:hAnsi="宋体" w:eastAsia="宋体" w:cs="宋体"/>
                <w:sz w:val="18"/>
                <w:szCs w:val="18"/>
                <w:lang w:eastAsia="zh-CN"/>
              </w:rPr>
            </w:pPr>
            <w:r>
              <w:rPr>
                <w:rFonts w:hint="eastAsia" w:ascii="宋体" w:hAnsi="宋体" w:eastAsia="宋体" w:cs="宋体"/>
                <w:sz w:val="18"/>
                <w:szCs w:val="18"/>
                <w:lang w:eastAsia="zh-CN"/>
              </w:rPr>
              <w:t>2024年，我局将坚持以习近平新时代中国特色社会主义思想为指导，全面贯彻落实党的二十大精神，坚持稳中求进工作总基调，完整准确全面贯彻新发展理念，积极服务和融入新发展格局，更好统筹国内国际两个大局，统筹疫情防控和经济社会发展，统筹发展和安全，紧贴民生推动高质量发展，不懈推进重点任务，推动米东区经济发展取得新成效。（一）突出重点，持续聚力促消费。一是优化发展夜间消费和商圈建设，2024年创建1个夜间经济示范区，形成夜间消费聚集效应。培育壮大智能、体验、定制等新型消费，发展信用消费，促进预付消费。围绕“一区三圈多点”总体空间布局，全面促进商圈改造升级，提升活跃2个商圈（米古里商圈、奥体中心商圈），新建培育1个商圈（米东吾悦广场商圈），米东吾悦商圈、米古里商圈等商圈初具规模。二是持续巩固限上社会消费品零售企业根基，扩大限上消费品社会消费品零售企业规模，力争2023-2025年限上社会消费品零售额年均增长7%以上。挖掘壮大首店首发经济，2024年引进首店品牌超20家。三是深入实施消费领域创新驱动发展，推动技术、管理、商业模式等各类创新，推动互联网和各类消费业态紧密融合，支持发展直播电商、即时零售（美团、滴滴打车、自动售货机）等新模式新业态，依托新疆哎呦喂食品有限公司、天极云仓、华凌农牧科技开发有限公司等电商龙头企业日常性开展直播带货，带动辖区传统零售企业开展线上直播。四是积极扩大多领域消费。支持天汇汽车城、通汇二手车市场、新龙河二手车交易市场等企业开展汽车全生命周期服务，拓展汽车租赁、改装、二手车交易、维修保养等后市场业务，推动全车型一站式服务，促进汽车更新消费。积极扩大新能源汽车消费政策，支持新能源汽车购买使用，构建高质量充电基础设施体系，加快换电模式推广应用，有效满足居民出行充换电需求。落实延续新能源汽车车辆购置税减免政策，2024年开展汽车进超市、进商场、进乡镇等“六进”活动15场，创新拓展汽车消费场景。依托我家电器和5家大型超市年均打造家电、家居、美食等惠民消费节5场，激发消费市场活力。推广智能家电、集成家电、功能化家具等产品，提升家居智能化绿色化水平。（二）稳中求进，培育外贸新优势。开拓新兴经济体和发展中国家市场，支持13家外贸企业大力发展进出口加工贸易、市场采购贸易、服务贸易，积极培育外贸龙头企业5家，2024年外贸进出口额达到8.5亿元，实现外贸进出口数据稳步增长。（三）加强谋划，招引投资精项目。加快推进里巷商业街区项目、东凯综合物流园项目等2个新建项目如期开工，引进社会投资1.6亿元，在确保安全生产前提下加快施工进度，抢抓市场机遇，完整准确地完成项目建设工作。做好米东国际五金机电市场建设项目、乌鲁木齐环鹏有限公司后峡加油站异地搬迁建设项目、新疆便民服务中心智慧菜篮子项目、天瑞达加气制氢站项目等4个储备项目服务工作，配合区招商服务局实现项目落地投产。（四）稳定秩序，确保安全固根本。结合商务系统实际，统筹兼顾、突出重点，对全区商贸领域等人员密集场所进行安全生产监管。重点监管大型商场、超市、社区蔬菜直销点等。发现存在重大事故隐患的，要进行重点监管检查，增加检查频次，督促限期整改到位。同时根据职责法定原则，认真履行安全生产综合监管职责，联合多部门开展专项检查和整治，有效解决安全生产薄弱环节和突出问题，做到已查明安全事故隐患的责令整改率、到期复查率100%。（五）完善体系，绿色消费扩影响。打造形成以社区回收站点为支点、分拣（拆解）加工中心为骨干、集散市场为核心、回收利用龙头企业为纽带的再生资源回收利用体系，积极帮助指导回收建设工作，按照回收站点行业标准《再生资源绿色分拣中心建设管理规范》的要求继续开展再生资源回收站点建设，2024年在现有基础上再建设10个标准规范化的回收站点。活跃二手车市场交易，完善报废机动车回收利用体系，深入推进绿色智能“家电下乡”和“以旧换新”活动，促进绿色智能家电消费，积极申报创建绿色饭店、绿色餐饮企业。</w:t>
            </w:r>
          </w:p>
        </w:tc>
        <w:tc>
          <w:tcPr>
            <w:tcW w:w="4547" w:type="dxa"/>
            <w:gridSpan w:val="4"/>
            <w:tcBorders>
              <w:top w:val="single" w:color="auto" w:sz="4" w:space="0"/>
              <w:left w:val="nil"/>
              <w:bottom w:val="single" w:color="auto" w:sz="4" w:space="0"/>
              <w:right w:val="single" w:color="auto" w:sz="4" w:space="0"/>
            </w:tcBorders>
          </w:tcPr>
          <w:p w14:paraId="64BA261C">
            <w:pPr>
              <w:rPr>
                <w:rFonts w:hint="eastAsia" w:ascii="宋体" w:hAnsi="宋体" w:eastAsia="宋体" w:cs="宋体"/>
                <w:sz w:val="18"/>
                <w:szCs w:val="18"/>
                <w:lang w:eastAsia="zh-CN"/>
              </w:rPr>
            </w:pPr>
            <w:r>
              <w:rPr>
                <w:rFonts w:hint="eastAsia" w:ascii="宋体" w:hAnsi="宋体" w:eastAsia="宋体" w:cs="宋体"/>
                <w:sz w:val="18"/>
                <w:szCs w:val="18"/>
                <w:lang w:eastAsia="zh-CN"/>
              </w:rPr>
              <w:t>2024年，在区委、区政府的正确领导下，米东区商务局坚持以习近平新时代中国特色社会主义思想为指导，全面贯彻落实党的二十大和二十届二中、三中全会精神，贯彻落实中央经济工作会议精神，团结奋斗，守正创新，迎难而上，真抓实干，为全区改革发展稳定事业做出贡献。一、两项经济指标完成情况1.限上社会消费品零售额。全年实现限上社会消费品零售额67.46亿元，实现社会消费品零售总额（全口径）100.32亿元。2.外贸进出口总额。全年完成外贸进出口总额10.1亿元，同比增长21.7%，增速位列全市第一军团。二、多措并举提振消费，刺激经济增长。一是优化消费环境，激活消费潜力，积极把握节日消费热点，在春节等重要时间节点，精心指导大中型商超、商圈开展让利促销活动75场次，吸引消费者约63.6万人次，实现营业额约7900万余元。二是开展线上宣传。积极申报米东区商务局微信公众号，加大消费政策和活动宣传力度，通过各级媒体宣传报道30余次，利用人员密集场所LED大屏大力宣传活动政策；组织动员全区机关、企事业单位转发以旧换新宣传海报、视频、明白书等相关政策覆盖43.46万人次。三是开展线下宣传活动。成立宣讲小分队，采取国旗下宣讲、集中宣讲等60余场次。印制各类宣传手册、海报10000余份，在机关单位、小区、商超等人员密集地张贴，对限上企业和各类活动进行大力宣传。三、、落实汽车、家电、电动自行车、家装厨卫“以旧换新”政策。组织汽车、家电、电动自行车展销进机关、进小区、进企业等活动，加大力度实施以旧换新政策。2024年车辆报废换新644台，零售额8810.99万元；汽车置换5180余辆，零售额7.77亿元；家电置换5159台，零售额2866.27万元；置换电动自行车420台，销售额92.15万元；置换厨卫4037件，零售额2043.7万余元。四、完成零售餐饮企业入库纳统。积极走访企业，安排专人分类对接限上企业包联跟踪服务，对接市监局、税务局摸排全区企业（个体）经营情况，通过电话询问、实地走访梳理出拟入库企业名单。月度入库8家企业，年度入库52家企业、7家个体。五、进一步加快特色美食街区的建设和发展，增强特色餐饮业集聚和辐射力。组织米古里西域水游城特色美食一条街、米东区吾悦广场特色美食街区申报并荣获“乌鲁木齐市级特色美食街区”；北园香饭店、乌鲁木齐市米东区贵军烧鹅红嘴雁2家企业获自治区级“新疆老字号”，北园香饭店、贵军烧鹅红嘴雁、马宁大盘鸡私房菜等5家企业荣获市级“乌鲁木齐餐饮老字号”，极大提升了餐饮品牌影响力和知名度。六、持续加大对外开放。一是积极组织双钱（昆仑）轮胎、纳贸斯捷申报《2024年度中央外经贸发展专项资金》，补贴62.6万元。组织3家重点外贸企业申报边境地区转移支付资金补贴16万元。二是召开9场外贸专题研讨交流会，帮助21家工业企业对接外贸综合服务资源，鼓励外贸企业提升国际化服务能力，新培育服务外包企业4家。三是积极拓展二手车出口业务。指导广汇二手车市场获得二手车出口资质，开通吉尔吉斯斯坦、哈萨克斯坦、乌兹别克斯坦业务，全年出口车辆18台，价值270万元人民币。七、强化交流协作，借力平台强展会。一是精心做好2024年第八届亚欧博览会的筹备和组展工作，组织辖区16家企业布展参展，展示名优特色产品40多种，达成意向合同金额10万，签约项目3个。二是动员企业参加国外经贸活动。组织新疆金大禹环境科技有限公司等33家企业赴吉尔吉斯斯坦、乌兹别克斯坦、塔吉克斯坦等国家开展经贸交流活动，共达成合作意向3个，意向金额1970万元。三是组织企业参加国内展会活动。组织哎呦喂食品有限公司、新疆清泉绿洲科技有限公司等44家企业参加国内展会5场次，为企业拓宽销售渠道，提高品牌影响力。八、优化服务稳项目。树立大抓项目、抓大项目的理念，全力推进商贸领域项目建设。圆满完成2024年固定资产投资目标任务6亿元。3个续建项目（米东区技工学校改扩建项目、技工学校实训车间建设项目、东凯综合物流园一期项目）完成投资0.34亿元。2个新建项目（星龙创新科技园、德源加油加气站）完成投资2.56亿元。新疆警察学院（新疆公安警察培训基地）宿舍楼加固改造项目完成投资0.54亿元。九、坚持问题导向，抓实安全生产工作。一是组织全局干部职工学习习近平总书记关于安全生产重要论述</w:t>
            </w:r>
            <w:bookmarkStart w:id="9" w:name="_GoBack"/>
            <w:bookmarkEnd w:id="9"/>
            <w:r>
              <w:rPr>
                <w:rFonts w:hint="eastAsia" w:ascii="宋体" w:hAnsi="宋体" w:eastAsia="宋体" w:cs="宋体"/>
                <w:sz w:val="18"/>
                <w:szCs w:val="18"/>
                <w:lang w:eastAsia="zh-CN"/>
              </w:rPr>
              <w:t>30余次。开展570多场次防灾减灾应急疏散活动，员工防灾减灾意识进一步加强。二是与22家商贸重点企业签订安全生产责任书，层层压实责任。全年累计出动检查小组30组130多人次，共检查出各类安全隐患问题73件（立查立改58件、限期整改15件），现已全部整改到位，整改率100%。三是依法依规做好成品油零售企业的资质审查，开展加油站证照检查38家次，办理加油站法人变更审核4家，规范成品油经营企业的经营行为。四是认真落实食品安全责任。强化日常和重大节假日安全监督，开展督查指导30余次，开展形式多样的食品安全和反食品浪费宣传活动，切实做好行业领域食品安全工作。十、聚焦民生实事，全力以赴保供稳价。一是米东区现有89家直销点，全年销售蔬菜12000吨，销售牛羊肉200余吨。二是督促运营企业严格落实巡店制度，常态化开展走访抽查工作，全年出动10余人次，检查出20项问题，已全部整改完毕。三是着力解决民生诉求。全年处理直销点投诉问题17起，有效解决了居民群众反映“买菜难”、直销点服务不到位等问题诉求。</w:t>
            </w:r>
          </w:p>
        </w:tc>
        <w:tc>
          <w:tcPr>
            <w:tcW w:w="284" w:type="dxa"/>
            <w:tcBorders>
              <w:top w:val="nil"/>
              <w:left w:val="nil"/>
              <w:bottom w:val="nil"/>
              <w:right w:val="nil"/>
            </w:tcBorders>
            <w:noWrap/>
            <w:vAlign w:val="center"/>
          </w:tcPr>
          <w:p w14:paraId="5454F522">
            <w:pPr>
              <w:rPr>
                <w:rFonts w:hint="eastAsia" w:ascii="宋体" w:hAnsi="宋体" w:eastAsia="宋体" w:cs="宋体"/>
                <w:sz w:val="18"/>
                <w:szCs w:val="18"/>
                <w:lang w:eastAsia="zh-CN"/>
              </w:rPr>
            </w:pPr>
          </w:p>
        </w:tc>
      </w:tr>
      <w:tr w14:paraId="47B1DBB6">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5836ACA6">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48A3F0F">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06A20BBA">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11A899EB">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0C257A75">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14D782D1">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2AC25B20">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7D2EB43C">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03C56B4B">
            <w:pPr>
              <w:rPr>
                <w:rFonts w:hint="eastAsia" w:ascii="宋体" w:hAnsi="宋体" w:eastAsia="宋体" w:cs="宋体"/>
                <w:b/>
                <w:bCs/>
                <w:sz w:val="18"/>
                <w:szCs w:val="18"/>
              </w:rPr>
            </w:pPr>
          </w:p>
        </w:tc>
      </w:tr>
      <w:tr w14:paraId="1631FEF4">
        <w:tblPrEx>
          <w:tblCellMar>
            <w:top w:w="0" w:type="dxa"/>
            <w:left w:w="108" w:type="dxa"/>
            <w:bottom w:w="0" w:type="dxa"/>
            <w:right w:w="108" w:type="dxa"/>
          </w:tblCellMar>
        </w:tblPrEx>
        <w:trPr>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D46A931">
            <w:pPr>
              <w:jc w:val="center"/>
              <w:rPr>
                <w:rFonts w:hint="eastAsia" w:ascii="宋体" w:hAnsi="宋体" w:eastAsia="宋体" w:cs="宋体"/>
                <w:sz w:val="18"/>
                <w:szCs w:val="18"/>
              </w:rPr>
            </w:pPr>
            <w:r>
              <w:rPr>
                <w:rFonts w:hint="eastAsia" w:ascii="宋体" w:hAnsi="宋体" w:eastAsia="宋体" w:cs="宋体"/>
                <w:sz w:val="18"/>
                <w:szCs w:val="18"/>
              </w:rPr>
              <w:t>运行成本</w:t>
            </w:r>
          </w:p>
        </w:tc>
        <w:tc>
          <w:tcPr>
            <w:tcW w:w="1417" w:type="dxa"/>
            <w:tcBorders>
              <w:top w:val="nil"/>
              <w:left w:val="nil"/>
              <w:bottom w:val="single" w:color="auto" w:sz="4" w:space="0"/>
              <w:right w:val="single" w:color="auto" w:sz="4" w:space="0"/>
            </w:tcBorders>
            <w:noWrap/>
            <w:vAlign w:val="center"/>
          </w:tcPr>
          <w:p w14:paraId="6AD568A2">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181BF2A9">
            <w:pPr>
              <w:jc w:val="center"/>
              <w:rPr>
                <w:rFonts w:hint="eastAsia" w:ascii="宋体" w:hAnsi="宋体" w:eastAsia="宋体" w:cs="宋体"/>
                <w:sz w:val="18"/>
                <w:szCs w:val="18"/>
              </w:rPr>
            </w:pPr>
            <w:r>
              <w:rPr>
                <w:rFonts w:hint="eastAsia" w:ascii="宋体" w:hAnsi="宋体" w:eastAsia="宋体" w:cs="宋体"/>
                <w:sz w:val="18"/>
                <w:szCs w:val="18"/>
                <w:lang w:eastAsia="zh-CN"/>
              </w:rPr>
              <w:t>“三公”经费</w:t>
            </w:r>
            <w:r>
              <w:rPr>
                <w:rFonts w:hint="eastAsia" w:ascii="宋体" w:hAnsi="宋体" w:eastAsia="宋体" w:cs="宋体"/>
                <w:sz w:val="18"/>
                <w:szCs w:val="18"/>
              </w:rPr>
              <w:t>控制率</w:t>
            </w:r>
          </w:p>
        </w:tc>
        <w:tc>
          <w:tcPr>
            <w:tcW w:w="1276" w:type="dxa"/>
            <w:tcBorders>
              <w:top w:val="nil"/>
              <w:left w:val="nil"/>
              <w:bottom w:val="single" w:color="auto" w:sz="4" w:space="0"/>
              <w:right w:val="single" w:color="auto" w:sz="4" w:space="0"/>
            </w:tcBorders>
            <w:noWrap/>
            <w:vAlign w:val="center"/>
          </w:tcPr>
          <w:p w14:paraId="0338EEC7">
            <w:pPr>
              <w:jc w:val="center"/>
              <w:rPr>
                <w:rFonts w:hint="eastAsia" w:ascii="宋体" w:hAnsi="宋体" w:eastAsia="宋体" w:cs="宋体"/>
                <w:sz w:val="18"/>
                <w:szCs w:val="18"/>
              </w:rPr>
            </w:pPr>
            <w:r>
              <w:rPr>
                <w:rFonts w:hint="eastAsia" w:ascii="宋体" w:hAnsi="宋体" w:eastAsia="宋体" w:cs="宋体"/>
                <w:sz w:val="18"/>
                <w:szCs w:val="18"/>
              </w:rPr>
              <w:t>&lt;=100%</w:t>
            </w:r>
          </w:p>
        </w:tc>
        <w:tc>
          <w:tcPr>
            <w:tcW w:w="1701" w:type="dxa"/>
            <w:tcBorders>
              <w:top w:val="nil"/>
              <w:left w:val="nil"/>
              <w:bottom w:val="single" w:color="auto" w:sz="4" w:space="0"/>
              <w:right w:val="single" w:color="auto" w:sz="4" w:space="0"/>
            </w:tcBorders>
            <w:noWrap/>
            <w:vAlign w:val="center"/>
          </w:tcPr>
          <w:p w14:paraId="3A2CF04E">
            <w:pPr>
              <w:rPr>
                <w:rFonts w:hint="eastAsia" w:ascii="宋体" w:hAnsi="宋体" w:eastAsia="宋体" w:cs="宋体"/>
                <w:sz w:val="18"/>
                <w:szCs w:val="18"/>
                <w:lang w:eastAsia="zh-CN"/>
              </w:rPr>
            </w:pPr>
            <w:r>
              <w:rPr>
                <w:rFonts w:hint="eastAsia" w:ascii="宋体" w:hAnsi="宋体" w:eastAsia="宋体" w:cs="宋体"/>
                <w:sz w:val="18"/>
                <w:szCs w:val="18"/>
                <w:lang w:eastAsia="zh-CN"/>
              </w:rPr>
              <w:t>关于加强“三公”经费管理严控一般性支出的通知</w:t>
            </w:r>
          </w:p>
        </w:tc>
        <w:tc>
          <w:tcPr>
            <w:tcW w:w="1134" w:type="dxa"/>
            <w:tcBorders>
              <w:top w:val="nil"/>
              <w:left w:val="nil"/>
              <w:bottom w:val="single" w:color="auto" w:sz="4" w:space="0"/>
              <w:right w:val="single" w:color="auto" w:sz="4" w:space="0"/>
            </w:tcBorders>
            <w:noWrap/>
            <w:vAlign w:val="center"/>
          </w:tcPr>
          <w:p w14:paraId="690BBA06">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nil"/>
              <w:left w:val="nil"/>
              <w:bottom w:val="single" w:color="auto" w:sz="4" w:space="0"/>
              <w:right w:val="single" w:color="auto" w:sz="4" w:space="0"/>
            </w:tcBorders>
            <w:noWrap/>
            <w:vAlign w:val="center"/>
          </w:tcPr>
          <w:p w14:paraId="01EC7949">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67F597B8">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53CA6282">
            <w:pPr>
              <w:jc w:val="center"/>
              <w:rPr>
                <w:rFonts w:hint="eastAsia" w:ascii="宋体" w:hAnsi="宋体" w:eastAsia="宋体" w:cs="宋体"/>
                <w:sz w:val="18"/>
                <w:szCs w:val="18"/>
              </w:rPr>
            </w:pPr>
          </w:p>
        </w:tc>
      </w:tr>
      <w:tr w14:paraId="6CAC10FB">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170E956F">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25877F0B">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5A2199EB">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建设再生资源回收站点个数</w:t>
            </w:r>
          </w:p>
        </w:tc>
        <w:tc>
          <w:tcPr>
            <w:tcW w:w="1276" w:type="dxa"/>
            <w:tcBorders>
              <w:top w:val="nil"/>
              <w:left w:val="nil"/>
              <w:bottom w:val="single" w:color="auto" w:sz="4" w:space="0"/>
              <w:right w:val="single" w:color="auto" w:sz="4" w:space="0"/>
            </w:tcBorders>
            <w:noWrap/>
            <w:vAlign w:val="center"/>
          </w:tcPr>
          <w:p w14:paraId="561AACCE">
            <w:pPr>
              <w:jc w:val="center"/>
              <w:rPr>
                <w:rFonts w:hint="eastAsia" w:ascii="宋体" w:hAnsi="宋体" w:eastAsia="宋体" w:cs="宋体"/>
                <w:sz w:val="18"/>
                <w:szCs w:val="18"/>
              </w:rPr>
            </w:pPr>
            <w:r>
              <w:rPr>
                <w:rFonts w:hint="eastAsia" w:ascii="宋体" w:hAnsi="宋体" w:eastAsia="宋体" w:cs="宋体"/>
                <w:sz w:val="18"/>
                <w:szCs w:val="18"/>
              </w:rPr>
              <w:t>&gt;=10个</w:t>
            </w:r>
          </w:p>
        </w:tc>
        <w:tc>
          <w:tcPr>
            <w:tcW w:w="1701" w:type="dxa"/>
            <w:tcBorders>
              <w:top w:val="nil"/>
              <w:left w:val="nil"/>
              <w:bottom w:val="single" w:color="auto" w:sz="4" w:space="0"/>
              <w:right w:val="single" w:color="auto" w:sz="4" w:space="0"/>
            </w:tcBorders>
            <w:noWrap/>
            <w:vAlign w:val="center"/>
          </w:tcPr>
          <w:p w14:paraId="58642BE8">
            <w:pPr>
              <w:rPr>
                <w:rFonts w:hint="eastAsia" w:ascii="宋体" w:hAnsi="宋体" w:eastAsia="宋体" w:cs="宋体"/>
                <w:sz w:val="18"/>
                <w:szCs w:val="18"/>
                <w:lang w:eastAsia="zh-CN"/>
              </w:rPr>
            </w:pPr>
            <w:r>
              <w:rPr>
                <w:rFonts w:hint="eastAsia" w:ascii="宋体" w:hAnsi="宋体" w:eastAsia="宋体" w:cs="宋体"/>
                <w:sz w:val="18"/>
                <w:szCs w:val="18"/>
                <w:lang w:eastAsia="zh-CN"/>
              </w:rPr>
              <w:t>关于印发乌鲁木齐市再生资源回收利用体系建设三年行动方案的通知</w:t>
            </w:r>
          </w:p>
        </w:tc>
        <w:tc>
          <w:tcPr>
            <w:tcW w:w="1134" w:type="dxa"/>
            <w:tcBorders>
              <w:top w:val="nil"/>
              <w:left w:val="nil"/>
              <w:bottom w:val="single" w:color="auto" w:sz="4" w:space="0"/>
              <w:right w:val="single" w:color="auto" w:sz="4" w:space="0"/>
            </w:tcBorders>
            <w:noWrap/>
            <w:vAlign w:val="center"/>
          </w:tcPr>
          <w:p w14:paraId="15F551A7">
            <w:pPr>
              <w:jc w:val="center"/>
              <w:rPr>
                <w:rFonts w:hint="eastAsia" w:ascii="宋体" w:hAnsi="宋体" w:eastAsia="宋体" w:cs="宋体"/>
                <w:sz w:val="18"/>
                <w:szCs w:val="18"/>
              </w:rPr>
            </w:pPr>
            <w:r>
              <w:rPr>
                <w:rFonts w:hint="eastAsia" w:ascii="宋体" w:hAnsi="宋体" w:eastAsia="宋体" w:cs="宋体"/>
                <w:sz w:val="18"/>
                <w:szCs w:val="18"/>
              </w:rPr>
              <w:t>18个</w:t>
            </w:r>
          </w:p>
        </w:tc>
        <w:tc>
          <w:tcPr>
            <w:tcW w:w="992" w:type="dxa"/>
            <w:tcBorders>
              <w:top w:val="nil"/>
              <w:left w:val="nil"/>
              <w:bottom w:val="single" w:color="auto" w:sz="4" w:space="0"/>
              <w:right w:val="single" w:color="auto" w:sz="4" w:space="0"/>
            </w:tcBorders>
            <w:noWrap/>
            <w:vAlign w:val="center"/>
          </w:tcPr>
          <w:p w14:paraId="7F4A3C7F">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5DFFC341">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37F27CD7">
            <w:pPr>
              <w:jc w:val="center"/>
              <w:rPr>
                <w:rFonts w:hint="eastAsia" w:ascii="宋体" w:hAnsi="宋体" w:eastAsia="宋体" w:cs="宋体"/>
                <w:sz w:val="18"/>
                <w:szCs w:val="18"/>
              </w:rPr>
            </w:pPr>
          </w:p>
        </w:tc>
      </w:tr>
      <w:tr w14:paraId="3D43B791">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201454F6">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470C2ADF">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38D58E1F">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打造一刻钟便民生活圈个数</w:t>
            </w:r>
          </w:p>
        </w:tc>
        <w:tc>
          <w:tcPr>
            <w:tcW w:w="1276" w:type="dxa"/>
            <w:tcBorders>
              <w:top w:val="single" w:color="auto" w:sz="4" w:space="0"/>
              <w:left w:val="nil"/>
              <w:bottom w:val="single" w:color="auto" w:sz="4" w:space="0"/>
              <w:right w:val="single" w:color="auto" w:sz="4" w:space="0"/>
            </w:tcBorders>
            <w:noWrap/>
            <w:vAlign w:val="center"/>
          </w:tcPr>
          <w:p w14:paraId="73B9FE52">
            <w:pPr>
              <w:jc w:val="center"/>
              <w:rPr>
                <w:rFonts w:hint="eastAsia" w:ascii="宋体" w:hAnsi="宋体" w:eastAsia="宋体" w:cs="宋体"/>
                <w:sz w:val="18"/>
                <w:szCs w:val="18"/>
              </w:rPr>
            </w:pPr>
            <w:r>
              <w:rPr>
                <w:rFonts w:hint="eastAsia" w:ascii="宋体" w:hAnsi="宋体" w:eastAsia="宋体" w:cs="宋体"/>
                <w:sz w:val="18"/>
                <w:szCs w:val="18"/>
              </w:rPr>
              <w:t>&gt;=2个</w:t>
            </w:r>
          </w:p>
        </w:tc>
        <w:tc>
          <w:tcPr>
            <w:tcW w:w="1701" w:type="dxa"/>
            <w:tcBorders>
              <w:top w:val="single" w:color="auto" w:sz="4" w:space="0"/>
              <w:left w:val="nil"/>
              <w:bottom w:val="single" w:color="auto" w:sz="4" w:space="0"/>
              <w:right w:val="single" w:color="auto" w:sz="4" w:space="0"/>
            </w:tcBorders>
            <w:noWrap/>
            <w:vAlign w:val="center"/>
          </w:tcPr>
          <w:p w14:paraId="415E7F6F">
            <w:pPr>
              <w:rPr>
                <w:rFonts w:hint="eastAsia" w:ascii="宋体" w:hAnsi="宋体" w:eastAsia="宋体" w:cs="宋体"/>
                <w:sz w:val="18"/>
                <w:szCs w:val="18"/>
                <w:lang w:eastAsia="zh-CN"/>
              </w:rPr>
            </w:pPr>
            <w:r>
              <w:rPr>
                <w:rFonts w:hint="eastAsia" w:ascii="宋体" w:hAnsi="宋体" w:eastAsia="宋体" w:cs="宋体"/>
                <w:sz w:val="18"/>
                <w:szCs w:val="18"/>
                <w:lang w:eastAsia="zh-CN"/>
              </w:rPr>
              <w:t>关于做好2024年城市一刻钟便民生活圈建设工作的通知</w:t>
            </w:r>
          </w:p>
        </w:tc>
        <w:tc>
          <w:tcPr>
            <w:tcW w:w="1134" w:type="dxa"/>
            <w:tcBorders>
              <w:top w:val="single" w:color="auto" w:sz="4" w:space="0"/>
              <w:left w:val="nil"/>
              <w:bottom w:val="single" w:color="auto" w:sz="4" w:space="0"/>
              <w:right w:val="single" w:color="auto" w:sz="4" w:space="0"/>
            </w:tcBorders>
            <w:noWrap/>
            <w:vAlign w:val="center"/>
          </w:tcPr>
          <w:p w14:paraId="614B91AD">
            <w:pPr>
              <w:jc w:val="center"/>
              <w:rPr>
                <w:rFonts w:hint="eastAsia" w:ascii="宋体" w:hAnsi="宋体" w:eastAsia="宋体" w:cs="宋体"/>
                <w:sz w:val="18"/>
                <w:szCs w:val="18"/>
              </w:rPr>
            </w:pPr>
            <w:r>
              <w:rPr>
                <w:rFonts w:hint="eastAsia" w:ascii="宋体" w:hAnsi="宋体" w:eastAsia="宋体" w:cs="宋体"/>
                <w:sz w:val="18"/>
                <w:szCs w:val="18"/>
              </w:rPr>
              <w:t>2个</w:t>
            </w:r>
          </w:p>
        </w:tc>
        <w:tc>
          <w:tcPr>
            <w:tcW w:w="992" w:type="dxa"/>
            <w:tcBorders>
              <w:top w:val="single" w:color="auto" w:sz="4" w:space="0"/>
              <w:left w:val="nil"/>
              <w:bottom w:val="single" w:color="auto" w:sz="4" w:space="0"/>
              <w:right w:val="single" w:color="auto" w:sz="4" w:space="0"/>
            </w:tcBorders>
            <w:noWrap/>
            <w:vAlign w:val="center"/>
          </w:tcPr>
          <w:p w14:paraId="2B207736">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178A1289">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26F5C2ED">
            <w:pPr>
              <w:jc w:val="center"/>
              <w:rPr>
                <w:rFonts w:hint="eastAsia" w:ascii="宋体" w:hAnsi="宋体" w:eastAsia="宋体" w:cs="宋体"/>
                <w:sz w:val="18"/>
                <w:szCs w:val="18"/>
              </w:rPr>
            </w:pPr>
          </w:p>
        </w:tc>
      </w:tr>
      <w:tr w14:paraId="704E369B">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69E61BBA">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3BC2978C">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333C9BB2">
            <w:pPr>
              <w:jc w:val="center"/>
              <w:rPr>
                <w:rFonts w:hint="eastAsia" w:ascii="宋体" w:hAnsi="宋体" w:eastAsia="宋体" w:cs="宋体"/>
                <w:sz w:val="18"/>
                <w:szCs w:val="18"/>
              </w:rPr>
            </w:pPr>
            <w:r>
              <w:rPr>
                <w:rFonts w:hint="eastAsia" w:ascii="宋体" w:hAnsi="宋体" w:eastAsia="宋体" w:cs="宋体"/>
                <w:sz w:val="18"/>
                <w:szCs w:val="18"/>
              </w:rPr>
              <w:t>99.48</w:t>
            </w:r>
          </w:p>
        </w:tc>
        <w:tc>
          <w:tcPr>
            <w:tcW w:w="284" w:type="dxa"/>
            <w:tcBorders>
              <w:top w:val="nil"/>
              <w:left w:val="nil"/>
              <w:bottom w:val="nil"/>
              <w:right w:val="nil"/>
            </w:tcBorders>
            <w:noWrap/>
            <w:vAlign w:val="center"/>
          </w:tcPr>
          <w:p w14:paraId="372DBA3B">
            <w:pPr>
              <w:jc w:val="center"/>
              <w:rPr>
                <w:rFonts w:hint="eastAsia" w:ascii="宋体" w:hAnsi="宋体" w:eastAsia="宋体" w:cs="宋体"/>
                <w:sz w:val="18"/>
                <w:szCs w:val="18"/>
              </w:rPr>
            </w:pPr>
          </w:p>
        </w:tc>
      </w:tr>
    </w:tbl>
    <w:p w14:paraId="0391DBF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DB0256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695C9D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99729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722A16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促销宣传活动制作海报、版面等专项经费</w:t>
            </w:r>
          </w:p>
        </w:tc>
      </w:tr>
      <w:tr w14:paraId="76E1270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B6C77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B3126C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乌鲁木齐市米东区商务局</w:t>
            </w:r>
          </w:p>
        </w:tc>
        <w:tc>
          <w:tcPr>
            <w:tcW w:w="1275" w:type="dxa"/>
            <w:gridSpan w:val="2"/>
            <w:tcBorders>
              <w:top w:val="nil"/>
              <w:left w:val="nil"/>
              <w:bottom w:val="single" w:color="auto" w:sz="4" w:space="0"/>
              <w:right w:val="single" w:color="000000" w:sz="4" w:space="0"/>
            </w:tcBorders>
            <w:vAlign w:val="center"/>
          </w:tcPr>
          <w:p w14:paraId="37AA038D">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0570ED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乌鲁木齐市米东区商务局</w:t>
            </w:r>
          </w:p>
        </w:tc>
      </w:tr>
      <w:tr w14:paraId="4EC4B3D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6A3C2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35B9D58">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2CB010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97B04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F6D25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9473B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CCC8D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E4CAE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CA9300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B3552D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7B70F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4E784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8.80</w:t>
            </w:r>
          </w:p>
        </w:tc>
        <w:tc>
          <w:tcPr>
            <w:tcW w:w="1125" w:type="dxa"/>
            <w:tcBorders>
              <w:top w:val="nil"/>
              <w:left w:val="nil"/>
              <w:bottom w:val="single" w:color="auto" w:sz="4" w:space="0"/>
              <w:right w:val="single" w:color="auto" w:sz="4" w:space="0"/>
            </w:tcBorders>
            <w:noWrap/>
            <w:vAlign w:val="center"/>
          </w:tcPr>
          <w:p w14:paraId="00E409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8.80</w:t>
            </w:r>
          </w:p>
        </w:tc>
        <w:tc>
          <w:tcPr>
            <w:tcW w:w="1275" w:type="dxa"/>
            <w:gridSpan w:val="2"/>
            <w:tcBorders>
              <w:top w:val="single" w:color="auto" w:sz="4" w:space="0"/>
              <w:left w:val="nil"/>
              <w:bottom w:val="single" w:color="auto" w:sz="4" w:space="0"/>
              <w:right w:val="single" w:color="000000" w:sz="4" w:space="0"/>
            </w:tcBorders>
            <w:noWrap/>
            <w:vAlign w:val="center"/>
          </w:tcPr>
          <w:p w14:paraId="475378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6.51</w:t>
            </w:r>
          </w:p>
        </w:tc>
        <w:tc>
          <w:tcPr>
            <w:tcW w:w="1134" w:type="dxa"/>
            <w:gridSpan w:val="2"/>
            <w:tcBorders>
              <w:top w:val="single" w:color="auto" w:sz="4" w:space="0"/>
              <w:left w:val="nil"/>
              <w:bottom w:val="single" w:color="auto" w:sz="4" w:space="0"/>
              <w:right w:val="single" w:color="auto" w:sz="4" w:space="0"/>
            </w:tcBorders>
            <w:vAlign w:val="center"/>
          </w:tcPr>
          <w:p w14:paraId="684C4E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26191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73.98%</w:t>
            </w:r>
          </w:p>
        </w:tc>
        <w:tc>
          <w:tcPr>
            <w:tcW w:w="1275" w:type="dxa"/>
            <w:tcBorders>
              <w:top w:val="nil"/>
              <w:left w:val="nil"/>
              <w:bottom w:val="single" w:color="auto" w:sz="4" w:space="0"/>
              <w:right w:val="single" w:color="auto" w:sz="4" w:space="0"/>
            </w:tcBorders>
            <w:vAlign w:val="center"/>
          </w:tcPr>
          <w:p w14:paraId="042864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7.40分</w:t>
            </w:r>
          </w:p>
        </w:tc>
      </w:tr>
      <w:tr w14:paraId="73AC7AD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1A5727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323F4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57AD1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8.80</w:t>
            </w:r>
          </w:p>
        </w:tc>
        <w:tc>
          <w:tcPr>
            <w:tcW w:w="1125" w:type="dxa"/>
            <w:tcBorders>
              <w:top w:val="nil"/>
              <w:left w:val="nil"/>
              <w:bottom w:val="single" w:color="auto" w:sz="4" w:space="0"/>
              <w:right w:val="single" w:color="auto" w:sz="4" w:space="0"/>
            </w:tcBorders>
            <w:noWrap/>
            <w:vAlign w:val="center"/>
          </w:tcPr>
          <w:p w14:paraId="03BD2C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8.80</w:t>
            </w:r>
          </w:p>
        </w:tc>
        <w:tc>
          <w:tcPr>
            <w:tcW w:w="1275" w:type="dxa"/>
            <w:gridSpan w:val="2"/>
            <w:tcBorders>
              <w:top w:val="single" w:color="auto" w:sz="4" w:space="0"/>
              <w:left w:val="nil"/>
              <w:bottom w:val="single" w:color="auto" w:sz="4" w:space="0"/>
              <w:right w:val="single" w:color="000000" w:sz="4" w:space="0"/>
            </w:tcBorders>
            <w:noWrap/>
            <w:vAlign w:val="center"/>
          </w:tcPr>
          <w:p w14:paraId="0B5592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6.51</w:t>
            </w:r>
          </w:p>
        </w:tc>
        <w:tc>
          <w:tcPr>
            <w:tcW w:w="1134" w:type="dxa"/>
            <w:gridSpan w:val="2"/>
            <w:tcBorders>
              <w:top w:val="single" w:color="auto" w:sz="4" w:space="0"/>
              <w:left w:val="nil"/>
              <w:bottom w:val="single" w:color="auto" w:sz="4" w:space="0"/>
              <w:right w:val="single" w:color="auto" w:sz="4" w:space="0"/>
            </w:tcBorders>
            <w:vAlign w:val="center"/>
          </w:tcPr>
          <w:p w14:paraId="6CE78F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A890B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68191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4ECD01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AF25D9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EFDDD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C30CB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26F98C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4EA27E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4AE693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AAEBA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C3E81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682552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BF7DA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E993D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7E8BC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3AB39E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1096F44">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1FE631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制作“双十一”促销活动宣传海报、“以旧换新”广告制作、宣传手册、宣传彩页、拟举办“滑轮霹雳舞大赛”及特色美食嘉年华等活动。</w:t>
            </w:r>
          </w:p>
        </w:tc>
        <w:tc>
          <w:tcPr>
            <w:tcW w:w="4677" w:type="dxa"/>
            <w:gridSpan w:val="7"/>
            <w:tcBorders>
              <w:top w:val="single" w:color="auto" w:sz="4" w:space="0"/>
              <w:left w:val="nil"/>
              <w:bottom w:val="single" w:color="auto" w:sz="4" w:space="0"/>
              <w:right w:val="single" w:color="000000" w:sz="4" w:space="0"/>
            </w:tcBorders>
          </w:tcPr>
          <w:p w14:paraId="472C259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商务局积极申报微信公众号，加大消费政策和活动宣传力度，通过各级媒体宣传报道30余次，利用人员密集场所LED大屏大力宣传活动政策；组织动员全区机关、企事业单位转发以旧换新宣传海报、视频、明白书等相关政策覆盖43.46万人次；开展线下宣传活动。成立宣讲小分队，采取国旗下宣讲、集中宣讲等60余场次；印制各类宣传手册、海报3000余份，在机关单位、小区、商超等人员密集地张贴，对限上企业和各类活动进行大力宣传；在上沙河立交桥处制作路牌、广告扇费用总计65103元。</w:t>
            </w:r>
          </w:p>
        </w:tc>
      </w:tr>
      <w:tr w14:paraId="7AE251BB">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5AD9D652">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1FFDB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F93F9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AE1A6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DB3BB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3212D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AE7EE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3EB7EE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13C8C6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B0A7226">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76673BC">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072D66E">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098F95A">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7A2BECC">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97E6E6E">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25F2F06">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89BFACE">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2F193F8">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8C6507C">
            <w:pPr>
              <w:rPr>
                <w:rFonts w:hint="eastAsia" w:ascii="宋体" w:hAnsi="宋体" w:eastAsia="宋体" w:cs="宋体"/>
                <w:color w:val="000000"/>
                <w:sz w:val="18"/>
                <w:szCs w:val="18"/>
                <w:lang w:eastAsia="zh-CN"/>
              </w:rPr>
            </w:pPr>
          </w:p>
        </w:tc>
      </w:tr>
      <w:tr w14:paraId="343B343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AC9F21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05A72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58EECB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C043671">
            <w:pPr>
              <w:rPr>
                <w:rFonts w:hint="eastAsia" w:ascii="宋体" w:hAnsi="宋体" w:eastAsia="宋体" w:cs="宋体"/>
                <w:color w:val="000000"/>
                <w:sz w:val="18"/>
                <w:szCs w:val="18"/>
              </w:rPr>
            </w:pPr>
            <w:r>
              <w:rPr>
                <w:rFonts w:hint="eastAsia" w:ascii="宋体" w:hAnsi="宋体" w:eastAsia="宋体" w:cs="宋体"/>
                <w:color w:val="000000"/>
                <w:sz w:val="18"/>
                <w:szCs w:val="18"/>
              </w:rPr>
              <w:t>宣传手册制作数量</w:t>
            </w:r>
          </w:p>
        </w:tc>
        <w:tc>
          <w:tcPr>
            <w:tcW w:w="1125" w:type="dxa"/>
            <w:tcBorders>
              <w:top w:val="nil"/>
              <w:left w:val="nil"/>
              <w:bottom w:val="single" w:color="auto" w:sz="4" w:space="0"/>
              <w:right w:val="single" w:color="auto" w:sz="4" w:space="0"/>
            </w:tcBorders>
            <w:vAlign w:val="center"/>
          </w:tcPr>
          <w:p w14:paraId="28A972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&gt;=3000个</w:t>
            </w:r>
          </w:p>
        </w:tc>
        <w:tc>
          <w:tcPr>
            <w:tcW w:w="1229" w:type="dxa"/>
            <w:tcBorders>
              <w:top w:val="nil"/>
              <w:left w:val="nil"/>
              <w:bottom w:val="single" w:color="auto" w:sz="4" w:space="0"/>
              <w:right w:val="single" w:color="auto" w:sz="4" w:space="0"/>
            </w:tcBorders>
            <w:vAlign w:val="center"/>
          </w:tcPr>
          <w:p w14:paraId="07A615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3000个</w:t>
            </w:r>
          </w:p>
        </w:tc>
        <w:tc>
          <w:tcPr>
            <w:tcW w:w="755" w:type="dxa"/>
            <w:gridSpan w:val="2"/>
            <w:tcBorders>
              <w:top w:val="single" w:color="auto" w:sz="4" w:space="0"/>
              <w:left w:val="nil"/>
              <w:bottom w:val="single" w:color="auto" w:sz="4" w:space="0"/>
              <w:right w:val="single" w:color="000000" w:sz="4" w:space="0"/>
            </w:tcBorders>
            <w:vAlign w:val="center"/>
          </w:tcPr>
          <w:p w14:paraId="09A46E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4302E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76CCE82">
            <w:pPr>
              <w:jc w:val="center"/>
              <w:rPr>
                <w:rFonts w:hint="eastAsia" w:ascii="宋体" w:hAnsi="宋体" w:eastAsia="宋体" w:cs="宋体"/>
                <w:color w:val="000000"/>
                <w:sz w:val="18"/>
                <w:szCs w:val="18"/>
              </w:rPr>
            </w:pPr>
          </w:p>
        </w:tc>
      </w:tr>
      <w:tr w14:paraId="11062F5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4EAD1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B5260E3">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25B93A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E3CF198">
            <w:pPr>
              <w:rPr>
                <w:rFonts w:hint="eastAsia" w:ascii="宋体" w:hAnsi="宋体" w:eastAsia="宋体" w:cs="宋体"/>
                <w:color w:val="000000"/>
                <w:sz w:val="18"/>
                <w:szCs w:val="18"/>
              </w:rPr>
            </w:pPr>
            <w:r>
              <w:rPr>
                <w:rFonts w:hint="eastAsia" w:ascii="宋体" w:hAnsi="宋体" w:eastAsia="宋体" w:cs="宋体"/>
                <w:color w:val="000000"/>
                <w:sz w:val="18"/>
                <w:szCs w:val="18"/>
              </w:rPr>
              <w:t>路牌广告制作数量</w:t>
            </w:r>
          </w:p>
        </w:tc>
        <w:tc>
          <w:tcPr>
            <w:tcW w:w="1125" w:type="dxa"/>
            <w:tcBorders>
              <w:top w:val="nil"/>
              <w:left w:val="nil"/>
              <w:bottom w:val="single" w:color="auto" w:sz="4" w:space="0"/>
              <w:right w:val="single" w:color="auto" w:sz="4" w:space="0"/>
            </w:tcBorders>
            <w:vAlign w:val="center"/>
          </w:tcPr>
          <w:p w14:paraId="430D32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1229" w:type="dxa"/>
            <w:tcBorders>
              <w:top w:val="nil"/>
              <w:left w:val="nil"/>
              <w:bottom w:val="single" w:color="auto" w:sz="4" w:space="0"/>
              <w:right w:val="single" w:color="auto" w:sz="4" w:space="0"/>
            </w:tcBorders>
            <w:vAlign w:val="center"/>
          </w:tcPr>
          <w:p w14:paraId="6C537F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55" w:type="dxa"/>
            <w:gridSpan w:val="2"/>
            <w:tcBorders>
              <w:top w:val="single" w:color="auto" w:sz="4" w:space="0"/>
              <w:left w:val="nil"/>
              <w:bottom w:val="single" w:color="auto" w:sz="4" w:space="0"/>
              <w:right w:val="single" w:color="000000" w:sz="4" w:space="0"/>
            </w:tcBorders>
            <w:vAlign w:val="center"/>
          </w:tcPr>
          <w:p w14:paraId="5A53C7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B1205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D729D37">
            <w:pPr>
              <w:jc w:val="center"/>
              <w:rPr>
                <w:rFonts w:hint="eastAsia" w:ascii="宋体" w:hAnsi="宋体" w:eastAsia="宋体" w:cs="宋体"/>
                <w:color w:val="000000"/>
                <w:sz w:val="18"/>
                <w:szCs w:val="18"/>
              </w:rPr>
            </w:pPr>
          </w:p>
        </w:tc>
      </w:tr>
      <w:tr w14:paraId="55745DF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5390DF">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1E99A8B">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59DAB7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6ACCDB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路牌广告制作张贴验收合格率</w:t>
            </w:r>
          </w:p>
        </w:tc>
        <w:tc>
          <w:tcPr>
            <w:tcW w:w="1125" w:type="dxa"/>
            <w:tcBorders>
              <w:top w:val="nil"/>
              <w:left w:val="nil"/>
              <w:bottom w:val="single" w:color="auto" w:sz="4" w:space="0"/>
              <w:right w:val="single" w:color="auto" w:sz="4" w:space="0"/>
            </w:tcBorders>
            <w:vAlign w:val="center"/>
          </w:tcPr>
          <w:p w14:paraId="1E5D43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1229" w:type="dxa"/>
            <w:tcBorders>
              <w:top w:val="nil"/>
              <w:left w:val="nil"/>
              <w:bottom w:val="single" w:color="auto" w:sz="4" w:space="0"/>
              <w:right w:val="single" w:color="auto" w:sz="4" w:space="0"/>
            </w:tcBorders>
            <w:vAlign w:val="center"/>
          </w:tcPr>
          <w:p w14:paraId="7AEA7A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072B7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BFEBD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6B5BF3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制定目标值基于保守预测及基本历史数据</w:t>
            </w:r>
          </w:p>
        </w:tc>
      </w:tr>
      <w:tr w14:paraId="128FCC8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44C7A8">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25AC6175">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61238EDB">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C2C6118">
            <w:pPr>
              <w:rPr>
                <w:rFonts w:hint="eastAsia" w:ascii="宋体" w:hAnsi="宋体" w:eastAsia="宋体" w:cs="宋体"/>
                <w:color w:val="000000"/>
                <w:sz w:val="18"/>
                <w:szCs w:val="18"/>
              </w:rPr>
            </w:pPr>
            <w:r>
              <w:rPr>
                <w:rFonts w:hint="eastAsia" w:ascii="宋体" w:hAnsi="宋体" w:eastAsia="宋体" w:cs="宋体"/>
                <w:color w:val="000000"/>
                <w:sz w:val="18"/>
                <w:szCs w:val="18"/>
              </w:rPr>
              <w:t>宣传手册验收合格率</w:t>
            </w:r>
          </w:p>
        </w:tc>
        <w:tc>
          <w:tcPr>
            <w:tcW w:w="1125" w:type="dxa"/>
            <w:tcBorders>
              <w:top w:val="nil"/>
              <w:left w:val="nil"/>
              <w:bottom w:val="single" w:color="auto" w:sz="4" w:space="0"/>
              <w:right w:val="single" w:color="auto" w:sz="4" w:space="0"/>
            </w:tcBorders>
            <w:vAlign w:val="center"/>
          </w:tcPr>
          <w:p w14:paraId="3D95A1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304F2B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84CB8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2499A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CA7F5D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制定目标值基于保守预测及基本历史数据</w:t>
            </w:r>
          </w:p>
        </w:tc>
      </w:tr>
      <w:tr w14:paraId="4DBA399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A6BF3F">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6503AA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589FB0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146014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制作道路广告、广告扇</w:t>
            </w:r>
          </w:p>
        </w:tc>
        <w:tc>
          <w:tcPr>
            <w:tcW w:w="1125" w:type="dxa"/>
            <w:tcBorders>
              <w:top w:val="nil"/>
              <w:left w:val="nil"/>
              <w:bottom w:val="single" w:color="auto" w:sz="4" w:space="0"/>
              <w:right w:val="single" w:color="auto" w:sz="4" w:space="0"/>
            </w:tcBorders>
            <w:vAlign w:val="center"/>
          </w:tcPr>
          <w:p w14:paraId="75AB96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&lt;=3.80万元</w:t>
            </w:r>
          </w:p>
        </w:tc>
        <w:tc>
          <w:tcPr>
            <w:tcW w:w="1229" w:type="dxa"/>
            <w:tcBorders>
              <w:top w:val="nil"/>
              <w:left w:val="nil"/>
              <w:bottom w:val="single" w:color="auto" w:sz="4" w:space="0"/>
              <w:right w:val="single" w:color="auto" w:sz="4" w:space="0"/>
            </w:tcBorders>
            <w:vAlign w:val="center"/>
          </w:tcPr>
          <w:p w14:paraId="52B1C0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1.85万元</w:t>
            </w:r>
          </w:p>
        </w:tc>
        <w:tc>
          <w:tcPr>
            <w:tcW w:w="755" w:type="dxa"/>
            <w:gridSpan w:val="2"/>
            <w:tcBorders>
              <w:top w:val="single" w:color="auto" w:sz="4" w:space="0"/>
              <w:left w:val="nil"/>
              <w:bottom w:val="single" w:color="auto" w:sz="4" w:space="0"/>
              <w:right w:val="single" w:color="000000" w:sz="4" w:space="0"/>
            </w:tcBorders>
            <w:vAlign w:val="center"/>
          </w:tcPr>
          <w:p w14:paraId="08319F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2BA03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5356D97">
            <w:pPr>
              <w:jc w:val="center"/>
              <w:rPr>
                <w:rFonts w:hint="eastAsia" w:ascii="宋体" w:hAnsi="宋体" w:eastAsia="宋体" w:cs="宋体"/>
                <w:color w:val="000000"/>
                <w:sz w:val="18"/>
                <w:szCs w:val="18"/>
              </w:rPr>
            </w:pPr>
          </w:p>
        </w:tc>
      </w:tr>
      <w:tr w14:paraId="14E4EEE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40E3E5">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073BA4E">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2BF34C0">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C57919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制作以旧换新宣传海报、宣传彩页</w:t>
            </w:r>
          </w:p>
        </w:tc>
        <w:tc>
          <w:tcPr>
            <w:tcW w:w="1125" w:type="dxa"/>
            <w:tcBorders>
              <w:top w:val="nil"/>
              <w:left w:val="nil"/>
              <w:bottom w:val="single" w:color="auto" w:sz="4" w:space="0"/>
              <w:right w:val="single" w:color="auto" w:sz="4" w:space="0"/>
            </w:tcBorders>
            <w:vAlign w:val="center"/>
          </w:tcPr>
          <w:p w14:paraId="167991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&lt;=5万元</w:t>
            </w:r>
          </w:p>
        </w:tc>
        <w:tc>
          <w:tcPr>
            <w:tcW w:w="1229" w:type="dxa"/>
            <w:tcBorders>
              <w:top w:val="nil"/>
              <w:left w:val="nil"/>
              <w:bottom w:val="single" w:color="auto" w:sz="4" w:space="0"/>
              <w:right w:val="single" w:color="auto" w:sz="4" w:space="0"/>
            </w:tcBorders>
            <w:vAlign w:val="center"/>
          </w:tcPr>
          <w:p w14:paraId="50C9B2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4.66万元</w:t>
            </w:r>
          </w:p>
        </w:tc>
        <w:tc>
          <w:tcPr>
            <w:tcW w:w="755" w:type="dxa"/>
            <w:gridSpan w:val="2"/>
            <w:tcBorders>
              <w:top w:val="single" w:color="auto" w:sz="4" w:space="0"/>
              <w:left w:val="nil"/>
              <w:bottom w:val="single" w:color="auto" w:sz="4" w:space="0"/>
              <w:right w:val="single" w:color="000000" w:sz="4" w:space="0"/>
            </w:tcBorders>
            <w:vAlign w:val="center"/>
          </w:tcPr>
          <w:p w14:paraId="64E45B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795CF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9588B4E">
            <w:pPr>
              <w:jc w:val="center"/>
              <w:rPr>
                <w:rFonts w:hint="eastAsia" w:ascii="宋体" w:hAnsi="宋体" w:eastAsia="宋体" w:cs="宋体"/>
                <w:color w:val="000000"/>
                <w:sz w:val="18"/>
                <w:szCs w:val="18"/>
              </w:rPr>
            </w:pPr>
          </w:p>
        </w:tc>
      </w:tr>
      <w:tr w14:paraId="349ABC2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ACE26A">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C76CA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54469A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39A9CE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促进米东区居民消费，提高米东区社消零增长</w:t>
            </w:r>
          </w:p>
        </w:tc>
        <w:tc>
          <w:tcPr>
            <w:tcW w:w="1125" w:type="dxa"/>
            <w:tcBorders>
              <w:top w:val="nil"/>
              <w:left w:val="nil"/>
              <w:bottom w:val="single" w:color="auto" w:sz="4" w:space="0"/>
              <w:right w:val="single" w:color="auto" w:sz="4" w:space="0"/>
            </w:tcBorders>
            <w:vAlign w:val="center"/>
          </w:tcPr>
          <w:p w14:paraId="4D82C3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2C9307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F90B9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E196E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0B82CC9">
            <w:pPr>
              <w:jc w:val="center"/>
              <w:rPr>
                <w:rFonts w:hint="eastAsia" w:ascii="宋体" w:hAnsi="宋体" w:eastAsia="宋体" w:cs="宋体"/>
                <w:color w:val="000000"/>
                <w:sz w:val="18"/>
                <w:szCs w:val="18"/>
              </w:rPr>
            </w:pPr>
          </w:p>
        </w:tc>
      </w:tr>
      <w:tr w14:paraId="16BB459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306F7F">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03225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4EE3F6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A765E4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居民知晓“以旧换新”等宣传活动的满意度</w:t>
            </w:r>
          </w:p>
        </w:tc>
        <w:tc>
          <w:tcPr>
            <w:tcW w:w="1125" w:type="dxa"/>
            <w:tcBorders>
              <w:top w:val="nil"/>
              <w:left w:val="nil"/>
              <w:bottom w:val="single" w:color="auto" w:sz="4" w:space="0"/>
              <w:right w:val="single" w:color="auto" w:sz="4" w:space="0"/>
            </w:tcBorders>
            <w:vAlign w:val="center"/>
          </w:tcPr>
          <w:p w14:paraId="4A0CC3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66B23E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5F1F67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2C358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B2A7445">
            <w:pPr>
              <w:jc w:val="center"/>
              <w:rPr>
                <w:rFonts w:hint="eastAsia" w:ascii="宋体" w:hAnsi="宋体" w:eastAsia="宋体" w:cs="宋体"/>
                <w:color w:val="000000"/>
                <w:sz w:val="18"/>
                <w:szCs w:val="18"/>
              </w:rPr>
            </w:pPr>
          </w:p>
        </w:tc>
      </w:tr>
      <w:tr w14:paraId="67569ED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96AB4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D951D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5C933A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97.40分</w:t>
            </w:r>
          </w:p>
        </w:tc>
        <w:tc>
          <w:tcPr>
            <w:tcW w:w="1984" w:type="dxa"/>
            <w:gridSpan w:val="2"/>
            <w:tcBorders>
              <w:top w:val="single" w:color="auto" w:sz="4" w:space="0"/>
              <w:left w:val="nil"/>
              <w:bottom w:val="single" w:color="auto" w:sz="4" w:space="0"/>
              <w:right w:val="single" w:color="auto" w:sz="4" w:space="0"/>
            </w:tcBorders>
            <w:vAlign w:val="center"/>
          </w:tcPr>
          <w:p w14:paraId="174258D5">
            <w:pPr>
              <w:jc w:val="center"/>
              <w:rPr>
                <w:rFonts w:hint="eastAsia" w:ascii="宋体" w:hAnsi="宋体" w:eastAsia="宋体" w:cs="宋体"/>
                <w:b/>
                <w:bCs/>
                <w:color w:val="000000"/>
                <w:sz w:val="18"/>
                <w:szCs w:val="18"/>
              </w:rPr>
            </w:pPr>
          </w:p>
        </w:tc>
      </w:tr>
    </w:tbl>
    <w:p w14:paraId="0119B36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bookmarkEnd w:id="8"/>
      <w:r>
        <w:rPr>
          <w:rFonts w:hint="eastAsia" w:ascii="宋体" w:hAnsi="宋体" w:eastAsia="宋体" w:cs="宋体"/>
          <w:b/>
          <w:bCs/>
          <w:sz w:val="28"/>
          <w:szCs w:val="28"/>
        </w:rPr>
        <w:t>项目支出绩效自评表</w:t>
      </w:r>
    </w:p>
    <w:p w14:paraId="5203F02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79E350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C1FCB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AD1A46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米东功能区块领导小组办公室专项经费</w:t>
            </w:r>
          </w:p>
        </w:tc>
      </w:tr>
      <w:tr w14:paraId="5045313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B652D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38AA1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米东区商务局</w:t>
            </w:r>
          </w:p>
        </w:tc>
        <w:tc>
          <w:tcPr>
            <w:tcW w:w="1275" w:type="dxa"/>
            <w:gridSpan w:val="2"/>
            <w:tcBorders>
              <w:top w:val="nil"/>
              <w:left w:val="nil"/>
              <w:bottom w:val="single" w:color="auto" w:sz="4" w:space="0"/>
              <w:right w:val="single" w:color="000000" w:sz="4" w:space="0"/>
            </w:tcBorders>
            <w:vAlign w:val="center"/>
          </w:tcPr>
          <w:p w14:paraId="0872EA13">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B8AA0B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乌鲁木齐市米东区商务局</w:t>
            </w:r>
          </w:p>
        </w:tc>
      </w:tr>
      <w:tr w14:paraId="38F2928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97E4B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D198D2C">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6849B0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DFD08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F4AA5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DBE48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7F6D3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321F6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9724B0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CEC4BD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02648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7ABD4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8.34</w:t>
            </w:r>
          </w:p>
        </w:tc>
        <w:tc>
          <w:tcPr>
            <w:tcW w:w="1125" w:type="dxa"/>
            <w:tcBorders>
              <w:top w:val="nil"/>
              <w:left w:val="nil"/>
              <w:bottom w:val="single" w:color="auto" w:sz="4" w:space="0"/>
              <w:right w:val="single" w:color="auto" w:sz="4" w:space="0"/>
            </w:tcBorders>
            <w:noWrap/>
            <w:vAlign w:val="center"/>
          </w:tcPr>
          <w:p w14:paraId="160C5F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8.34</w:t>
            </w:r>
          </w:p>
        </w:tc>
        <w:tc>
          <w:tcPr>
            <w:tcW w:w="1275" w:type="dxa"/>
            <w:gridSpan w:val="2"/>
            <w:tcBorders>
              <w:top w:val="single" w:color="auto" w:sz="4" w:space="0"/>
              <w:left w:val="nil"/>
              <w:bottom w:val="single" w:color="auto" w:sz="4" w:space="0"/>
              <w:right w:val="single" w:color="000000" w:sz="4" w:space="0"/>
            </w:tcBorders>
            <w:noWrap/>
            <w:vAlign w:val="center"/>
          </w:tcPr>
          <w:p w14:paraId="73BF38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8.28</w:t>
            </w:r>
          </w:p>
        </w:tc>
        <w:tc>
          <w:tcPr>
            <w:tcW w:w="1134" w:type="dxa"/>
            <w:gridSpan w:val="2"/>
            <w:tcBorders>
              <w:top w:val="single" w:color="auto" w:sz="4" w:space="0"/>
              <w:left w:val="nil"/>
              <w:bottom w:val="single" w:color="auto" w:sz="4" w:space="0"/>
              <w:right w:val="single" w:color="auto" w:sz="4" w:space="0"/>
            </w:tcBorders>
            <w:vAlign w:val="center"/>
          </w:tcPr>
          <w:p w14:paraId="09EB54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40609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99.28%</w:t>
            </w:r>
          </w:p>
        </w:tc>
        <w:tc>
          <w:tcPr>
            <w:tcW w:w="1275" w:type="dxa"/>
            <w:tcBorders>
              <w:top w:val="nil"/>
              <w:left w:val="nil"/>
              <w:bottom w:val="single" w:color="auto" w:sz="4" w:space="0"/>
              <w:right w:val="single" w:color="auto" w:sz="4" w:space="0"/>
            </w:tcBorders>
            <w:vAlign w:val="center"/>
          </w:tcPr>
          <w:p w14:paraId="16997D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9.93分</w:t>
            </w:r>
          </w:p>
        </w:tc>
      </w:tr>
      <w:tr w14:paraId="264DE9B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0B576A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C96C5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F350C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8.34</w:t>
            </w:r>
          </w:p>
        </w:tc>
        <w:tc>
          <w:tcPr>
            <w:tcW w:w="1125" w:type="dxa"/>
            <w:tcBorders>
              <w:top w:val="nil"/>
              <w:left w:val="nil"/>
              <w:bottom w:val="single" w:color="auto" w:sz="4" w:space="0"/>
              <w:right w:val="single" w:color="auto" w:sz="4" w:space="0"/>
            </w:tcBorders>
            <w:noWrap/>
            <w:vAlign w:val="center"/>
          </w:tcPr>
          <w:p w14:paraId="512172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8.34</w:t>
            </w:r>
          </w:p>
        </w:tc>
        <w:tc>
          <w:tcPr>
            <w:tcW w:w="1275" w:type="dxa"/>
            <w:gridSpan w:val="2"/>
            <w:tcBorders>
              <w:top w:val="single" w:color="auto" w:sz="4" w:space="0"/>
              <w:left w:val="nil"/>
              <w:bottom w:val="single" w:color="auto" w:sz="4" w:space="0"/>
              <w:right w:val="single" w:color="000000" w:sz="4" w:space="0"/>
            </w:tcBorders>
            <w:noWrap/>
            <w:vAlign w:val="center"/>
          </w:tcPr>
          <w:p w14:paraId="0B330D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8.28</w:t>
            </w:r>
          </w:p>
        </w:tc>
        <w:tc>
          <w:tcPr>
            <w:tcW w:w="1134" w:type="dxa"/>
            <w:gridSpan w:val="2"/>
            <w:tcBorders>
              <w:top w:val="single" w:color="auto" w:sz="4" w:space="0"/>
              <w:left w:val="nil"/>
              <w:bottom w:val="single" w:color="auto" w:sz="4" w:space="0"/>
              <w:right w:val="single" w:color="auto" w:sz="4" w:space="0"/>
            </w:tcBorders>
            <w:vAlign w:val="center"/>
          </w:tcPr>
          <w:p w14:paraId="40891A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6BFB6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3C562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EC3F47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60B655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E3BE1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A4E45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57D6B9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639D32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20B5BB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6DB8F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00D06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0FC8F9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E86C9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3F3FE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27C98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3E9D7F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41D29CF">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DD9E38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关于米东功能区块领导小组办公室专项经费的请示》，成立新疆自贸试验区乌鲁木齐片区米东功能区块领导小组办公室。为完成新疆自贸试验区乌鲁木齐片区米东功能区块领导小组办公室的日常工作，需要专项经费维持单位运转。专项经费用于：办公经费5万元，用于支付购买办公用品；出差经费3.344万元，主要用于出差考察培训。</w:t>
            </w:r>
          </w:p>
        </w:tc>
        <w:tc>
          <w:tcPr>
            <w:tcW w:w="4677" w:type="dxa"/>
            <w:gridSpan w:val="7"/>
            <w:tcBorders>
              <w:top w:val="single" w:color="auto" w:sz="4" w:space="0"/>
              <w:left w:val="nil"/>
              <w:bottom w:val="single" w:color="auto" w:sz="4" w:space="0"/>
              <w:right w:val="single" w:color="000000" w:sz="4" w:space="0"/>
            </w:tcBorders>
          </w:tcPr>
          <w:p w14:paraId="4AF9958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专项经费用于:办公经费5万元，用于支付购买打印机及硒鼓、学习书籍、制造文头等各类办公用品，出差经费3.2万元，主要用于自贸办工作人员前往西安、杭州、富蕴县出差考察培训，高质量推进自由贸易试验区米东功能区块建设，确保自贸试验区乌鲁木齐片区米东功能区块领导小组办公室正常运行。</w:t>
            </w:r>
          </w:p>
        </w:tc>
      </w:tr>
      <w:tr w14:paraId="15274246">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1D1032D2">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17A6C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09A4A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A3A18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1D855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35369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20DF6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3CAEAD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4517CA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6491467">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1E262EBB">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39DB715C">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2989D74">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3DD4C79">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7BCB95EB">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C436204">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01400DA">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A719D63">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3AFB1E9">
            <w:pPr>
              <w:rPr>
                <w:rFonts w:hint="eastAsia" w:ascii="宋体" w:hAnsi="宋体" w:eastAsia="宋体" w:cs="宋体"/>
                <w:color w:val="000000"/>
                <w:sz w:val="18"/>
                <w:szCs w:val="18"/>
                <w:lang w:eastAsia="zh-CN"/>
              </w:rPr>
            </w:pPr>
          </w:p>
        </w:tc>
      </w:tr>
      <w:tr w14:paraId="2AA6B9F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CA0AEA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B59F4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2517AA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8054853">
            <w:pPr>
              <w:rPr>
                <w:rFonts w:hint="eastAsia" w:ascii="宋体" w:hAnsi="宋体" w:eastAsia="宋体" w:cs="宋体"/>
                <w:color w:val="000000"/>
                <w:sz w:val="18"/>
                <w:szCs w:val="18"/>
              </w:rPr>
            </w:pPr>
            <w:r>
              <w:rPr>
                <w:rFonts w:hint="eastAsia" w:ascii="宋体" w:hAnsi="宋体" w:eastAsia="宋体" w:cs="宋体"/>
                <w:color w:val="000000"/>
                <w:sz w:val="18"/>
                <w:szCs w:val="18"/>
              </w:rPr>
              <w:t>购买办公用品种类</w:t>
            </w:r>
          </w:p>
        </w:tc>
        <w:tc>
          <w:tcPr>
            <w:tcW w:w="1125" w:type="dxa"/>
            <w:tcBorders>
              <w:top w:val="nil"/>
              <w:left w:val="nil"/>
              <w:bottom w:val="single" w:color="auto" w:sz="4" w:space="0"/>
              <w:right w:val="single" w:color="auto" w:sz="4" w:space="0"/>
            </w:tcBorders>
            <w:vAlign w:val="center"/>
          </w:tcPr>
          <w:p w14:paraId="1DB466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&gt;=3种</w:t>
            </w:r>
          </w:p>
        </w:tc>
        <w:tc>
          <w:tcPr>
            <w:tcW w:w="1229" w:type="dxa"/>
            <w:tcBorders>
              <w:top w:val="nil"/>
              <w:left w:val="nil"/>
              <w:bottom w:val="single" w:color="auto" w:sz="4" w:space="0"/>
              <w:right w:val="single" w:color="auto" w:sz="4" w:space="0"/>
            </w:tcBorders>
            <w:vAlign w:val="center"/>
          </w:tcPr>
          <w:p w14:paraId="2CBFC3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6种</w:t>
            </w:r>
          </w:p>
        </w:tc>
        <w:tc>
          <w:tcPr>
            <w:tcW w:w="755" w:type="dxa"/>
            <w:gridSpan w:val="2"/>
            <w:tcBorders>
              <w:top w:val="single" w:color="auto" w:sz="4" w:space="0"/>
              <w:left w:val="nil"/>
              <w:bottom w:val="single" w:color="auto" w:sz="4" w:space="0"/>
              <w:right w:val="single" w:color="000000" w:sz="4" w:space="0"/>
            </w:tcBorders>
            <w:vAlign w:val="center"/>
          </w:tcPr>
          <w:p w14:paraId="53B738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70265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1FDA4C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制定目标基于保守数据，实际办公用品的使用高于预期目标</w:t>
            </w:r>
          </w:p>
        </w:tc>
      </w:tr>
      <w:tr w14:paraId="3F112CC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37F1A5">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23E2F64">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36ACF11C">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3AA9A96">
            <w:pPr>
              <w:rPr>
                <w:rFonts w:hint="eastAsia" w:ascii="宋体" w:hAnsi="宋体" w:eastAsia="宋体" w:cs="宋体"/>
                <w:color w:val="000000"/>
                <w:sz w:val="18"/>
                <w:szCs w:val="18"/>
              </w:rPr>
            </w:pPr>
            <w:r>
              <w:rPr>
                <w:rFonts w:hint="eastAsia" w:ascii="宋体" w:hAnsi="宋体" w:eastAsia="宋体" w:cs="宋体"/>
                <w:color w:val="000000"/>
                <w:sz w:val="18"/>
                <w:szCs w:val="18"/>
              </w:rPr>
              <w:t>出国、国内出差数量</w:t>
            </w:r>
          </w:p>
        </w:tc>
        <w:tc>
          <w:tcPr>
            <w:tcW w:w="1125" w:type="dxa"/>
            <w:tcBorders>
              <w:top w:val="nil"/>
              <w:left w:val="nil"/>
              <w:bottom w:val="single" w:color="auto" w:sz="4" w:space="0"/>
              <w:right w:val="single" w:color="auto" w:sz="4" w:space="0"/>
            </w:tcBorders>
            <w:vAlign w:val="center"/>
          </w:tcPr>
          <w:p w14:paraId="62F937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&gt;=3次</w:t>
            </w:r>
          </w:p>
        </w:tc>
        <w:tc>
          <w:tcPr>
            <w:tcW w:w="1229" w:type="dxa"/>
            <w:tcBorders>
              <w:top w:val="nil"/>
              <w:left w:val="nil"/>
              <w:bottom w:val="single" w:color="auto" w:sz="4" w:space="0"/>
              <w:right w:val="single" w:color="auto" w:sz="4" w:space="0"/>
            </w:tcBorders>
            <w:vAlign w:val="center"/>
          </w:tcPr>
          <w:p w14:paraId="0DC196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6次</w:t>
            </w:r>
          </w:p>
        </w:tc>
        <w:tc>
          <w:tcPr>
            <w:tcW w:w="755" w:type="dxa"/>
            <w:gridSpan w:val="2"/>
            <w:tcBorders>
              <w:top w:val="single" w:color="auto" w:sz="4" w:space="0"/>
              <w:left w:val="nil"/>
              <w:bottom w:val="single" w:color="auto" w:sz="4" w:space="0"/>
              <w:right w:val="single" w:color="000000" w:sz="4" w:space="0"/>
            </w:tcBorders>
            <w:vAlign w:val="center"/>
          </w:tcPr>
          <w:p w14:paraId="56C824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73D19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E174DD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制定目标基于保守数据，因工作中项目进展不如期顺利，需要更</w:t>
            </w:r>
            <w:r>
              <w:rPr>
                <w:rFonts w:hint="eastAsia" w:ascii="宋体" w:hAnsi="宋体" w:eastAsia="宋体" w:cs="宋体"/>
                <w:color w:val="000000"/>
                <w:sz w:val="18"/>
                <w:szCs w:val="18"/>
                <w:lang w:val="en-US" w:eastAsia="zh-CN"/>
              </w:rPr>
              <w:t>多</w:t>
            </w:r>
            <w:r>
              <w:rPr>
                <w:rFonts w:hint="eastAsia" w:ascii="宋体" w:hAnsi="宋体" w:eastAsia="宋体" w:cs="宋体"/>
                <w:color w:val="000000"/>
                <w:sz w:val="18"/>
                <w:szCs w:val="18"/>
                <w:lang w:eastAsia="zh-CN"/>
              </w:rPr>
              <w:t>考察和学习，导致出差次数增加</w:t>
            </w:r>
          </w:p>
        </w:tc>
      </w:tr>
      <w:tr w14:paraId="41B0E8A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EFD70A">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5C196110">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54AD99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2D83333">
            <w:pPr>
              <w:rPr>
                <w:rFonts w:hint="eastAsia" w:ascii="宋体" w:hAnsi="宋体" w:eastAsia="宋体" w:cs="宋体"/>
                <w:color w:val="000000"/>
                <w:sz w:val="18"/>
                <w:szCs w:val="18"/>
              </w:rPr>
            </w:pPr>
            <w:r>
              <w:rPr>
                <w:rFonts w:hint="eastAsia" w:ascii="宋体" w:hAnsi="宋体" w:eastAsia="宋体" w:cs="宋体"/>
                <w:color w:val="000000"/>
                <w:sz w:val="18"/>
                <w:szCs w:val="18"/>
              </w:rPr>
              <w:t>办公用品质量合格率</w:t>
            </w:r>
          </w:p>
        </w:tc>
        <w:tc>
          <w:tcPr>
            <w:tcW w:w="1125" w:type="dxa"/>
            <w:tcBorders>
              <w:top w:val="nil"/>
              <w:left w:val="nil"/>
              <w:bottom w:val="single" w:color="auto" w:sz="4" w:space="0"/>
              <w:right w:val="single" w:color="auto" w:sz="4" w:space="0"/>
            </w:tcBorders>
            <w:vAlign w:val="center"/>
          </w:tcPr>
          <w:p w14:paraId="5B30E5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7DDF2F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63DF4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1D050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F9EFF3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制定目标基于保守数据，导致合格率高于预期目标</w:t>
            </w:r>
          </w:p>
        </w:tc>
      </w:tr>
      <w:tr w14:paraId="4FA79BB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D9E6DF">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547AC6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0511FC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1E19248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用于购买办公用品费用</w:t>
            </w:r>
          </w:p>
        </w:tc>
        <w:tc>
          <w:tcPr>
            <w:tcW w:w="1125" w:type="dxa"/>
            <w:tcBorders>
              <w:top w:val="nil"/>
              <w:left w:val="nil"/>
              <w:bottom w:val="single" w:color="auto" w:sz="4" w:space="0"/>
              <w:right w:val="single" w:color="auto" w:sz="4" w:space="0"/>
            </w:tcBorders>
            <w:vAlign w:val="center"/>
          </w:tcPr>
          <w:p w14:paraId="459AB7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&lt;=5万元</w:t>
            </w:r>
          </w:p>
        </w:tc>
        <w:tc>
          <w:tcPr>
            <w:tcW w:w="1229" w:type="dxa"/>
            <w:tcBorders>
              <w:top w:val="nil"/>
              <w:left w:val="nil"/>
              <w:bottom w:val="single" w:color="auto" w:sz="4" w:space="0"/>
              <w:right w:val="single" w:color="auto" w:sz="4" w:space="0"/>
            </w:tcBorders>
            <w:vAlign w:val="center"/>
          </w:tcPr>
          <w:p w14:paraId="5B81FB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4.7862万元</w:t>
            </w:r>
          </w:p>
        </w:tc>
        <w:tc>
          <w:tcPr>
            <w:tcW w:w="755" w:type="dxa"/>
            <w:gridSpan w:val="2"/>
            <w:tcBorders>
              <w:top w:val="single" w:color="auto" w:sz="4" w:space="0"/>
              <w:left w:val="nil"/>
              <w:bottom w:val="single" w:color="auto" w:sz="4" w:space="0"/>
              <w:right w:val="single" w:color="000000" w:sz="4" w:space="0"/>
            </w:tcBorders>
            <w:vAlign w:val="center"/>
          </w:tcPr>
          <w:p w14:paraId="249315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9B1E5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1984" w:type="dxa"/>
            <w:gridSpan w:val="2"/>
            <w:tcBorders>
              <w:top w:val="single" w:color="auto" w:sz="4" w:space="0"/>
              <w:left w:val="nil"/>
              <w:bottom w:val="single" w:color="auto" w:sz="4" w:space="0"/>
              <w:right w:val="single" w:color="auto" w:sz="4" w:space="0"/>
            </w:tcBorders>
            <w:vAlign w:val="center"/>
          </w:tcPr>
          <w:p w14:paraId="78BB974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制定目标高于基础数据。</w:t>
            </w:r>
          </w:p>
        </w:tc>
      </w:tr>
      <w:tr w14:paraId="2839F49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0CBCED">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3FB8B1F4">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B8FC02C">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44CC2C5B">
            <w:pPr>
              <w:rPr>
                <w:rFonts w:hint="eastAsia" w:ascii="宋体" w:hAnsi="宋体" w:eastAsia="宋体" w:cs="宋体"/>
                <w:color w:val="000000"/>
                <w:sz w:val="18"/>
                <w:szCs w:val="18"/>
              </w:rPr>
            </w:pPr>
            <w:r>
              <w:rPr>
                <w:rFonts w:hint="eastAsia" w:ascii="宋体" w:hAnsi="宋体" w:eastAsia="宋体" w:cs="宋体"/>
                <w:color w:val="000000"/>
                <w:sz w:val="18"/>
                <w:szCs w:val="18"/>
              </w:rPr>
              <w:t>用于支付差旅费费用</w:t>
            </w:r>
          </w:p>
        </w:tc>
        <w:tc>
          <w:tcPr>
            <w:tcW w:w="1125" w:type="dxa"/>
            <w:tcBorders>
              <w:top w:val="nil"/>
              <w:left w:val="nil"/>
              <w:bottom w:val="single" w:color="auto" w:sz="4" w:space="0"/>
              <w:right w:val="single" w:color="auto" w:sz="4" w:space="0"/>
            </w:tcBorders>
            <w:vAlign w:val="center"/>
          </w:tcPr>
          <w:p w14:paraId="67CE66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&lt;=3.344万元</w:t>
            </w:r>
          </w:p>
        </w:tc>
        <w:tc>
          <w:tcPr>
            <w:tcW w:w="1229" w:type="dxa"/>
            <w:tcBorders>
              <w:top w:val="nil"/>
              <w:left w:val="nil"/>
              <w:bottom w:val="single" w:color="auto" w:sz="4" w:space="0"/>
              <w:right w:val="single" w:color="auto" w:sz="4" w:space="0"/>
            </w:tcBorders>
            <w:vAlign w:val="center"/>
          </w:tcPr>
          <w:p w14:paraId="744940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3.4953万元</w:t>
            </w:r>
          </w:p>
        </w:tc>
        <w:tc>
          <w:tcPr>
            <w:tcW w:w="755" w:type="dxa"/>
            <w:gridSpan w:val="2"/>
            <w:tcBorders>
              <w:top w:val="single" w:color="auto" w:sz="4" w:space="0"/>
              <w:left w:val="nil"/>
              <w:bottom w:val="single" w:color="auto" w:sz="4" w:space="0"/>
              <w:right w:val="single" w:color="000000" w:sz="4" w:space="0"/>
            </w:tcBorders>
            <w:vAlign w:val="center"/>
          </w:tcPr>
          <w:p w14:paraId="393D2D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B1777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4E40D50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如如期顺利，需要更考察和学习，导致出差次数增加</w:t>
            </w:r>
          </w:p>
        </w:tc>
      </w:tr>
      <w:tr w14:paraId="361BBE6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6A2145">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4C8B46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160A85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CA910D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高质量推进自由贸易试验区米东功能区块建设</w:t>
            </w:r>
          </w:p>
        </w:tc>
        <w:tc>
          <w:tcPr>
            <w:tcW w:w="1125" w:type="dxa"/>
            <w:tcBorders>
              <w:top w:val="nil"/>
              <w:left w:val="nil"/>
              <w:bottom w:val="single" w:color="auto" w:sz="4" w:space="0"/>
              <w:right w:val="single" w:color="auto" w:sz="4" w:space="0"/>
            </w:tcBorders>
            <w:vAlign w:val="center"/>
          </w:tcPr>
          <w:p w14:paraId="6CF742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有效推进</w:t>
            </w:r>
          </w:p>
        </w:tc>
        <w:tc>
          <w:tcPr>
            <w:tcW w:w="1229" w:type="dxa"/>
            <w:tcBorders>
              <w:top w:val="nil"/>
              <w:left w:val="nil"/>
              <w:bottom w:val="single" w:color="auto" w:sz="4" w:space="0"/>
              <w:right w:val="single" w:color="auto" w:sz="4" w:space="0"/>
            </w:tcBorders>
            <w:vAlign w:val="center"/>
          </w:tcPr>
          <w:p w14:paraId="64BC05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C3BFC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445B95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08837492">
            <w:pPr>
              <w:jc w:val="center"/>
              <w:rPr>
                <w:rFonts w:hint="eastAsia" w:ascii="宋体" w:hAnsi="宋体" w:eastAsia="宋体" w:cs="宋体"/>
                <w:color w:val="000000"/>
                <w:sz w:val="18"/>
                <w:szCs w:val="18"/>
              </w:rPr>
            </w:pPr>
          </w:p>
        </w:tc>
      </w:tr>
      <w:tr w14:paraId="64D234C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658768">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F088DE1">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637B632">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255849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确保自贸试验区乌鲁木齐片区米东功能区块领导小组办公室正常运行</w:t>
            </w:r>
          </w:p>
        </w:tc>
        <w:tc>
          <w:tcPr>
            <w:tcW w:w="1125" w:type="dxa"/>
            <w:tcBorders>
              <w:top w:val="nil"/>
              <w:left w:val="nil"/>
              <w:bottom w:val="single" w:color="auto" w:sz="4" w:space="0"/>
              <w:right w:val="single" w:color="auto" w:sz="4" w:space="0"/>
            </w:tcBorders>
            <w:vAlign w:val="center"/>
          </w:tcPr>
          <w:p w14:paraId="15CD5C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026E99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7FD69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7FB819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54B5FDB0">
            <w:pPr>
              <w:jc w:val="center"/>
              <w:rPr>
                <w:rFonts w:hint="eastAsia" w:ascii="宋体" w:hAnsi="宋体" w:eastAsia="宋体" w:cs="宋体"/>
                <w:color w:val="000000"/>
                <w:sz w:val="18"/>
                <w:szCs w:val="18"/>
              </w:rPr>
            </w:pPr>
          </w:p>
        </w:tc>
      </w:tr>
      <w:tr w14:paraId="7DD76EAB">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F3EDE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9FB0B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0F0392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89.43分</w:t>
            </w:r>
          </w:p>
        </w:tc>
        <w:tc>
          <w:tcPr>
            <w:tcW w:w="1984" w:type="dxa"/>
            <w:gridSpan w:val="2"/>
            <w:tcBorders>
              <w:top w:val="single" w:color="auto" w:sz="4" w:space="0"/>
              <w:left w:val="nil"/>
              <w:bottom w:val="single" w:color="auto" w:sz="4" w:space="0"/>
              <w:right w:val="single" w:color="auto" w:sz="4" w:space="0"/>
            </w:tcBorders>
            <w:vAlign w:val="center"/>
          </w:tcPr>
          <w:p w14:paraId="170D8C98">
            <w:pPr>
              <w:jc w:val="center"/>
              <w:rPr>
                <w:rFonts w:hint="eastAsia" w:ascii="宋体" w:hAnsi="宋体" w:eastAsia="宋体" w:cs="宋体"/>
                <w:b/>
                <w:bCs/>
                <w:color w:val="000000"/>
                <w:sz w:val="18"/>
                <w:szCs w:val="18"/>
              </w:rPr>
            </w:pPr>
          </w:p>
        </w:tc>
      </w:tr>
    </w:tbl>
    <w:p w14:paraId="4CBD92F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FBB65C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6CA325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33CFD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5DDBDE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边境贸易转移支付资金</w:t>
            </w:r>
          </w:p>
        </w:tc>
      </w:tr>
      <w:tr w14:paraId="1240205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5F9DF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E064F1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乌鲁木齐市米东区商务局</w:t>
            </w:r>
          </w:p>
        </w:tc>
        <w:tc>
          <w:tcPr>
            <w:tcW w:w="1275" w:type="dxa"/>
            <w:gridSpan w:val="2"/>
            <w:tcBorders>
              <w:top w:val="nil"/>
              <w:left w:val="nil"/>
              <w:bottom w:val="single" w:color="auto" w:sz="4" w:space="0"/>
              <w:right w:val="single" w:color="000000" w:sz="4" w:space="0"/>
            </w:tcBorders>
            <w:vAlign w:val="center"/>
          </w:tcPr>
          <w:p w14:paraId="63158A2F">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C6322F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乌鲁木齐市米东区商务局</w:t>
            </w:r>
          </w:p>
        </w:tc>
      </w:tr>
      <w:tr w14:paraId="33521AE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1246F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DDE5A02">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62FBD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08EF2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6FF8E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51895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B3946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F441E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E8E67E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FDE7E3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59DA2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B78BF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16.00</w:t>
            </w:r>
          </w:p>
        </w:tc>
        <w:tc>
          <w:tcPr>
            <w:tcW w:w="1125" w:type="dxa"/>
            <w:tcBorders>
              <w:top w:val="nil"/>
              <w:left w:val="nil"/>
              <w:bottom w:val="single" w:color="auto" w:sz="4" w:space="0"/>
              <w:right w:val="single" w:color="auto" w:sz="4" w:space="0"/>
            </w:tcBorders>
            <w:noWrap/>
            <w:vAlign w:val="center"/>
          </w:tcPr>
          <w:p w14:paraId="724AA9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16.00</w:t>
            </w:r>
          </w:p>
        </w:tc>
        <w:tc>
          <w:tcPr>
            <w:tcW w:w="1275" w:type="dxa"/>
            <w:gridSpan w:val="2"/>
            <w:tcBorders>
              <w:top w:val="single" w:color="auto" w:sz="4" w:space="0"/>
              <w:left w:val="nil"/>
              <w:bottom w:val="single" w:color="auto" w:sz="4" w:space="0"/>
              <w:right w:val="single" w:color="000000" w:sz="4" w:space="0"/>
            </w:tcBorders>
            <w:noWrap/>
            <w:vAlign w:val="center"/>
          </w:tcPr>
          <w:p w14:paraId="354D5F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16.00</w:t>
            </w:r>
          </w:p>
        </w:tc>
        <w:tc>
          <w:tcPr>
            <w:tcW w:w="1134" w:type="dxa"/>
            <w:gridSpan w:val="2"/>
            <w:tcBorders>
              <w:top w:val="single" w:color="auto" w:sz="4" w:space="0"/>
              <w:left w:val="nil"/>
              <w:bottom w:val="single" w:color="auto" w:sz="4" w:space="0"/>
              <w:right w:val="single" w:color="auto" w:sz="4" w:space="0"/>
            </w:tcBorders>
            <w:vAlign w:val="center"/>
          </w:tcPr>
          <w:p w14:paraId="74541B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9A215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3A2A94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08BD748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834FE7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4138E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D46DC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16.00</w:t>
            </w:r>
          </w:p>
        </w:tc>
        <w:tc>
          <w:tcPr>
            <w:tcW w:w="1125" w:type="dxa"/>
            <w:tcBorders>
              <w:top w:val="nil"/>
              <w:left w:val="nil"/>
              <w:bottom w:val="single" w:color="auto" w:sz="4" w:space="0"/>
              <w:right w:val="single" w:color="auto" w:sz="4" w:space="0"/>
            </w:tcBorders>
            <w:noWrap/>
            <w:vAlign w:val="center"/>
          </w:tcPr>
          <w:p w14:paraId="128F24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16.00</w:t>
            </w:r>
          </w:p>
        </w:tc>
        <w:tc>
          <w:tcPr>
            <w:tcW w:w="1275" w:type="dxa"/>
            <w:gridSpan w:val="2"/>
            <w:tcBorders>
              <w:top w:val="single" w:color="auto" w:sz="4" w:space="0"/>
              <w:left w:val="nil"/>
              <w:bottom w:val="single" w:color="auto" w:sz="4" w:space="0"/>
              <w:right w:val="single" w:color="000000" w:sz="4" w:space="0"/>
            </w:tcBorders>
            <w:noWrap/>
            <w:vAlign w:val="center"/>
          </w:tcPr>
          <w:p w14:paraId="1877A3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16.00</w:t>
            </w:r>
          </w:p>
        </w:tc>
        <w:tc>
          <w:tcPr>
            <w:tcW w:w="1134" w:type="dxa"/>
            <w:gridSpan w:val="2"/>
            <w:tcBorders>
              <w:top w:val="single" w:color="auto" w:sz="4" w:space="0"/>
              <w:left w:val="nil"/>
              <w:bottom w:val="single" w:color="auto" w:sz="4" w:space="0"/>
              <w:right w:val="single" w:color="auto" w:sz="4" w:space="0"/>
            </w:tcBorders>
            <w:vAlign w:val="center"/>
          </w:tcPr>
          <w:p w14:paraId="40C777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F4ED6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E896A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84B7FD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72C857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208C3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544CC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0B6917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59AD78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6EEDB0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F9D54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1B2ED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83D37E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37302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E3ECA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9D8AB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440E6B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F96486B">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365373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按照文件要求和标准，筛选符合要求企业，安排贷款贴息，支持米东区外贸企业发展，为企业仓储物流进行补贴。保证相关资金拨付合规合法。</w:t>
            </w:r>
          </w:p>
        </w:tc>
        <w:tc>
          <w:tcPr>
            <w:tcW w:w="4677" w:type="dxa"/>
            <w:gridSpan w:val="7"/>
            <w:tcBorders>
              <w:top w:val="single" w:color="auto" w:sz="4" w:space="0"/>
              <w:left w:val="nil"/>
              <w:bottom w:val="single" w:color="auto" w:sz="4" w:space="0"/>
              <w:right w:val="single" w:color="000000" w:sz="4" w:space="0"/>
            </w:tcBorders>
          </w:tcPr>
          <w:p w14:paraId="1D042D0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2024年支持进出口企业提升运输和仓储能力项目2.5万元，支持进出口企业提升运输和仓储能力项目12.38万元，进出口企业提升运输和仓储能力项目5.58万元，总计16万元。</w:t>
            </w:r>
          </w:p>
        </w:tc>
      </w:tr>
      <w:tr w14:paraId="39B5B1CF">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08DF237E">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36150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7609D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07F12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5FF14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5CC3B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712B1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33CEB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317236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26B391E">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0A73340F">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0A0DF79">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6A9C507">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9F86D7F">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3A8D58CF">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B94D577">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7CE0F04">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7231606">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810AA89">
            <w:pPr>
              <w:rPr>
                <w:rFonts w:hint="eastAsia" w:ascii="宋体" w:hAnsi="宋体" w:eastAsia="宋体" w:cs="宋体"/>
                <w:color w:val="000000"/>
                <w:sz w:val="18"/>
                <w:szCs w:val="18"/>
                <w:lang w:eastAsia="zh-CN"/>
              </w:rPr>
            </w:pPr>
          </w:p>
        </w:tc>
      </w:tr>
      <w:tr w14:paraId="3892C2A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67AE43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39264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4238B7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4F197F6">
            <w:pPr>
              <w:rPr>
                <w:rFonts w:hint="eastAsia" w:ascii="宋体" w:hAnsi="宋体" w:eastAsia="宋体" w:cs="宋体"/>
                <w:color w:val="000000"/>
                <w:sz w:val="18"/>
                <w:szCs w:val="18"/>
              </w:rPr>
            </w:pPr>
            <w:r>
              <w:rPr>
                <w:rFonts w:hint="eastAsia" w:ascii="宋体" w:hAnsi="宋体" w:eastAsia="宋体" w:cs="宋体"/>
                <w:color w:val="000000"/>
                <w:sz w:val="18"/>
                <w:szCs w:val="18"/>
              </w:rPr>
              <w:t>安排贴息补贴企业数</w:t>
            </w:r>
          </w:p>
        </w:tc>
        <w:tc>
          <w:tcPr>
            <w:tcW w:w="1125" w:type="dxa"/>
            <w:tcBorders>
              <w:top w:val="nil"/>
              <w:left w:val="nil"/>
              <w:bottom w:val="single" w:color="auto" w:sz="4" w:space="0"/>
              <w:right w:val="single" w:color="auto" w:sz="4" w:space="0"/>
            </w:tcBorders>
            <w:vAlign w:val="center"/>
          </w:tcPr>
          <w:p w14:paraId="135F7E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1229" w:type="dxa"/>
            <w:tcBorders>
              <w:top w:val="nil"/>
              <w:left w:val="nil"/>
              <w:bottom w:val="single" w:color="auto" w:sz="4" w:space="0"/>
              <w:right w:val="single" w:color="auto" w:sz="4" w:space="0"/>
            </w:tcBorders>
            <w:vAlign w:val="center"/>
          </w:tcPr>
          <w:p w14:paraId="5187AE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55" w:type="dxa"/>
            <w:gridSpan w:val="2"/>
            <w:tcBorders>
              <w:top w:val="single" w:color="auto" w:sz="4" w:space="0"/>
              <w:left w:val="nil"/>
              <w:bottom w:val="single" w:color="auto" w:sz="4" w:space="0"/>
              <w:right w:val="single" w:color="000000" w:sz="4" w:space="0"/>
            </w:tcBorders>
            <w:vAlign w:val="center"/>
          </w:tcPr>
          <w:p w14:paraId="5D4A1A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7ED969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75B1944A">
            <w:pPr>
              <w:jc w:val="center"/>
              <w:rPr>
                <w:rFonts w:hint="eastAsia" w:ascii="宋体" w:hAnsi="宋体" w:eastAsia="宋体" w:cs="宋体"/>
                <w:color w:val="000000"/>
                <w:sz w:val="18"/>
                <w:szCs w:val="18"/>
              </w:rPr>
            </w:pPr>
          </w:p>
        </w:tc>
      </w:tr>
      <w:tr w14:paraId="713FC39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4296E6">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2A3D6AA">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026EFA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7699139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支持外贸出口企业个数</w:t>
            </w:r>
          </w:p>
        </w:tc>
        <w:tc>
          <w:tcPr>
            <w:tcW w:w="1125" w:type="dxa"/>
            <w:tcBorders>
              <w:top w:val="nil"/>
              <w:left w:val="nil"/>
              <w:bottom w:val="single" w:color="auto" w:sz="4" w:space="0"/>
              <w:right w:val="single" w:color="auto" w:sz="4" w:space="0"/>
            </w:tcBorders>
            <w:vAlign w:val="center"/>
          </w:tcPr>
          <w:p w14:paraId="699094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&gt;=3个</w:t>
            </w:r>
          </w:p>
        </w:tc>
        <w:tc>
          <w:tcPr>
            <w:tcW w:w="1229" w:type="dxa"/>
            <w:tcBorders>
              <w:top w:val="nil"/>
              <w:left w:val="nil"/>
              <w:bottom w:val="single" w:color="auto" w:sz="4" w:space="0"/>
              <w:right w:val="single" w:color="auto" w:sz="4" w:space="0"/>
            </w:tcBorders>
            <w:vAlign w:val="center"/>
          </w:tcPr>
          <w:p w14:paraId="6A93F4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755" w:type="dxa"/>
            <w:gridSpan w:val="2"/>
            <w:tcBorders>
              <w:top w:val="single" w:color="auto" w:sz="4" w:space="0"/>
              <w:left w:val="nil"/>
              <w:bottom w:val="single" w:color="auto" w:sz="4" w:space="0"/>
              <w:right w:val="single" w:color="000000" w:sz="4" w:space="0"/>
            </w:tcBorders>
            <w:vAlign w:val="center"/>
          </w:tcPr>
          <w:p w14:paraId="4928F3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431B24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03550F7C">
            <w:pPr>
              <w:jc w:val="center"/>
              <w:rPr>
                <w:rFonts w:hint="eastAsia" w:ascii="宋体" w:hAnsi="宋体" w:eastAsia="宋体" w:cs="宋体"/>
                <w:color w:val="000000"/>
                <w:sz w:val="18"/>
                <w:szCs w:val="18"/>
              </w:rPr>
            </w:pPr>
          </w:p>
        </w:tc>
      </w:tr>
      <w:tr w14:paraId="76410A1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40476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AFF7A5A">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1605C349">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6219345">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资金支付准确率</w:t>
            </w:r>
          </w:p>
        </w:tc>
        <w:tc>
          <w:tcPr>
            <w:tcW w:w="1125" w:type="dxa"/>
            <w:tcBorders>
              <w:top w:val="nil"/>
              <w:left w:val="nil"/>
              <w:bottom w:val="single" w:color="auto" w:sz="4" w:space="0"/>
              <w:right w:val="single" w:color="auto" w:sz="4" w:space="0"/>
            </w:tcBorders>
            <w:vAlign w:val="center"/>
          </w:tcPr>
          <w:p w14:paraId="011BB0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E4B66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DB41C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1A3C4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2BEA15B">
            <w:pPr>
              <w:jc w:val="center"/>
              <w:rPr>
                <w:rFonts w:hint="eastAsia" w:ascii="宋体" w:hAnsi="宋体" w:eastAsia="宋体" w:cs="宋体"/>
                <w:color w:val="000000"/>
                <w:sz w:val="18"/>
                <w:szCs w:val="18"/>
              </w:rPr>
            </w:pPr>
          </w:p>
        </w:tc>
      </w:tr>
      <w:tr w14:paraId="6182440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2CA24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35AE8FF">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1A938A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3EE68F6">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资金使用合规性</w:t>
            </w:r>
          </w:p>
        </w:tc>
        <w:tc>
          <w:tcPr>
            <w:tcW w:w="1125" w:type="dxa"/>
            <w:tcBorders>
              <w:top w:val="nil"/>
              <w:left w:val="nil"/>
              <w:bottom w:val="single" w:color="auto" w:sz="4" w:space="0"/>
              <w:right w:val="single" w:color="auto" w:sz="4" w:space="0"/>
            </w:tcBorders>
            <w:vAlign w:val="center"/>
          </w:tcPr>
          <w:p w14:paraId="6C3D4B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67AFF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7AF7E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28FB2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DCFA1E3">
            <w:pPr>
              <w:jc w:val="center"/>
              <w:rPr>
                <w:rFonts w:hint="eastAsia" w:ascii="宋体" w:hAnsi="宋体" w:eastAsia="宋体" w:cs="宋体"/>
                <w:color w:val="000000"/>
                <w:sz w:val="18"/>
                <w:szCs w:val="18"/>
              </w:rPr>
            </w:pPr>
          </w:p>
        </w:tc>
      </w:tr>
      <w:tr w14:paraId="6538D52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77993A">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03E2F1E">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CA285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1D797A0">
            <w:pPr>
              <w:rPr>
                <w:rFonts w:hint="eastAsia" w:ascii="宋体" w:hAnsi="宋体" w:eastAsia="宋体" w:cs="宋体"/>
                <w:color w:val="000000"/>
                <w:sz w:val="18"/>
                <w:szCs w:val="18"/>
              </w:rPr>
            </w:pPr>
            <w:r>
              <w:rPr>
                <w:rFonts w:hint="eastAsia" w:ascii="宋体" w:hAnsi="宋体" w:eastAsia="宋体" w:cs="宋体"/>
                <w:color w:val="000000"/>
                <w:sz w:val="18"/>
                <w:szCs w:val="18"/>
              </w:rPr>
              <w:t>支付时限（%）</w:t>
            </w:r>
          </w:p>
        </w:tc>
        <w:tc>
          <w:tcPr>
            <w:tcW w:w="1125" w:type="dxa"/>
            <w:tcBorders>
              <w:top w:val="nil"/>
              <w:left w:val="nil"/>
              <w:bottom w:val="single" w:color="auto" w:sz="4" w:space="0"/>
              <w:right w:val="single" w:color="auto" w:sz="4" w:space="0"/>
            </w:tcBorders>
            <w:vAlign w:val="center"/>
          </w:tcPr>
          <w:p w14:paraId="46E07C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&lt;=12个月</w:t>
            </w:r>
          </w:p>
        </w:tc>
        <w:tc>
          <w:tcPr>
            <w:tcW w:w="1229" w:type="dxa"/>
            <w:tcBorders>
              <w:top w:val="nil"/>
              <w:left w:val="nil"/>
              <w:bottom w:val="single" w:color="auto" w:sz="4" w:space="0"/>
              <w:right w:val="single" w:color="auto" w:sz="4" w:space="0"/>
            </w:tcBorders>
            <w:vAlign w:val="center"/>
          </w:tcPr>
          <w:p w14:paraId="2D0DE2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2个月</w:t>
            </w:r>
          </w:p>
        </w:tc>
        <w:tc>
          <w:tcPr>
            <w:tcW w:w="755" w:type="dxa"/>
            <w:gridSpan w:val="2"/>
            <w:tcBorders>
              <w:top w:val="single" w:color="auto" w:sz="4" w:space="0"/>
              <w:left w:val="nil"/>
              <w:bottom w:val="single" w:color="auto" w:sz="4" w:space="0"/>
              <w:right w:val="single" w:color="000000" w:sz="4" w:space="0"/>
            </w:tcBorders>
            <w:vAlign w:val="center"/>
          </w:tcPr>
          <w:p w14:paraId="08C3C0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8C54D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440CE58">
            <w:pPr>
              <w:jc w:val="center"/>
              <w:rPr>
                <w:rFonts w:hint="eastAsia" w:ascii="宋体" w:hAnsi="宋体" w:eastAsia="宋体" w:cs="宋体"/>
                <w:color w:val="000000"/>
                <w:sz w:val="18"/>
                <w:szCs w:val="18"/>
              </w:rPr>
            </w:pPr>
          </w:p>
        </w:tc>
      </w:tr>
      <w:tr w14:paraId="7AD534D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56AC3C">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81A5C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166BD5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41F7D94C">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14:paraId="5C580E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39417D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0797F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015B6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C00193F">
            <w:pPr>
              <w:jc w:val="center"/>
              <w:rPr>
                <w:rFonts w:hint="eastAsia" w:ascii="宋体" w:hAnsi="宋体" w:eastAsia="宋体" w:cs="宋体"/>
                <w:color w:val="000000"/>
                <w:sz w:val="18"/>
                <w:szCs w:val="18"/>
              </w:rPr>
            </w:pPr>
          </w:p>
        </w:tc>
      </w:tr>
      <w:tr w14:paraId="249D888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59FE37">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77A6E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2EF1F5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376E86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支持企业发展，提升企业物流仓储能力</w:t>
            </w:r>
          </w:p>
        </w:tc>
        <w:tc>
          <w:tcPr>
            <w:tcW w:w="1125" w:type="dxa"/>
            <w:tcBorders>
              <w:top w:val="nil"/>
              <w:left w:val="nil"/>
              <w:bottom w:val="single" w:color="auto" w:sz="4" w:space="0"/>
              <w:right w:val="single" w:color="auto" w:sz="4" w:space="0"/>
            </w:tcBorders>
            <w:vAlign w:val="center"/>
          </w:tcPr>
          <w:p w14:paraId="53BF0D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6383AB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完全达到有效提升</w:t>
            </w:r>
          </w:p>
        </w:tc>
        <w:tc>
          <w:tcPr>
            <w:tcW w:w="755" w:type="dxa"/>
            <w:gridSpan w:val="2"/>
            <w:tcBorders>
              <w:top w:val="single" w:color="auto" w:sz="4" w:space="0"/>
              <w:left w:val="nil"/>
              <w:bottom w:val="single" w:color="auto" w:sz="4" w:space="0"/>
              <w:right w:val="single" w:color="000000" w:sz="4" w:space="0"/>
            </w:tcBorders>
            <w:vAlign w:val="center"/>
          </w:tcPr>
          <w:p w14:paraId="4D5A33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884A3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3718239">
            <w:pPr>
              <w:jc w:val="center"/>
              <w:rPr>
                <w:rFonts w:hint="eastAsia" w:ascii="宋体" w:hAnsi="宋体" w:eastAsia="宋体" w:cs="宋体"/>
                <w:color w:val="000000"/>
                <w:sz w:val="18"/>
                <w:szCs w:val="18"/>
              </w:rPr>
            </w:pPr>
          </w:p>
        </w:tc>
      </w:tr>
      <w:tr w14:paraId="30F2DE5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8B188D">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539C8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24DE98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A95BC8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外贸进出口项目单位满意度</w:t>
            </w:r>
          </w:p>
        </w:tc>
        <w:tc>
          <w:tcPr>
            <w:tcW w:w="1125" w:type="dxa"/>
            <w:tcBorders>
              <w:top w:val="nil"/>
              <w:left w:val="nil"/>
              <w:bottom w:val="single" w:color="auto" w:sz="4" w:space="0"/>
              <w:right w:val="single" w:color="auto" w:sz="4" w:space="0"/>
            </w:tcBorders>
            <w:vAlign w:val="center"/>
          </w:tcPr>
          <w:p w14:paraId="2D6DB6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4F096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14:paraId="7CCACB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AEDB1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BCF0B57">
            <w:pPr>
              <w:jc w:val="center"/>
              <w:rPr>
                <w:rFonts w:hint="eastAsia" w:ascii="宋体" w:hAnsi="宋体" w:eastAsia="宋体" w:cs="宋体"/>
                <w:color w:val="000000"/>
                <w:sz w:val="18"/>
                <w:szCs w:val="18"/>
              </w:rPr>
            </w:pPr>
          </w:p>
        </w:tc>
      </w:tr>
      <w:tr w14:paraId="3693C47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047E8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1A3C2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52657C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1A728638">
            <w:pPr>
              <w:jc w:val="center"/>
              <w:rPr>
                <w:rFonts w:hint="eastAsia" w:ascii="宋体" w:hAnsi="宋体" w:eastAsia="宋体" w:cs="宋体"/>
                <w:b/>
                <w:bCs/>
                <w:color w:val="000000"/>
                <w:sz w:val="18"/>
                <w:szCs w:val="18"/>
              </w:rPr>
            </w:pPr>
          </w:p>
        </w:tc>
      </w:tr>
    </w:tbl>
    <w:p w14:paraId="3258EE7C">
      <w:pPr>
        <w:spacing w:after="0" w:line="240" w:lineRule="auto"/>
        <w:ind w:firstLine="640" w:firstLineChars="200"/>
        <w:jc w:val="both"/>
        <w:rPr>
          <w:rFonts w:hint="eastAsia" w:ascii="仿宋_GB2312" w:eastAsia="仿宋_GB2312"/>
          <w:sz w:val="32"/>
          <w:szCs w:val="32"/>
          <w:lang w:eastAsia="zh-CN"/>
        </w:rPr>
      </w:pPr>
    </w:p>
    <w:p w14:paraId="01B985A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45483F0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7FA73C65">
      <w:pPr>
        <w:spacing w:after="0" w:line="240" w:lineRule="auto"/>
        <w:ind w:firstLine="640" w:firstLineChars="200"/>
        <w:rPr>
          <w:rFonts w:ascii="仿宋_GB2312" w:eastAsia="仿宋_GB2312"/>
          <w:sz w:val="32"/>
          <w:szCs w:val="32"/>
          <w:lang w:eastAsia="zh-CN"/>
        </w:rPr>
      </w:pPr>
    </w:p>
    <w:p w14:paraId="4DC4F6C3">
      <w:pPr>
        <w:rPr>
          <w:rFonts w:hint="eastAsia"/>
          <w:lang w:eastAsia="zh-CN"/>
        </w:rPr>
      </w:pPr>
      <w:r>
        <w:rPr>
          <w:sz w:val="0"/>
          <w:szCs w:val="0"/>
          <w:lang w:eastAsia="zh-CN"/>
        </w:rPr>
        <w:br w:type="page"/>
      </w:r>
    </w:p>
    <w:p w14:paraId="183B6B49">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3A8F9E3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2B4B35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951D06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2B4BC3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AA43CD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9BE5E1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472D7B3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6DCD06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034276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BD8A3C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10F47A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23CCD6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19FB17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667268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E3DD7CC">
      <w:pPr>
        <w:rPr>
          <w:rFonts w:hint="eastAsia"/>
          <w:lang w:eastAsia="zh-CN"/>
        </w:rPr>
      </w:pPr>
      <w:r>
        <w:rPr>
          <w:sz w:val="0"/>
          <w:szCs w:val="0"/>
          <w:lang w:eastAsia="zh-CN"/>
        </w:rPr>
        <w:br w:type="page"/>
      </w:r>
    </w:p>
    <w:p w14:paraId="758C5CE9">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24D5528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26CADC1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4F69D47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2A08B3F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AED09A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29866B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BA88D6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C44D6D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7F2178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0258E5"/>
    <w:rsid w:val="000258E5"/>
    <w:rsid w:val="003A643D"/>
    <w:rsid w:val="007233D7"/>
    <w:rsid w:val="008779AF"/>
    <w:rsid w:val="009D69D5"/>
    <w:rsid w:val="03D657B2"/>
    <w:rsid w:val="0AC16A2B"/>
    <w:rsid w:val="0D5105A1"/>
    <w:rsid w:val="16D2175F"/>
    <w:rsid w:val="4FD56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0">
    <w:name w:val="Title"/>
    <w:basedOn w:val="1"/>
    <w:next w:val="1"/>
    <w:link w:val="22"/>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4">
    <w:name w:val="Emphasis"/>
    <w:basedOn w:val="13"/>
    <w:qFormat/>
    <w:uiPriority w:val="20"/>
    <w:rPr>
      <w:i/>
      <w:iCs/>
    </w:rPr>
  </w:style>
  <w:style w:type="character" w:styleId="15">
    <w:name w:val="Hyperlink"/>
    <w:basedOn w:val="13"/>
    <w:unhideWhenUsed/>
    <w:qFormat/>
    <w:uiPriority w:val="99"/>
    <w:rPr>
      <w:color w:val="0563C1" w:themeColor="hyperlink"/>
      <w:u w:val="single"/>
    </w:rPr>
  </w:style>
  <w:style w:type="character" w:customStyle="1" w:styleId="16">
    <w:name w:val="页眉 字符"/>
    <w:basedOn w:val="13"/>
    <w:link w:val="8"/>
    <w:qFormat/>
    <w:uiPriority w:val="99"/>
  </w:style>
  <w:style w:type="character" w:customStyle="1" w:styleId="17">
    <w:name w:val="标题 1 字符"/>
    <w:basedOn w:val="13"/>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8">
    <w:name w:val="标题 2 字符"/>
    <w:basedOn w:val="13"/>
    <w:link w:val="3"/>
    <w:qFormat/>
    <w:uiPriority w:val="9"/>
    <w:rPr>
      <w:rFonts w:asciiTheme="majorHAnsi" w:hAnsiTheme="majorHAnsi" w:eastAsiaTheme="majorEastAsia" w:cstheme="majorBidi"/>
      <w:b/>
      <w:bCs/>
      <w:color w:val="4472C4" w:themeColor="accent1"/>
      <w:sz w:val="26"/>
      <w:szCs w:val="26"/>
    </w:rPr>
  </w:style>
  <w:style w:type="character" w:customStyle="1" w:styleId="19">
    <w:name w:val="标题 3 字符"/>
    <w:basedOn w:val="13"/>
    <w:link w:val="4"/>
    <w:qFormat/>
    <w:uiPriority w:val="9"/>
    <w:rPr>
      <w:rFonts w:asciiTheme="majorHAnsi" w:hAnsiTheme="majorHAnsi" w:eastAsiaTheme="majorEastAsia" w:cstheme="majorBidi"/>
      <w:b/>
      <w:bCs/>
      <w:color w:val="4472C4" w:themeColor="accent1"/>
    </w:rPr>
  </w:style>
  <w:style w:type="character" w:customStyle="1" w:styleId="20">
    <w:name w:val="标题 4 字符"/>
    <w:basedOn w:val="13"/>
    <w:link w:val="5"/>
    <w:qFormat/>
    <w:uiPriority w:val="9"/>
    <w:rPr>
      <w:rFonts w:asciiTheme="majorHAnsi" w:hAnsiTheme="majorHAnsi" w:eastAsiaTheme="majorEastAsia" w:cstheme="majorBidi"/>
      <w:b/>
      <w:bCs/>
      <w:i/>
      <w:iCs/>
      <w:color w:val="4472C4" w:themeColor="accent1"/>
    </w:rPr>
  </w:style>
  <w:style w:type="character" w:customStyle="1" w:styleId="21">
    <w:name w:val="副标题 字符"/>
    <w:basedOn w:val="13"/>
    <w:link w:val="9"/>
    <w:qFormat/>
    <w:uiPriority w:val="11"/>
    <w:rPr>
      <w:rFonts w:asciiTheme="majorHAnsi" w:hAnsiTheme="majorHAnsi" w:eastAsiaTheme="majorEastAsia" w:cstheme="majorBidi"/>
      <w:i/>
      <w:iCs/>
      <w:color w:val="4472C4" w:themeColor="accent1"/>
      <w:spacing w:val="15"/>
      <w:sz w:val="24"/>
      <w:szCs w:val="24"/>
    </w:rPr>
  </w:style>
  <w:style w:type="character" w:customStyle="1" w:styleId="22">
    <w:name w:val="标题 字符"/>
    <w:basedOn w:val="13"/>
    <w:link w:val="10"/>
    <w:qFormat/>
    <w:uiPriority w:val="10"/>
    <w:rPr>
      <w:rFonts w:asciiTheme="majorHAnsi" w:hAnsiTheme="majorHAnsi" w:eastAsiaTheme="majorEastAsia" w:cstheme="majorBidi"/>
      <w:color w:val="323E4F"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4598</Words>
  <Characters>5200</Characters>
  <Lines>1001</Lines>
  <Paragraphs>743</Paragraphs>
  <TotalTime>24</TotalTime>
  <ScaleCrop>false</ScaleCrop>
  <LinksUpToDate>false</LinksUpToDate>
  <CharactersWithSpaces>5208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2025-10-13T03:19:00Z</dcterms:created>
  <dc:creator>华为</dc:creator>
  <cp:lastModifiedBy>谢凤</cp:lastModifiedBy>
  <dcterms:modified xsi:type="dcterms:W3CDTF">2025-11-17T10:18:19Z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eyJoZGlkIjoiMWExYjI5YmI4NTg2YzA1MWY0Y2ZkOGYyMDM2NmExMGEiLCJ1c2VySWQiOiIxMTk3MDAxNzMxIn0=</vt:lpwstr>
  </property>
  <property fmtid="{D5CDD505-2E9C-101B-9397-08002B2CF9AE}" pid="3" name="KSOProductBuildVer">
    <vt:lpwstr>2052-12.1.0.23542</vt:lpwstr>
  </property>
  <property fmtid="{D5CDD505-2E9C-101B-9397-08002B2CF9AE}" pid="4" name="ICV">
    <vt:lpwstr>C63277CAD0B542C5B173F60BDD64FE3E_12</vt:lpwstr>
  </property>
</Properties>
</file>