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19B7F">
      <w:pPr>
        <w:spacing w:after="0" w:line="240" w:lineRule="auto"/>
        <w:rPr>
          <w:rFonts w:hint="eastAsia" w:ascii="宋体" w:eastAsia="宋体"/>
          <w:sz w:val="32"/>
          <w:szCs w:val="32"/>
        </w:rPr>
      </w:pPr>
    </w:p>
    <w:p w14:paraId="61A72702">
      <w:pPr>
        <w:spacing w:after="0" w:line="240" w:lineRule="auto"/>
        <w:rPr>
          <w:rFonts w:hint="eastAsia" w:ascii="宋体" w:eastAsia="宋体"/>
          <w:sz w:val="44"/>
          <w:szCs w:val="44"/>
        </w:rPr>
      </w:pPr>
    </w:p>
    <w:p w14:paraId="649069B1">
      <w:pPr>
        <w:spacing w:after="0" w:line="240" w:lineRule="auto"/>
        <w:rPr>
          <w:rFonts w:hint="eastAsia" w:ascii="宋体" w:eastAsia="宋体"/>
          <w:sz w:val="44"/>
          <w:szCs w:val="44"/>
        </w:rPr>
      </w:pPr>
    </w:p>
    <w:p w14:paraId="13338FB5">
      <w:pPr>
        <w:spacing w:after="0" w:line="240" w:lineRule="auto"/>
        <w:rPr>
          <w:rFonts w:hint="eastAsia" w:ascii="宋体" w:eastAsia="宋体"/>
          <w:sz w:val="44"/>
          <w:szCs w:val="44"/>
        </w:rPr>
      </w:pPr>
    </w:p>
    <w:p w14:paraId="3C1CD58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乌鲁木齐市米东区应急管理局(乌鲁木齐市米东区矿山安全监督管理局)</w:t>
      </w:r>
    </w:p>
    <w:p w14:paraId="3937FCB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3E721E5">
      <w:pPr>
        <w:rPr>
          <w:rFonts w:hint="eastAsia"/>
          <w:lang w:eastAsia="zh-CN"/>
        </w:rPr>
      </w:pPr>
      <w:r>
        <w:rPr>
          <w:sz w:val="0"/>
          <w:szCs w:val="0"/>
          <w:lang w:eastAsia="zh-CN"/>
        </w:rPr>
        <w:br w:type="page"/>
      </w:r>
    </w:p>
    <w:p w14:paraId="450C1C1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C9F812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E2A1E8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0E273A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A7C314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97C2A1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B66C46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088722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8F8BB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6EF037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A65668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1B2D4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0A597C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BBD492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7AB063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719A77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E3B8C6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D85259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8005FE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16C34C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F30920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55FD09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7D139D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0A478D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0BDCA6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0B48A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7F024E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2C5CA0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8E53DC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D7FA1B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46C63B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D3B3D9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4B60A2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B0DE5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A4DF3AA">
      <w:pPr>
        <w:rPr>
          <w:rFonts w:hint="eastAsia"/>
          <w:lang w:eastAsia="zh-CN"/>
        </w:rPr>
      </w:pPr>
      <w:r>
        <w:rPr>
          <w:sz w:val="0"/>
          <w:szCs w:val="0"/>
          <w:lang w:eastAsia="zh-CN"/>
        </w:rPr>
        <w:br w:type="page"/>
      </w:r>
    </w:p>
    <w:p w14:paraId="0B898E9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730C5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B8AF2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（一）负责应急管理工作，指导各乡镇（片区）、各部门应对安全生产类、自然灾害类突发事件和综合防灾减灾救灾工作；负责安全生产综合监督管理和工矿商贸行业安全生产监督管理工作。</w:t>
      </w:r>
    </w:p>
    <w:p w14:paraId="493AE9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（二）组织编制应急体系建设、安全生产和综合防灾减灾规划，组织拟订应急管理、安全生产类综合性规范性文件并监督实施。</w:t>
      </w:r>
    </w:p>
    <w:p w14:paraId="0FF032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安全生产类、自然灾害类应急预案体系建设，建立完善事故灾难和自然灾害分级应对制度，组织编制区总体应急预案和安全生产类、自然灾害类专项预案，综合协调应急预案衔接工作，组织开展预案演练，推动应急避难场所建设。</w:t>
      </w:r>
    </w:p>
    <w:p w14:paraId="35B890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（四）牵头建立统一的应急管理信息系统，负责编制和落实信息传输渠道规划和布局，建立监测预警和灾情报告制度，健全自然灾害信息资源获取和共享机制，依法统一发布灾情。</w:t>
      </w:r>
    </w:p>
    <w:p w14:paraId="52D5DA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（五）组织指导协调安全生产类、自然灾害类突发事件应急救援，综合</w:t>
      </w:r>
      <w:r>
        <w:rPr>
          <w:rFonts w:hint="eastAsia" w:ascii="仿宋_GB2312" w:eastAsia="仿宋_GB2312"/>
          <w:sz w:val="32"/>
          <w:szCs w:val="32"/>
          <w:lang w:eastAsia="zh-CN"/>
        </w:rPr>
        <w:t>研判</w:t>
      </w:r>
      <w:r>
        <w:rPr>
          <w:rFonts w:ascii="仿宋_GB2312" w:eastAsia="仿宋_GB2312"/>
          <w:sz w:val="32"/>
          <w:szCs w:val="32"/>
          <w:lang w:eastAsia="zh-CN"/>
        </w:rPr>
        <w:t>突发事件发展态势并提出应对建议，协助区委、区人民政府指定的负责同志组织重大灾害应急处置工作。</w:t>
      </w:r>
    </w:p>
    <w:p w14:paraId="650AE0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（六）统一协调指挥各类应急专业队伍，建立应急协调联动机制，推进应急指挥平台对接，衔接解放军和武警部队参与应急救援工作。</w:t>
      </w:r>
    </w:p>
    <w:p w14:paraId="4857EB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（七）统筹应急救援力量建设，负责消防、森林和草原火灾扑救、抗洪抢险、地震和地质灾害救援、生产安全事故</w:t>
      </w:r>
      <w:r>
        <w:rPr>
          <w:rFonts w:hint="eastAsia" w:ascii="仿宋_GB2312" w:eastAsia="仿宋_GB2312"/>
          <w:sz w:val="32"/>
          <w:szCs w:val="32"/>
          <w:lang w:eastAsia="zh-CN"/>
        </w:rPr>
        <w:t>救援</w:t>
      </w:r>
      <w:r>
        <w:rPr>
          <w:rFonts w:ascii="仿宋_GB2312" w:eastAsia="仿宋_GB2312"/>
          <w:sz w:val="32"/>
          <w:szCs w:val="32"/>
          <w:lang w:eastAsia="zh-CN"/>
        </w:rPr>
        <w:t>专业应急救援力量建设，管理指挥区综合性应急救援队伍，指导各乡镇（片区）及社会应急救援力量建设。</w:t>
      </w:r>
    </w:p>
    <w:p w14:paraId="0D6A14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（八）负责消防管理工作，指导消防监督、火灾预防、火灾扑救等工作。</w:t>
      </w:r>
    </w:p>
    <w:p w14:paraId="66B1AA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（九）指导协调森林和草原火灾、水旱灾害、地震和地质灾害防治工作，负责自然灾害综合监测预警工作，指导开展自然灾害综合风险评估工作。</w:t>
      </w:r>
    </w:p>
    <w:p w14:paraId="6ACE3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（十）组织协调灾害救助工作，组织指导灾情核查、损失评估、救灾捐赠工作，管理和分配中央、自治区、市和我区救灾款物并监督使用。</w:t>
      </w:r>
    </w:p>
    <w:p w14:paraId="7A556C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（十一）依法行使安全生产综合监督管理职权，指导协调、监督检查各乡镇（片区）和区级有关部门安全生产工作，组织开展安全生产巡查、考核工作。</w:t>
      </w:r>
    </w:p>
    <w:p w14:paraId="097478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226614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（十三）依法组织指导生产安全事故调查处理，监督事故查处和责任追究落实情况；组织开展自然灾害类突发事件的调查评估工作。</w:t>
      </w:r>
    </w:p>
    <w:p w14:paraId="203737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（十四）制定应急物资储备和应急救援装备规划并组织实施，会同相关部门建立健全应急物资信息平台和调拨制度，在救灾时统一调度。</w:t>
      </w:r>
    </w:p>
    <w:p w14:paraId="3717AD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（十五）负责应急管理、安全生产宣传教育和培训工作，组织指导区应急管理、安全生产的科学技术研究、推广应用和信息化建设工作；开展应急管理方面的对外合作与交流。</w:t>
      </w:r>
    </w:p>
    <w:p w14:paraId="7CD9F4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（十六）承办区委、区人民政府交办的其他事项。</w:t>
      </w:r>
    </w:p>
    <w:p w14:paraId="6526B5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七）职能转变。区应急管理局应加强、优化、统筹区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区应急管理水平和防灾减灾救灾能力，防范化解重大安全风险。二是坚持以人为本，把确保人民群众生命安全放在首位，确保受灾群众基本生活，加强应急预案演练，增强全区公民防灾减灾意识，提升公众知识普及和自救互救技能，切实减少人员伤亡和财产损失。三是树立安全发展理念，坚持生命至上、安全第一，完善安全生产责任，坚决遏制重特大安全事故。</w:t>
      </w:r>
    </w:p>
    <w:p w14:paraId="190DA8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BF879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乌鲁木齐市米东区应急管理局(乌鲁木齐市米东区矿山安全监督管理局)2024年度，实有人数45人，其中：在职人员25人，减少8人；离休人员0人，较上年无变化；退休人员20人，增加4人。</w:t>
      </w:r>
    </w:p>
    <w:p w14:paraId="465C9F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乌鲁木齐市米东区应急管理局(乌鲁木齐市米东区矿山安全监督管理局)无下属预算单位，下设7个</w:t>
      </w:r>
      <w:r>
        <w:rPr>
          <w:rFonts w:hint="eastAsia" w:ascii="仿宋_GB2312" w:eastAsia="仿宋_GB2312"/>
          <w:sz w:val="32"/>
          <w:szCs w:val="32"/>
          <w:lang w:eastAsia="zh-CN"/>
        </w:rPr>
        <w:t>科室</w:t>
      </w:r>
      <w:r>
        <w:rPr>
          <w:rFonts w:ascii="仿宋_GB2312" w:eastAsia="仿宋_GB2312"/>
          <w:sz w:val="32"/>
          <w:szCs w:val="32"/>
          <w:lang w:eastAsia="zh-CN"/>
        </w:rPr>
        <w:t>，分别是：党政办公室、政策法规科、综合协调科、危化科、矿山科、工贸科、防灾减灾办公室。</w:t>
      </w:r>
    </w:p>
    <w:p w14:paraId="6A645879">
      <w:pPr>
        <w:rPr>
          <w:rFonts w:hint="eastAsia"/>
          <w:lang w:eastAsia="zh-CN"/>
        </w:rPr>
      </w:pPr>
      <w:r>
        <w:rPr>
          <w:sz w:val="0"/>
          <w:szCs w:val="0"/>
          <w:lang w:eastAsia="zh-CN"/>
        </w:rPr>
        <w:br w:type="page"/>
      </w:r>
    </w:p>
    <w:p w14:paraId="26A2FF4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62776F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30CDD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2024年度收入总计5,379.35万元，其中：本年收入合计5,376.07万元，使用非财政拨款结余（含专用结余）0.00万元，年初结转和结余3.28万元。</w:t>
      </w:r>
    </w:p>
    <w:p w14:paraId="5F934D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2024年度支出总计5,379.35万元，其中：本年支出合计5,376.07万元，结余分配0.00万元，年末结转和结余3.28万元。</w:t>
      </w:r>
    </w:p>
    <w:p w14:paraId="311523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收入支出总体与上年相比，减少1,286.61万元，下降19.30%，主要原因是：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w:t>
      </w:r>
    </w:p>
    <w:p w14:paraId="1307758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0356E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本年收入5,376.07万元，其中：财政拨款收入5,375.11万元,占99.98%；上级补助收入0.00万元,占0.00%；事业收入0.00万元，占0.00%；经营收入0.00万元,占0.00%；附属单位上缴收入0.00万元，占0.00%；其他收入0.96万元，占0.02%。</w:t>
      </w:r>
    </w:p>
    <w:p w14:paraId="3CE87A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DAB8E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本年支出5,376.07万元，其中：基本支出543.48万元，占10.11%；项目支出4,832.59万元，占89.89%；上缴上级支出0.00万元，占0.00%；经营支出0.00万元，占0.00%；对附属单位补助支出0.00万元，占0.00%。</w:t>
      </w:r>
    </w:p>
    <w:p w14:paraId="7991B4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5B41F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5,375.11万元，其中：年初财政拨款结转和结余0.00万元，本年财政拨款收入5,375.11万元。财政拨款支出总计5,375.11万元，其中：年末财政拨款结转和结余0.00万元，本年财政拨款支出5,375.11万元。</w:t>
      </w:r>
    </w:p>
    <w:p w14:paraId="4A274D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财政拨款收入支出总体与上年相比，减少1,287.57万元，下降19.33%，主要原因是：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。与年初预算相比，年初预算数3,723.44万元，决算数5,375.11万元，预决算差异率44.36%，主要原因是：</w:t>
      </w:r>
      <w:r>
        <w:rPr>
          <w:rFonts w:hint="eastAsia" w:ascii="仿宋_GB2312" w:eastAsia="仿宋_GB2312"/>
          <w:sz w:val="32"/>
          <w:szCs w:val="32"/>
          <w:lang w:eastAsia="zh-CN"/>
        </w:rPr>
        <w:t>年中追加重大传染病防控补助经费</w:t>
      </w:r>
      <w:r>
        <w:rPr>
          <w:rFonts w:ascii="仿宋_GB2312" w:eastAsia="仿宋_GB2312"/>
          <w:sz w:val="32"/>
          <w:szCs w:val="32"/>
          <w:lang w:eastAsia="zh-CN"/>
        </w:rPr>
        <w:t>。</w:t>
      </w:r>
    </w:p>
    <w:p w14:paraId="60D60A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E528F1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04908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2024年度一般公共预算财政拨款支出5,375.11万元，占本年支出合计的99.98%。与上年相比，减少1,287.57万元，下降19.33%，主要原因是：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。与年初预算相比，年初预算数3,723.44万元，决算数5,375.11万元，预决算差异率44.36%，主要原因是：</w:t>
      </w:r>
      <w:r>
        <w:rPr>
          <w:rFonts w:hint="eastAsia" w:ascii="仿宋_GB2312" w:eastAsia="仿宋_GB2312"/>
          <w:sz w:val="32"/>
          <w:szCs w:val="32"/>
          <w:lang w:eastAsia="zh-CN"/>
        </w:rPr>
        <w:t>年中追加重大传染病防控补助经费</w:t>
      </w:r>
      <w:r>
        <w:rPr>
          <w:rFonts w:ascii="仿宋_GB2312" w:eastAsia="仿宋_GB2312"/>
          <w:sz w:val="32"/>
          <w:szCs w:val="32"/>
          <w:lang w:eastAsia="zh-CN"/>
        </w:rPr>
        <w:t>。</w:t>
      </w:r>
    </w:p>
    <w:p w14:paraId="5CDEB71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72259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社会保障和就业支出（类）60.76万元，占1.13%。</w:t>
      </w:r>
    </w:p>
    <w:p w14:paraId="2BC1F8D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卫生健康支出（类）4,790.59万元，占89.13%。</w:t>
      </w:r>
    </w:p>
    <w:p w14:paraId="4B733BB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灾害防治及应急管理支出（类）523.76万元，占9.74%。</w:t>
      </w:r>
    </w:p>
    <w:p w14:paraId="1EC7F5B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82A337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1、社会保障和就业支出（类）民政管理事务（款）基层政权建设和社区治理（项）：支出决算数为0.00万元，比上年决算减少2.71万元，下降100.00%，主要原因是：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为民办实事工作经费</w:t>
      </w:r>
      <w:r>
        <w:rPr>
          <w:rFonts w:hint="eastAsia" w:ascii="仿宋_GB2312" w:eastAsia="仿宋_GB2312"/>
          <w:sz w:val="32"/>
          <w:szCs w:val="32"/>
          <w:lang w:eastAsia="zh-CN"/>
        </w:rPr>
        <w:t>较上年减少。</w:t>
      </w:r>
    </w:p>
    <w:p w14:paraId="060528B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2、社会保障和就业支出（类）行政事业单位养老支出（款）机关事业单位基本养老保险缴费支出（项）：支出决算数为60.76万元，比上年决算增加18.28万元，增长43.03%，主要原因是：</w:t>
      </w:r>
      <w:r>
        <w:rPr>
          <w:rFonts w:hint="eastAsia" w:ascii="仿宋_GB2312" w:eastAsia="仿宋_GB2312"/>
          <w:sz w:val="32"/>
          <w:szCs w:val="32"/>
          <w:lang w:eastAsia="zh-CN"/>
        </w:rPr>
        <w:t>单位本年社保基数调增，职工养老保险缴费较上年增加。</w:t>
      </w:r>
    </w:p>
    <w:p w14:paraId="0EF879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3、卫生健康支出（类）公共卫生（款）突发公共卫生事件应急处置（项）：支出决算数为4,790.59万元，比上年决算减少1,052.89万元，下降18.02%，主要原因是：单位本年较上年</w:t>
      </w:r>
      <w:r>
        <w:rPr>
          <w:rFonts w:hint="eastAsia" w:ascii="仿宋_GB2312" w:eastAsia="仿宋_GB2312"/>
          <w:sz w:val="32"/>
          <w:szCs w:val="32"/>
          <w:lang w:eastAsia="zh-CN"/>
        </w:rPr>
        <w:t>减少</w:t>
      </w:r>
      <w:r>
        <w:rPr>
          <w:rFonts w:ascii="仿宋_GB2312" w:eastAsia="仿宋_GB2312"/>
          <w:sz w:val="32"/>
          <w:szCs w:val="32"/>
          <w:lang w:eastAsia="zh-CN"/>
        </w:rPr>
        <w:t>支付以前年度医疗物资</w:t>
      </w:r>
      <w:r>
        <w:rPr>
          <w:rFonts w:hint="eastAsia" w:ascii="仿宋_GB2312" w:eastAsia="仿宋_GB2312"/>
          <w:sz w:val="32"/>
          <w:szCs w:val="32"/>
          <w:lang w:val="en-US" w:eastAsia="zh-CN"/>
        </w:rPr>
        <w:t>经费</w:t>
      </w:r>
      <w:r>
        <w:rPr>
          <w:rFonts w:hint="eastAsia" w:ascii="仿宋_GB2312" w:eastAsia="仿宋_GB2312"/>
          <w:sz w:val="32"/>
          <w:szCs w:val="32"/>
          <w:lang w:eastAsia="zh-CN"/>
        </w:rPr>
        <w:t>。</w:t>
      </w:r>
    </w:p>
    <w:p w14:paraId="6D528A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4、灾害防治及应急管理支出（类）应急管理事务（款）行政运行（项）：支出决算数为432.44万元，比上年决算减少104.58万元，下降19.47%，主要原因是：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在职人员减少</w:t>
      </w:r>
      <w:r>
        <w:rPr>
          <w:rFonts w:ascii="仿宋_GB2312" w:eastAsia="仿宋_GB2312"/>
          <w:sz w:val="32"/>
          <w:szCs w:val="32"/>
          <w:lang w:eastAsia="zh-CN"/>
        </w:rPr>
        <w:t>，相应人员经费和公用经费减少</w:t>
      </w:r>
      <w:r>
        <w:rPr>
          <w:rFonts w:hint="eastAsia" w:ascii="仿宋_GB2312" w:eastAsia="仿宋_GB2312"/>
          <w:sz w:val="32"/>
          <w:szCs w:val="32"/>
          <w:lang w:eastAsia="zh-CN"/>
        </w:rPr>
        <w:t>。</w:t>
      </w:r>
    </w:p>
    <w:p w14:paraId="1291FFC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5、灾害防治及应急管理支出（类）应急管理事务（款）灾害风险防治（项）：支出决算数为40.00万元，比上年决算增加3.00万元，增长8.11%，主要原因是：</w:t>
      </w:r>
      <w:r>
        <w:rPr>
          <w:rFonts w:hint="eastAsia" w:ascii="仿宋_GB2312" w:eastAsia="仿宋_GB2312"/>
          <w:sz w:val="32"/>
          <w:szCs w:val="32"/>
          <w:lang w:eastAsia="zh-CN"/>
        </w:rPr>
        <w:t>单位本年全国自然灾害综合风险普查中央补助资金较上年增加。</w:t>
      </w:r>
    </w:p>
    <w:p w14:paraId="060D41F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6、灾害防治及应急管理支出（类）应急管理事务（款）安全监管（项）：支出决算数为2.00万元，比上年决算增加2.00万元，增长100.00%，主要原因是：</w:t>
      </w:r>
      <w:bookmarkStart w:id="0" w:name="OLE_LINK1"/>
      <w:r>
        <w:rPr>
          <w:rFonts w:ascii="仿宋_GB2312" w:eastAsia="仿宋_GB2312"/>
          <w:sz w:val="32"/>
          <w:szCs w:val="32"/>
          <w:lang w:eastAsia="zh-CN"/>
        </w:rPr>
        <w:t>本年增加</w:t>
      </w:r>
      <w:r>
        <w:rPr>
          <w:rFonts w:hint="eastAsia" w:ascii="仿宋_GB2312" w:eastAsia="仿宋_GB2312"/>
          <w:sz w:val="32"/>
          <w:szCs w:val="32"/>
          <w:lang w:eastAsia="zh-CN"/>
        </w:rPr>
        <w:t>安全生产目标考核奖金</w:t>
      </w:r>
      <w:bookmarkEnd w:id="0"/>
      <w:r>
        <w:rPr>
          <w:rFonts w:hint="eastAsia" w:ascii="仿宋_GB2312" w:eastAsia="仿宋_GB2312"/>
          <w:sz w:val="32"/>
          <w:szCs w:val="32"/>
          <w:lang w:eastAsia="zh-CN"/>
        </w:rPr>
        <w:t>。</w:t>
      </w:r>
    </w:p>
    <w:p w14:paraId="45A96D9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7、灾害防治及应急管理支出（类）应急管理事务（款）事业运行（项）：支出决算数为49.32万元，比上年决算增加49.32万元，增长100.00%，主要原因是：</w:t>
      </w:r>
      <w:r>
        <w:rPr>
          <w:rFonts w:hint="eastAsia" w:ascii="仿宋_GB2312" w:eastAsia="仿宋_GB2312"/>
          <w:sz w:val="32"/>
          <w:szCs w:val="32"/>
          <w:lang w:eastAsia="zh-CN"/>
        </w:rPr>
        <w:t>单位本年人员细化，事业人员的人员经费在此</w:t>
      </w:r>
      <w:r>
        <w:rPr>
          <w:rFonts w:hint="eastAsia" w:ascii="仿宋_GB2312" w:eastAsia="仿宋_GB2312"/>
          <w:sz w:val="32"/>
          <w:szCs w:val="32"/>
          <w:lang w:val="en-US" w:eastAsia="zh-CN"/>
        </w:rPr>
        <w:t>科目</w:t>
      </w:r>
      <w:r>
        <w:rPr>
          <w:rFonts w:hint="eastAsia" w:ascii="仿宋_GB2312" w:eastAsia="仿宋_GB2312"/>
          <w:sz w:val="32"/>
          <w:szCs w:val="32"/>
          <w:lang w:eastAsia="zh-CN"/>
        </w:rPr>
        <w:t>中列支。</w:t>
      </w:r>
    </w:p>
    <w:p w14:paraId="0FDD01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8、灾害防治及应急管理支出（类）消防救援事务（款）消防应急救援（项）：支出决算数为0.00万元，比上年决算减少200.00万元，下降100.00%，主要原因是：本单位本年减少米东区消防站项目工程经费</w:t>
      </w:r>
      <w:r>
        <w:rPr>
          <w:rFonts w:hint="eastAsia" w:ascii="仿宋_GB2312" w:eastAsia="仿宋_GB2312"/>
          <w:sz w:val="32"/>
          <w:szCs w:val="32"/>
          <w:lang w:eastAsia="zh-CN"/>
        </w:rPr>
        <w:t>。</w:t>
      </w:r>
    </w:p>
    <w:p w14:paraId="2C87FE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84BB2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542.52万元，其中：人员经费535.76万元，包括：基本工资、津贴补贴、奖金、绩效工资、机关事业单位基本养老保险缴费、职工基本医疗保险缴费、公务员医疗补助缴费、其他社会保障缴费和住房公积金。</w:t>
      </w:r>
    </w:p>
    <w:p w14:paraId="0AF967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公用经费6.76万元，包括：办公费、手续费、维修（护）费、公务用车运行维护费和其他商品和服务支出。</w:t>
      </w:r>
    </w:p>
    <w:p w14:paraId="1D0637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29B95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5B5B2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698BD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C97D6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80B33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2024年度财政拨款“三公”经费支出6.35万元，比上年增加1.07万元，增长20.27%，主要原因是：本年车辆较上年增加三辆</w:t>
      </w:r>
      <w:r>
        <w:rPr>
          <w:rFonts w:hint="eastAsia" w:ascii="仿宋_GB2312" w:eastAsia="仿宋_GB2312"/>
          <w:sz w:val="32"/>
          <w:szCs w:val="32"/>
          <w:lang w:eastAsia="zh-CN"/>
        </w:rPr>
        <w:t>，车辆燃油费、保险费等较上年增加</w:t>
      </w:r>
      <w:r>
        <w:rPr>
          <w:rFonts w:ascii="仿宋_GB2312" w:eastAsia="仿宋_GB2312"/>
          <w:sz w:val="32"/>
          <w:szCs w:val="32"/>
          <w:lang w:eastAsia="zh-CN"/>
        </w:rPr>
        <w:t>。其中：因公出国（境）费支出0.00万元,占0.00%，与上年相比无变化，主要原因是：</w:t>
      </w:r>
      <w:bookmarkStart w:id="1" w:name="OLE_LINK2"/>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1"/>
      <w:r>
        <w:rPr>
          <w:rFonts w:ascii="仿宋_GB2312" w:eastAsia="仿宋_GB2312"/>
          <w:sz w:val="32"/>
          <w:szCs w:val="32"/>
          <w:lang w:eastAsia="zh-CN"/>
        </w:rPr>
        <w:t>；公务用车购置及运行维护费支出6.35万元，占100.00%，比上年增加1.07万元，增长20.27%，主要原因是：本年车辆较上年增加三辆</w:t>
      </w:r>
      <w:r>
        <w:rPr>
          <w:rFonts w:hint="eastAsia" w:ascii="仿宋_GB2312" w:eastAsia="仿宋_GB2312"/>
          <w:sz w:val="32"/>
          <w:szCs w:val="32"/>
          <w:lang w:eastAsia="zh-CN"/>
        </w:rPr>
        <w:t>，车辆燃油费、保险费等较上年增加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w:t>
      </w:r>
    </w:p>
    <w:p w14:paraId="50C1A0A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F3D64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OLE_LINK3"/>
      <w:r>
        <w:rPr>
          <w:rFonts w:hint="eastAsia" w:ascii="仿宋_GB2312" w:eastAsia="仿宋_GB2312"/>
          <w:sz w:val="32"/>
          <w:szCs w:val="32"/>
          <w:lang w:eastAsia="zh-CN"/>
        </w:rPr>
        <w:t>我单位本年无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2"/>
      <w:r>
        <w:rPr>
          <w:rFonts w:ascii="仿宋_GB2312" w:eastAsia="仿宋_GB2312"/>
          <w:sz w:val="32"/>
          <w:szCs w:val="32"/>
          <w:lang w:eastAsia="zh-CN"/>
        </w:rPr>
        <w:t>。单位全年安排的因公出国（境）团组0个，因公出国（境）0人次。</w:t>
      </w:r>
    </w:p>
    <w:p w14:paraId="613581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公务用车购置及运行维护费6.35万元，其中：公务用车购置费0.00万元，公务用车运行维护费6.35万元。公务用车运行维护费开支内容包括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。公务用车购置数0辆，公务用车保有量7辆。国有资产占用情况中固定资产车辆10辆，与公务用车保有量差异原因是：</w:t>
      </w:r>
      <w:r>
        <w:rPr>
          <w:rFonts w:hint="eastAsia" w:ascii="仿宋_GB2312" w:eastAsia="仿宋_GB2312"/>
          <w:sz w:val="32"/>
          <w:szCs w:val="32"/>
          <w:lang w:eastAsia="zh-CN"/>
        </w:rPr>
        <w:t>差异车辆为一般业务用车3辆，车辆费用未使用财政拨款公务用车运行维护费支付</w:t>
      </w:r>
      <w:r>
        <w:rPr>
          <w:rFonts w:ascii="仿宋_GB2312" w:eastAsia="仿宋_GB2312"/>
          <w:sz w:val="32"/>
          <w:szCs w:val="32"/>
          <w:lang w:eastAsia="zh-CN"/>
        </w:rPr>
        <w:t>。</w:t>
      </w:r>
    </w:p>
    <w:p w14:paraId="5CA3A5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0D162B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与全年预算相比，财政拨款“三公”经费支出全年预算数6.35万元，决算数6.35万元，预决算差异率0.00%，主要原因是：</w:t>
      </w:r>
      <w:bookmarkStart w:id="3" w:name="OLE_LINK4"/>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；公务用车运行维护费全年预算数6.35万元，决算数6.35万元，预决算差异率0.00%，主要原因是：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69418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A723C0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B7542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应急管理局(乌鲁木齐市米东区矿山安全监督管理局)单位（行政单位和参照公务员法管理事业单位）机关运行经费支出6.76万元，比上年减少100.91万元，下降93.72%，主要原因是：单位本年减少办公费、</w:t>
      </w:r>
      <w:r>
        <w:rPr>
          <w:rFonts w:hint="eastAsia" w:ascii="仿宋_GB2312" w:eastAsia="仿宋_GB2312"/>
          <w:sz w:val="32"/>
          <w:szCs w:val="32"/>
          <w:lang w:eastAsia="zh-CN"/>
        </w:rPr>
        <w:t>咨询费、</w:t>
      </w:r>
      <w:r>
        <w:rPr>
          <w:rFonts w:ascii="仿宋_GB2312" w:eastAsia="仿宋_GB2312"/>
          <w:sz w:val="32"/>
          <w:szCs w:val="32"/>
          <w:lang w:eastAsia="zh-CN"/>
        </w:rPr>
        <w:t>取暖费</w:t>
      </w:r>
      <w:r>
        <w:rPr>
          <w:rFonts w:hint="eastAsia" w:ascii="仿宋_GB2312" w:eastAsia="仿宋_GB2312"/>
          <w:sz w:val="32"/>
          <w:szCs w:val="32"/>
          <w:lang w:eastAsia="zh-CN"/>
        </w:rPr>
        <w:t>等</w:t>
      </w:r>
      <w:r>
        <w:rPr>
          <w:rFonts w:ascii="仿宋_GB2312" w:eastAsia="仿宋_GB2312"/>
          <w:sz w:val="32"/>
          <w:szCs w:val="32"/>
          <w:lang w:eastAsia="zh-CN"/>
        </w:rPr>
        <w:t>。</w:t>
      </w:r>
    </w:p>
    <w:p w14:paraId="4C7A0CE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14CBF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2024年度政府采购支出总额798.48万元，其中：政府采购货物支出798.48万元、政府采购工程支出0.00万元、政府采购服务支出0.00万元。</w:t>
      </w:r>
    </w:p>
    <w:p w14:paraId="785B47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授予中小企业合同金额798.48万元，占政府采购支出总额的100.00%，其中：授予小微企业合同金额798.48万元，占政府采购支出总额的100.00%。</w:t>
      </w:r>
    </w:p>
    <w:p w14:paraId="60E4F75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AF0DE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截至2024年12月31日，房屋2,837.00平方米，价值302.14万元。</w:t>
      </w:r>
      <w:r>
        <w:rPr>
          <w:rFonts w:ascii="仿宋_GB2312" w:eastAsia="仿宋_GB2312"/>
          <w:sz w:val="32"/>
          <w:szCs w:val="32"/>
          <w:lang w:eastAsia="zh-CN"/>
        </w:rPr>
        <w:t>车辆10辆，价值436.61万元，其中：副部（省）级及以上领导用车0辆、主要负责人用车0辆、机要通信用车0辆、应急保障用车3辆、执法执勤用车0辆、特种专业技术用车0辆、离退休干部服务用车0辆、其他用车7辆，其他用车主要是：单位业务用车;单价100万元（含）以上设备（不含车辆）0台（套）。</w:t>
      </w:r>
    </w:p>
    <w:p w14:paraId="158E18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7071D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根据预算绩效管理要求，本单位2024年度预算绩效管理形成整体支出绩效自评表1个，全年预算总额5,379.35万元，实际执行总额5,376.07万元；预算绩效评价项目</w:t>
      </w:r>
      <w:r>
        <w:rPr>
          <w:rFonts w:hint="eastAsia" w:ascii="仿宋_GB2312" w:eastAsia="仿宋_GB2312"/>
          <w:sz w:val="32"/>
          <w:szCs w:val="32"/>
          <w:lang w:eastAsia="zh-CN"/>
        </w:rPr>
        <w:t>1</w:t>
      </w:r>
      <w:r>
        <w:rPr>
          <w:rFonts w:ascii="仿宋_GB2312" w:eastAsia="仿宋_GB2312"/>
          <w:sz w:val="32"/>
          <w:szCs w:val="32"/>
          <w:lang w:eastAsia="zh-CN"/>
        </w:rPr>
        <w:t>个，全年预算数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万元，全年执行数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在绩效目标设定的过程中，个别绩效目标设定不够准确、全面，存在不合理的情况；二是中小企业安全生产条件差，安全设施不到位，存在大量事故隐患；三是预算编制科学性的问题。预算编制之合理性相对不足，主要表现在预算调整数较大，年度目标与长期规划衔接的紧密程度需要增强。下一步改进措施：一是加强相关人员的业务知识培训，进一步提高部门整体绩效目标设定的合理性，树立全局观；二是加强企业安全生产主体责任意识，提高自我约束、自我管理安全生产工作的主动性，落实隐患排查制度；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四是加强固定资产监管制度，科学、合理配备及有效使用固定资产，确保固定资产的安全和完整，固定资产管理应当坚持</w:t>
      </w:r>
      <w:r>
        <w:rPr>
          <w:rFonts w:hint="eastAsia" w:ascii="仿宋_GB2312" w:eastAsia="仿宋_GB2312"/>
          <w:sz w:val="32"/>
          <w:szCs w:val="32"/>
          <w:lang w:eastAsia="zh-CN"/>
        </w:rPr>
        <w:t>“</w:t>
      </w:r>
      <w:r>
        <w:rPr>
          <w:rFonts w:ascii="仿宋_GB2312" w:eastAsia="仿宋_GB2312"/>
          <w:sz w:val="32"/>
          <w:szCs w:val="32"/>
          <w:lang w:eastAsia="zh-CN"/>
        </w:rPr>
        <w:t>资产管理与预算管理相结合、资产管理与财务管理相结合、实物管理与价值管理相结合</w:t>
      </w:r>
      <w:r>
        <w:rPr>
          <w:rFonts w:hint="eastAsia" w:ascii="仿宋_GB2312" w:eastAsia="仿宋_GB2312"/>
          <w:sz w:val="32"/>
          <w:szCs w:val="32"/>
          <w:lang w:eastAsia="zh-CN"/>
        </w:rPr>
        <w:t>”</w:t>
      </w:r>
      <w:r>
        <w:rPr>
          <w:rFonts w:ascii="仿宋_GB2312" w:eastAsia="仿宋_GB2312"/>
          <w:sz w:val="32"/>
          <w:szCs w:val="32"/>
          <w:lang w:eastAsia="zh-CN"/>
        </w:rPr>
        <w:t>的原则。具体附部门整体支出绩效自评表，项目支出绩效自评表和部门评价报告。</w:t>
      </w:r>
    </w:p>
    <w:p w14:paraId="77CBB9EC">
      <w:pPr>
        <w:spacing w:after="0" w:line="240" w:lineRule="auto"/>
        <w:ind w:firstLine="640" w:firstLineChars="200"/>
        <w:jc w:val="both"/>
        <w:rPr>
          <w:rFonts w:hint="eastAsia" w:ascii="仿宋_GB2312" w:eastAsia="仿宋_GB2312"/>
          <w:sz w:val="32"/>
          <w:szCs w:val="32"/>
          <w:lang w:eastAsia="zh-CN"/>
        </w:rPr>
      </w:pPr>
    </w:p>
    <w:p w14:paraId="06F74AD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28"/>
          <w:szCs w:val="28"/>
          <w:lang w:eastAsia="zh-CN"/>
        </w:rPr>
        <w:t>部门（单位）整体支出绩效目标自评表</w:t>
      </w:r>
    </w:p>
    <w:p w14:paraId="57FF383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51" w:type="dxa"/>
        <w:tblInd w:w="-601" w:type="dxa"/>
        <w:tblLayout w:type="fixed"/>
        <w:tblCellMar>
          <w:top w:w="0" w:type="dxa"/>
          <w:left w:w="108" w:type="dxa"/>
          <w:bottom w:w="0" w:type="dxa"/>
          <w:right w:w="108" w:type="dxa"/>
        </w:tblCellMar>
      </w:tblPr>
      <w:tblGrid>
        <w:gridCol w:w="993"/>
        <w:gridCol w:w="1276"/>
        <w:gridCol w:w="1134"/>
        <w:gridCol w:w="1134"/>
        <w:gridCol w:w="2268"/>
        <w:gridCol w:w="1134"/>
        <w:gridCol w:w="992"/>
        <w:gridCol w:w="720"/>
      </w:tblGrid>
      <w:tr w14:paraId="493E3E6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51C06C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F3C924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乌鲁木齐市米东区应急管理局(乌鲁木齐市米东区矿山安全监督管理局)</w:t>
            </w:r>
          </w:p>
        </w:tc>
      </w:tr>
      <w:tr w14:paraId="53785221">
        <w:tblPrEx>
          <w:tblCellMar>
            <w:top w:w="0" w:type="dxa"/>
            <w:left w:w="108" w:type="dxa"/>
            <w:bottom w:w="0" w:type="dxa"/>
            <w:right w:w="108" w:type="dxa"/>
          </w:tblCellMar>
        </w:tblPrEx>
        <w:trPr>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73ED9BC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276" w:type="dxa"/>
            <w:tcBorders>
              <w:top w:val="nil"/>
              <w:left w:val="nil"/>
              <w:bottom w:val="single" w:color="auto" w:sz="4" w:space="0"/>
              <w:right w:val="single" w:color="auto" w:sz="4" w:space="0"/>
            </w:tcBorders>
            <w:vAlign w:val="center"/>
          </w:tcPr>
          <w:p w14:paraId="7D7F479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134" w:type="dxa"/>
            <w:tcBorders>
              <w:top w:val="nil"/>
              <w:left w:val="nil"/>
              <w:bottom w:val="single" w:color="auto" w:sz="4" w:space="0"/>
              <w:right w:val="single" w:color="auto" w:sz="4" w:space="0"/>
            </w:tcBorders>
            <w:vAlign w:val="center"/>
          </w:tcPr>
          <w:p w14:paraId="16EA3B3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134" w:type="dxa"/>
            <w:tcBorders>
              <w:top w:val="nil"/>
              <w:left w:val="nil"/>
              <w:bottom w:val="single" w:color="auto" w:sz="4" w:space="0"/>
              <w:right w:val="single" w:color="auto" w:sz="4" w:space="0"/>
            </w:tcBorders>
            <w:vAlign w:val="center"/>
          </w:tcPr>
          <w:p w14:paraId="32EE218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2268" w:type="dxa"/>
            <w:tcBorders>
              <w:top w:val="nil"/>
              <w:left w:val="nil"/>
              <w:bottom w:val="single" w:color="auto" w:sz="4" w:space="0"/>
              <w:right w:val="single" w:color="auto" w:sz="4" w:space="0"/>
            </w:tcBorders>
            <w:vAlign w:val="center"/>
          </w:tcPr>
          <w:p w14:paraId="7488A6C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974359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3A385BA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1F20532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0044819">
        <w:tblPrEx>
          <w:tblCellMar>
            <w:top w:w="0" w:type="dxa"/>
            <w:left w:w="108" w:type="dxa"/>
            <w:bottom w:w="0" w:type="dxa"/>
            <w:right w:w="108" w:type="dxa"/>
          </w:tblCellMar>
        </w:tblPrEx>
        <w:trPr>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49F3A1F7">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noWrap/>
            <w:vAlign w:val="center"/>
          </w:tcPr>
          <w:p w14:paraId="229962B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134" w:type="dxa"/>
            <w:tcBorders>
              <w:top w:val="nil"/>
              <w:left w:val="nil"/>
              <w:bottom w:val="single" w:color="auto" w:sz="4" w:space="0"/>
              <w:right w:val="single" w:color="auto" w:sz="4" w:space="0"/>
            </w:tcBorders>
            <w:vAlign w:val="center"/>
          </w:tcPr>
          <w:p w14:paraId="716DB69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3,743.44</w:t>
            </w:r>
          </w:p>
        </w:tc>
        <w:tc>
          <w:tcPr>
            <w:tcW w:w="1134" w:type="dxa"/>
            <w:tcBorders>
              <w:top w:val="nil"/>
              <w:left w:val="nil"/>
              <w:bottom w:val="single" w:color="auto" w:sz="4" w:space="0"/>
              <w:right w:val="single" w:color="auto" w:sz="4" w:space="0"/>
            </w:tcBorders>
            <w:vAlign w:val="center"/>
          </w:tcPr>
          <w:p w14:paraId="1903899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5,379.35</w:t>
            </w:r>
          </w:p>
        </w:tc>
        <w:tc>
          <w:tcPr>
            <w:tcW w:w="2268" w:type="dxa"/>
            <w:tcBorders>
              <w:top w:val="nil"/>
              <w:left w:val="nil"/>
              <w:bottom w:val="single" w:color="auto" w:sz="4" w:space="0"/>
              <w:right w:val="single" w:color="auto" w:sz="4" w:space="0"/>
            </w:tcBorders>
            <w:vAlign w:val="center"/>
          </w:tcPr>
          <w:p w14:paraId="37C236B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5,376.07</w:t>
            </w:r>
          </w:p>
        </w:tc>
        <w:tc>
          <w:tcPr>
            <w:tcW w:w="1134" w:type="dxa"/>
            <w:tcBorders>
              <w:top w:val="nil"/>
              <w:left w:val="nil"/>
              <w:bottom w:val="single" w:color="auto" w:sz="4" w:space="0"/>
              <w:right w:val="single" w:color="auto" w:sz="4" w:space="0"/>
            </w:tcBorders>
            <w:vAlign w:val="center"/>
          </w:tcPr>
          <w:p w14:paraId="30B970D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552B56C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99.94%</w:t>
            </w:r>
          </w:p>
        </w:tc>
        <w:tc>
          <w:tcPr>
            <w:tcW w:w="720" w:type="dxa"/>
            <w:tcBorders>
              <w:top w:val="nil"/>
              <w:left w:val="nil"/>
              <w:bottom w:val="single" w:color="auto" w:sz="4" w:space="0"/>
              <w:right w:val="single" w:color="auto" w:sz="4" w:space="0"/>
            </w:tcBorders>
            <w:vAlign w:val="center"/>
          </w:tcPr>
          <w:p w14:paraId="7AABF1B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w:t>
            </w:r>
          </w:p>
        </w:tc>
      </w:tr>
      <w:tr w14:paraId="210C7381">
        <w:tblPrEx>
          <w:tblCellMar>
            <w:top w:w="0" w:type="dxa"/>
            <w:left w:w="108" w:type="dxa"/>
            <w:bottom w:w="0" w:type="dxa"/>
            <w:right w:w="108" w:type="dxa"/>
          </w:tblCellMar>
        </w:tblPrEx>
        <w:trPr>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2F4EADF7">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7874B01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134" w:type="dxa"/>
            <w:tcBorders>
              <w:top w:val="nil"/>
              <w:left w:val="nil"/>
              <w:bottom w:val="single" w:color="auto" w:sz="4" w:space="0"/>
              <w:right w:val="single" w:color="auto" w:sz="4" w:space="0"/>
            </w:tcBorders>
            <w:vAlign w:val="center"/>
          </w:tcPr>
          <w:p w14:paraId="2F959BD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20.00</w:t>
            </w:r>
          </w:p>
        </w:tc>
        <w:tc>
          <w:tcPr>
            <w:tcW w:w="1134" w:type="dxa"/>
            <w:tcBorders>
              <w:top w:val="nil"/>
              <w:left w:val="nil"/>
              <w:bottom w:val="single" w:color="auto" w:sz="4" w:space="0"/>
              <w:right w:val="single" w:color="auto" w:sz="4" w:space="0"/>
            </w:tcBorders>
            <w:vAlign w:val="center"/>
          </w:tcPr>
          <w:p w14:paraId="19881CE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2268" w:type="dxa"/>
            <w:tcBorders>
              <w:top w:val="nil"/>
              <w:left w:val="nil"/>
              <w:bottom w:val="single" w:color="auto" w:sz="4" w:space="0"/>
              <w:right w:val="single" w:color="auto" w:sz="4" w:space="0"/>
            </w:tcBorders>
            <w:vAlign w:val="center"/>
          </w:tcPr>
          <w:p w14:paraId="15C9EB0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7E49C02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6E5DB8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C70EF3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630E89B">
        <w:tblPrEx>
          <w:tblCellMar>
            <w:top w:w="0" w:type="dxa"/>
            <w:left w:w="108" w:type="dxa"/>
            <w:bottom w:w="0" w:type="dxa"/>
            <w:right w:w="108" w:type="dxa"/>
          </w:tblCellMar>
        </w:tblPrEx>
        <w:trPr>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75B7E2F8">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2A8B2C6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134" w:type="dxa"/>
            <w:tcBorders>
              <w:top w:val="nil"/>
              <w:left w:val="nil"/>
              <w:bottom w:val="single" w:color="auto" w:sz="4" w:space="0"/>
              <w:right w:val="single" w:color="auto" w:sz="4" w:space="0"/>
            </w:tcBorders>
            <w:vAlign w:val="center"/>
          </w:tcPr>
          <w:p w14:paraId="3832F2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3,723.44</w:t>
            </w:r>
          </w:p>
        </w:tc>
        <w:tc>
          <w:tcPr>
            <w:tcW w:w="1134" w:type="dxa"/>
            <w:tcBorders>
              <w:top w:val="nil"/>
              <w:left w:val="nil"/>
              <w:bottom w:val="single" w:color="auto" w:sz="4" w:space="0"/>
              <w:right w:val="single" w:color="auto" w:sz="4" w:space="0"/>
            </w:tcBorders>
            <w:vAlign w:val="center"/>
          </w:tcPr>
          <w:p w14:paraId="158F55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5,379.35</w:t>
            </w:r>
          </w:p>
        </w:tc>
        <w:tc>
          <w:tcPr>
            <w:tcW w:w="2268" w:type="dxa"/>
            <w:tcBorders>
              <w:top w:val="nil"/>
              <w:left w:val="nil"/>
              <w:bottom w:val="single" w:color="auto" w:sz="4" w:space="0"/>
              <w:right w:val="single" w:color="auto" w:sz="4" w:space="0"/>
            </w:tcBorders>
            <w:vAlign w:val="center"/>
          </w:tcPr>
          <w:p w14:paraId="36CD006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5,376.07</w:t>
            </w:r>
          </w:p>
        </w:tc>
        <w:tc>
          <w:tcPr>
            <w:tcW w:w="1134" w:type="dxa"/>
            <w:tcBorders>
              <w:top w:val="nil"/>
              <w:left w:val="nil"/>
              <w:bottom w:val="single" w:color="auto" w:sz="4" w:space="0"/>
              <w:right w:val="single" w:color="auto" w:sz="4" w:space="0"/>
            </w:tcBorders>
            <w:vAlign w:val="center"/>
          </w:tcPr>
          <w:p w14:paraId="7195460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06ACA0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278B027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57A520E5">
        <w:tblPrEx>
          <w:tblCellMar>
            <w:top w:w="0" w:type="dxa"/>
            <w:left w:w="108" w:type="dxa"/>
            <w:bottom w:w="0" w:type="dxa"/>
            <w:right w:w="108" w:type="dxa"/>
          </w:tblCellMar>
        </w:tblPrEx>
        <w:trPr>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0D585256">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105B606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134" w:type="dxa"/>
            <w:tcBorders>
              <w:top w:val="nil"/>
              <w:left w:val="nil"/>
              <w:bottom w:val="single" w:color="auto" w:sz="4" w:space="0"/>
              <w:right w:val="single" w:color="auto" w:sz="4" w:space="0"/>
            </w:tcBorders>
            <w:vAlign w:val="center"/>
          </w:tcPr>
          <w:p w14:paraId="1C8EC5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2C29ADC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2268" w:type="dxa"/>
            <w:tcBorders>
              <w:top w:val="nil"/>
              <w:left w:val="nil"/>
              <w:bottom w:val="single" w:color="auto" w:sz="4" w:space="0"/>
              <w:right w:val="single" w:color="auto" w:sz="4" w:space="0"/>
            </w:tcBorders>
            <w:vAlign w:val="center"/>
          </w:tcPr>
          <w:p w14:paraId="55FC9E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5754EF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707293B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7699F99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7A1EC3CD">
        <w:tblPrEx>
          <w:tblCellMar>
            <w:top w:w="0" w:type="dxa"/>
            <w:left w:w="108" w:type="dxa"/>
            <w:bottom w:w="0" w:type="dxa"/>
            <w:right w:w="108" w:type="dxa"/>
          </w:tblCellMar>
        </w:tblPrEx>
        <w:trPr>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74EBE6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3544" w:type="dxa"/>
            <w:gridSpan w:val="3"/>
            <w:tcBorders>
              <w:top w:val="single" w:color="auto" w:sz="4" w:space="0"/>
              <w:left w:val="nil"/>
              <w:bottom w:val="single" w:color="auto" w:sz="4" w:space="0"/>
              <w:right w:val="single" w:color="auto" w:sz="4" w:space="0"/>
            </w:tcBorders>
            <w:noWrap/>
            <w:vAlign w:val="center"/>
          </w:tcPr>
          <w:p w14:paraId="18F1F4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5114" w:type="dxa"/>
            <w:gridSpan w:val="4"/>
            <w:tcBorders>
              <w:top w:val="single" w:color="auto" w:sz="4" w:space="0"/>
              <w:left w:val="nil"/>
              <w:bottom w:val="single" w:color="auto" w:sz="4" w:space="0"/>
              <w:right w:val="single" w:color="auto" w:sz="4" w:space="0"/>
            </w:tcBorders>
            <w:noWrap/>
            <w:vAlign w:val="center"/>
          </w:tcPr>
          <w:p w14:paraId="1538D85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78976E07">
        <w:tblPrEx>
          <w:tblCellMar>
            <w:top w:w="0" w:type="dxa"/>
            <w:left w:w="108" w:type="dxa"/>
            <w:bottom w:w="0" w:type="dxa"/>
            <w:right w:w="108" w:type="dxa"/>
          </w:tblCellMar>
        </w:tblPrEx>
        <w:trPr>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094A8078">
            <w:pPr>
              <w:spacing w:after="0" w:line="240" w:lineRule="auto"/>
              <w:rPr>
                <w:rFonts w:ascii="宋体" w:hAnsi="宋体" w:eastAsia="宋体" w:cs="Times New Roman"/>
                <w:b/>
                <w:bCs/>
                <w:sz w:val="18"/>
                <w:szCs w:val="18"/>
                <w:lang w:eastAsia="zh-CN"/>
              </w:rPr>
            </w:pPr>
          </w:p>
        </w:tc>
        <w:tc>
          <w:tcPr>
            <w:tcW w:w="3544" w:type="dxa"/>
            <w:gridSpan w:val="3"/>
            <w:tcBorders>
              <w:top w:val="single" w:color="auto" w:sz="4" w:space="0"/>
              <w:left w:val="nil"/>
              <w:bottom w:val="single" w:color="auto" w:sz="4" w:space="0"/>
              <w:right w:val="single" w:color="auto" w:sz="4" w:space="0"/>
            </w:tcBorders>
          </w:tcPr>
          <w:p w14:paraId="0A2F2BC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一）以习近平总书记总体国家安全观为指引，在推进安全生产治理体系和能力现代化上迈出新步伐。（二）组织开展日常考核、重要时间节点安全生产大检查，督促落实属地管理责任、行业监管责任、企业主体责任。在危险化学品、非煤矿山、冶金工贸行业领域开展持续不间断安全生产执法检查，落实自治区安全生产严格执法十项措施，强化危化品生产、储存、经营、运输、使用和废弃处置等各环节安全管理，加强源头管控。（三）切实做好风险防控和隐患排查治理双重预防体系建设。（四）完善对事故单位的“挂牌督办”机制。（五）落实“专家库+专干库+专员库”机制。（六）强化安全生产基础设施建设。</w:t>
            </w:r>
          </w:p>
        </w:tc>
        <w:tc>
          <w:tcPr>
            <w:tcW w:w="5114" w:type="dxa"/>
            <w:gridSpan w:val="4"/>
            <w:tcBorders>
              <w:top w:val="single" w:color="auto" w:sz="4" w:space="0"/>
              <w:left w:val="nil"/>
              <w:bottom w:val="single" w:color="auto" w:sz="4" w:space="0"/>
              <w:right w:val="single" w:color="auto" w:sz="4" w:space="0"/>
            </w:tcBorders>
          </w:tcPr>
          <w:p w14:paraId="4EAF1CE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注重政治引领，加强理论学习。一是局党委带头落实党建工作责任制，年初召开专题会议，研究部署2024年党建工作，制定《2024年应急管理局党建工作要点》，二是突出学习重点，全覆盖开展“大学习、大讨论”。切实把准确学习领会党的二十大和二十届三中全会精神、习近平总书记重要论述等作为“第一议题”首学内容，全年共召开党委（扩大）会议8次，理论学习中心</w:t>
            </w:r>
            <w:bookmarkStart w:id="5" w:name="_GoBack"/>
            <w:bookmarkEnd w:id="5"/>
            <w:r>
              <w:rPr>
                <w:rFonts w:hint="eastAsia" w:ascii="宋体" w:hAnsi="宋体" w:eastAsia="宋体" w:cs="Times New Roman"/>
                <w:sz w:val="18"/>
                <w:szCs w:val="18"/>
                <w:lang w:eastAsia="zh-CN"/>
              </w:rPr>
              <w:t>组学习11次，学习习近平总书记有关重要论述80余篇，针对学习习近平总书记重要论述、党的二十大精神等开展研讨交流32人次。2、夯实党建基础，加强日常管理。严格落实基层党组织组织生活会，扎实开展民主评议党员工作。今年以来，召开党员大会4次，支委会8次，书记讲党课4次，党员干部集中学习28次，专题交流5次，开展“党旗映天山”主题党日活动10次，参观警示教育基地2次。召开党委班子民主生活会1次、支部组织生活会1次。通过系列活动，切实推动党建基础工作更加规范。3、常态化开展安全生产隐患排查整治。深化重点行业领域隐患排查整治。紧盯矿山、危险化学品、冶金工贸等重点行业领域，检查生产经营单位895家次，消除安全隐患6520余条，整改消除重大安全隐患43条（其中自治区帮扶指导重大隐患32条），重点企业检查数量110家，重点企业检查率69.1%，许可企业检查覆盖率100%，全年联合执法检查10次，期间，局执法科室开展精准执法培训，严厉打击违法违规行为，开展行政处罚84次、罚款674万元，开展企业安全培训18场、797人次，开展执法人员业务培训42场、948人次，全年培训天数60天，约谈企业44家。通过整治活动，有效督促企业落实安全生产主体责任。4、压紧压实安全生产各方责任。落实“党政同责、一岗双责”，将安全生产与业务工作同安排、同检查，组织参加全国、自治区、市专题会议25次，召开区安委会全体会议3次，召开安全生产专题、调度等会议12次，不折不扣地把自治区党委、市委、区委各项具体要求落实到位。</w:t>
            </w:r>
          </w:p>
        </w:tc>
      </w:tr>
      <w:tr w14:paraId="71A5C9D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464F62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276" w:type="dxa"/>
            <w:tcBorders>
              <w:top w:val="nil"/>
              <w:left w:val="nil"/>
              <w:bottom w:val="single" w:color="auto" w:sz="4" w:space="0"/>
              <w:right w:val="single" w:color="auto" w:sz="4" w:space="0"/>
            </w:tcBorders>
            <w:vAlign w:val="center"/>
          </w:tcPr>
          <w:p w14:paraId="104440D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134" w:type="dxa"/>
            <w:tcBorders>
              <w:top w:val="nil"/>
              <w:left w:val="nil"/>
              <w:bottom w:val="single" w:color="auto" w:sz="4" w:space="0"/>
              <w:right w:val="single" w:color="auto" w:sz="4" w:space="0"/>
            </w:tcBorders>
            <w:vAlign w:val="center"/>
          </w:tcPr>
          <w:p w14:paraId="25791A1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134" w:type="dxa"/>
            <w:tcBorders>
              <w:top w:val="nil"/>
              <w:left w:val="nil"/>
              <w:bottom w:val="single" w:color="auto" w:sz="4" w:space="0"/>
              <w:right w:val="single" w:color="auto" w:sz="4" w:space="0"/>
            </w:tcBorders>
            <w:vAlign w:val="center"/>
          </w:tcPr>
          <w:p w14:paraId="31EA492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2268" w:type="dxa"/>
            <w:tcBorders>
              <w:top w:val="nil"/>
              <w:left w:val="nil"/>
              <w:bottom w:val="single" w:color="auto" w:sz="4" w:space="0"/>
              <w:right w:val="single" w:color="auto" w:sz="4" w:space="0"/>
            </w:tcBorders>
            <w:vAlign w:val="center"/>
          </w:tcPr>
          <w:p w14:paraId="04055FD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D3AB2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2FEEA5D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715D9D2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00D7341">
        <w:tblPrEx>
          <w:tblCellMar>
            <w:top w:w="0" w:type="dxa"/>
            <w:left w:w="108" w:type="dxa"/>
            <w:bottom w:w="0" w:type="dxa"/>
            <w:right w:w="108" w:type="dxa"/>
          </w:tblCellMar>
        </w:tblPrEx>
        <w:trPr>
          <w:trHeight w:val="740" w:hRule="atLeast"/>
        </w:trPr>
        <w:tc>
          <w:tcPr>
            <w:tcW w:w="993" w:type="dxa"/>
            <w:vMerge w:val="restart"/>
            <w:tcBorders>
              <w:top w:val="nil"/>
              <w:left w:val="single" w:color="auto" w:sz="4" w:space="0"/>
              <w:bottom w:val="nil"/>
              <w:right w:val="single" w:color="auto" w:sz="4" w:space="0"/>
            </w:tcBorders>
            <w:noWrap/>
            <w:vAlign w:val="center"/>
          </w:tcPr>
          <w:p w14:paraId="003E1BA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276" w:type="dxa"/>
            <w:vMerge w:val="restart"/>
            <w:tcBorders>
              <w:top w:val="nil"/>
              <w:left w:val="nil"/>
              <w:bottom w:val="nil"/>
              <w:right w:val="single" w:color="auto" w:sz="4" w:space="0"/>
            </w:tcBorders>
            <w:noWrap/>
            <w:vAlign w:val="center"/>
          </w:tcPr>
          <w:p w14:paraId="69B671C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134" w:type="dxa"/>
            <w:tcBorders>
              <w:top w:val="nil"/>
              <w:left w:val="nil"/>
              <w:bottom w:val="single" w:color="auto" w:sz="4" w:space="0"/>
              <w:right w:val="single" w:color="auto" w:sz="4" w:space="0"/>
            </w:tcBorders>
            <w:noWrap/>
            <w:vAlign w:val="center"/>
          </w:tcPr>
          <w:p w14:paraId="1739043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联合执法检查次数</w:t>
            </w:r>
          </w:p>
        </w:tc>
        <w:tc>
          <w:tcPr>
            <w:tcW w:w="1134" w:type="dxa"/>
            <w:tcBorders>
              <w:top w:val="nil"/>
              <w:left w:val="nil"/>
              <w:bottom w:val="single" w:color="auto" w:sz="4" w:space="0"/>
              <w:right w:val="single" w:color="auto" w:sz="4" w:space="0"/>
            </w:tcBorders>
            <w:noWrap/>
            <w:vAlign w:val="center"/>
          </w:tcPr>
          <w:p w14:paraId="016491E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&gt;=10次</w:t>
            </w:r>
          </w:p>
        </w:tc>
        <w:tc>
          <w:tcPr>
            <w:tcW w:w="2268" w:type="dxa"/>
            <w:tcBorders>
              <w:top w:val="nil"/>
              <w:left w:val="nil"/>
              <w:bottom w:val="single" w:color="auto" w:sz="4" w:space="0"/>
              <w:right w:val="single" w:color="auto" w:sz="4" w:space="0"/>
            </w:tcBorders>
            <w:noWrap/>
            <w:vAlign w:val="center"/>
          </w:tcPr>
          <w:p w14:paraId="0A3EC495">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250844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10次</w:t>
            </w:r>
          </w:p>
        </w:tc>
        <w:tc>
          <w:tcPr>
            <w:tcW w:w="992" w:type="dxa"/>
            <w:tcBorders>
              <w:top w:val="nil"/>
              <w:left w:val="nil"/>
              <w:bottom w:val="single" w:color="auto" w:sz="4" w:space="0"/>
              <w:right w:val="single" w:color="auto" w:sz="4" w:space="0"/>
            </w:tcBorders>
            <w:noWrap/>
            <w:vAlign w:val="center"/>
          </w:tcPr>
          <w:p w14:paraId="4930F7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769300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27144E0B">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0F0B607B">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428101D3">
            <w:pPr>
              <w:spacing w:after="0" w:line="240" w:lineRule="auto"/>
              <w:rPr>
                <w:rFonts w:ascii="宋体" w:hAnsi="宋体" w:eastAsia="宋体" w:cs="Times New Roman"/>
                <w:sz w:val="18"/>
                <w:szCs w:val="18"/>
                <w:lang w:eastAsia="zh-CN"/>
              </w:rPr>
            </w:pPr>
          </w:p>
        </w:tc>
        <w:tc>
          <w:tcPr>
            <w:tcW w:w="1134" w:type="dxa"/>
            <w:tcBorders>
              <w:top w:val="nil"/>
              <w:left w:val="nil"/>
              <w:bottom w:val="single" w:color="auto" w:sz="4" w:space="0"/>
              <w:right w:val="single" w:color="auto" w:sz="4" w:space="0"/>
            </w:tcBorders>
            <w:noWrap/>
            <w:vAlign w:val="center"/>
          </w:tcPr>
          <w:p w14:paraId="6A2FC12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安全生产宣传教育培训天数</w:t>
            </w:r>
          </w:p>
        </w:tc>
        <w:tc>
          <w:tcPr>
            <w:tcW w:w="1134" w:type="dxa"/>
            <w:tcBorders>
              <w:top w:val="nil"/>
              <w:left w:val="nil"/>
              <w:bottom w:val="single" w:color="auto" w:sz="4" w:space="0"/>
              <w:right w:val="single" w:color="auto" w:sz="4" w:space="0"/>
            </w:tcBorders>
            <w:noWrap/>
            <w:vAlign w:val="center"/>
          </w:tcPr>
          <w:p w14:paraId="4511A78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&gt;=60天</w:t>
            </w:r>
          </w:p>
        </w:tc>
        <w:tc>
          <w:tcPr>
            <w:tcW w:w="2268" w:type="dxa"/>
            <w:tcBorders>
              <w:top w:val="nil"/>
              <w:left w:val="nil"/>
              <w:bottom w:val="single" w:color="auto" w:sz="4" w:space="0"/>
              <w:right w:val="single" w:color="auto" w:sz="4" w:space="0"/>
            </w:tcBorders>
            <w:noWrap/>
            <w:vAlign w:val="center"/>
          </w:tcPr>
          <w:p w14:paraId="5154758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302E931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60天</w:t>
            </w:r>
          </w:p>
        </w:tc>
        <w:tc>
          <w:tcPr>
            <w:tcW w:w="992" w:type="dxa"/>
            <w:tcBorders>
              <w:top w:val="nil"/>
              <w:left w:val="nil"/>
              <w:bottom w:val="single" w:color="auto" w:sz="4" w:space="0"/>
              <w:right w:val="single" w:color="auto" w:sz="4" w:space="0"/>
            </w:tcBorders>
            <w:noWrap/>
            <w:vAlign w:val="center"/>
          </w:tcPr>
          <w:p w14:paraId="05CCBBC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1A4CC1D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67A0B8AB">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5102CC18">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735C9539">
            <w:pPr>
              <w:spacing w:after="0" w:line="240" w:lineRule="auto"/>
              <w:rPr>
                <w:rFonts w:ascii="宋体" w:hAnsi="宋体" w:eastAsia="宋体" w:cs="Times New Roman"/>
                <w:sz w:val="18"/>
                <w:szCs w:val="18"/>
                <w:lang w:eastAsia="zh-CN"/>
              </w:rPr>
            </w:pPr>
          </w:p>
        </w:tc>
        <w:tc>
          <w:tcPr>
            <w:tcW w:w="1134" w:type="dxa"/>
            <w:tcBorders>
              <w:top w:val="nil"/>
              <w:left w:val="nil"/>
              <w:bottom w:val="single" w:color="auto" w:sz="4" w:space="0"/>
              <w:right w:val="single" w:color="auto" w:sz="4" w:space="0"/>
            </w:tcBorders>
            <w:noWrap/>
            <w:vAlign w:val="center"/>
          </w:tcPr>
          <w:p w14:paraId="41D5AA1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重点企业检查数量</w:t>
            </w:r>
          </w:p>
        </w:tc>
        <w:tc>
          <w:tcPr>
            <w:tcW w:w="1134" w:type="dxa"/>
            <w:tcBorders>
              <w:top w:val="nil"/>
              <w:left w:val="nil"/>
              <w:bottom w:val="single" w:color="auto" w:sz="4" w:space="0"/>
              <w:right w:val="single" w:color="auto" w:sz="4" w:space="0"/>
            </w:tcBorders>
            <w:noWrap/>
            <w:vAlign w:val="center"/>
          </w:tcPr>
          <w:p w14:paraId="3CEBDE7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&gt;=94家</w:t>
            </w:r>
          </w:p>
        </w:tc>
        <w:tc>
          <w:tcPr>
            <w:tcW w:w="2268" w:type="dxa"/>
            <w:tcBorders>
              <w:top w:val="nil"/>
              <w:left w:val="nil"/>
              <w:bottom w:val="single" w:color="auto" w:sz="4" w:space="0"/>
              <w:right w:val="single" w:color="auto" w:sz="4" w:space="0"/>
            </w:tcBorders>
            <w:noWrap/>
            <w:vAlign w:val="center"/>
          </w:tcPr>
          <w:p w14:paraId="3FC37E4F">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49D1842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94家</w:t>
            </w:r>
          </w:p>
        </w:tc>
        <w:tc>
          <w:tcPr>
            <w:tcW w:w="992" w:type="dxa"/>
            <w:tcBorders>
              <w:top w:val="nil"/>
              <w:left w:val="nil"/>
              <w:bottom w:val="single" w:color="auto" w:sz="4" w:space="0"/>
              <w:right w:val="single" w:color="auto" w:sz="4" w:space="0"/>
            </w:tcBorders>
            <w:noWrap/>
            <w:vAlign w:val="center"/>
          </w:tcPr>
          <w:p w14:paraId="05C8864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78D3C95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7CF266CC">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1BD95B8E">
            <w:pPr>
              <w:spacing w:after="0" w:line="240" w:lineRule="auto"/>
              <w:rPr>
                <w:rFonts w:ascii="宋体" w:hAnsi="宋体" w:eastAsia="宋体" w:cs="Times New Roman"/>
                <w:sz w:val="18"/>
                <w:szCs w:val="18"/>
                <w:lang w:eastAsia="zh-CN"/>
              </w:rPr>
            </w:pPr>
          </w:p>
        </w:tc>
        <w:tc>
          <w:tcPr>
            <w:tcW w:w="1276" w:type="dxa"/>
            <w:vMerge w:val="restart"/>
            <w:tcBorders>
              <w:top w:val="nil"/>
              <w:left w:val="nil"/>
              <w:bottom w:val="nil"/>
              <w:right w:val="single" w:color="auto" w:sz="4" w:space="0"/>
            </w:tcBorders>
            <w:noWrap/>
            <w:vAlign w:val="center"/>
          </w:tcPr>
          <w:p w14:paraId="7C9A0B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质量指标</w:t>
            </w:r>
          </w:p>
        </w:tc>
        <w:tc>
          <w:tcPr>
            <w:tcW w:w="1134" w:type="dxa"/>
            <w:tcBorders>
              <w:top w:val="nil"/>
              <w:left w:val="nil"/>
              <w:bottom w:val="single" w:color="auto" w:sz="4" w:space="0"/>
              <w:right w:val="single" w:color="auto" w:sz="4" w:space="0"/>
            </w:tcBorders>
            <w:noWrap/>
            <w:vAlign w:val="center"/>
          </w:tcPr>
          <w:p w14:paraId="3CB7770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重点企业检查率</w:t>
            </w:r>
          </w:p>
        </w:tc>
        <w:tc>
          <w:tcPr>
            <w:tcW w:w="1134" w:type="dxa"/>
            <w:tcBorders>
              <w:top w:val="nil"/>
              <w:left w:val="nil"/>
              <w:bottom w:val="single" w:color="auto" w:sz="4" w:space="0"/>
              <w:right w:val="single" w:color="auto" w:sz="4" w:space="0"/>
            </w:tcBorders>
            <w:noWrap/>
            <w:vAlign w:val="center"/>
          </w:tcPr>
          <w:p w14:paraId="655E1F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w:t>
            </w:r>
          </w:p>
        </w:tc>
        <w:tc>
          <w:tcPr>
            <w:tcW w:w="2268" w:type="dxa"/>
            <w:tcBorders>
              <w:top w:val="nil"/>
              <w:left w:val="nil"/>
              <w:bottom w:val="single" w:color="auto" w:sz="4" w:space="0"/>
              <w:right w:val="single" w:color="auto" w:sz="4" w:space="0"/>
            </w:tcBorders>
            <w:noWrap/>
            <w:vAlign w:val="center"/>
          </w:tcPr>
          <w:p w14:paraId="66E8C1A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0A595BA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992" w:type="dxa"/>
            <w:tcBorders>
              <w:top w:val="nil"/>
              <w:left w:val="nil"/>
              <w:bottom w:val="single" w:color="auto" w:sz="4" w:space="0"/>
              <w:right w:val="single" w:color="auto" w:sz="4" w:space="0"/>
            </w:tcBorders>
            <w:noWrap/>
            <w:vAlign w:val="center"/>
          </w:tcPr>
          <w:p w14:paraId="211E4D3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22861E1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5394B657">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7A5E9871">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1A0B1C77">
            <w:pPr>
              <w:spacing w:after="0" w:line="240" w:lineRule="auto"/>
              <w:rPr>
                <w:rFonts w:ascii="宋体" w:hAnsi="宋体" w:eastAsia="宋体" w:cs="Times New Roman"/>
                <w:sz w:val="18"/>
                <w:szCs w:val="18"/>
                <w:lang w:eastAsia="zh-CN"/>
              </w:rPr>
            </w:pPr>
          </w:p>
        </w:tc>
        <w:tc>
          <w:tcPr>
            <w:tcW w:w="1134" w:type="dxa"/>
            <w:tcBorders>
              <w:top w:val="single" w:color="auto" w:sz="4" w:space="0"/>
              <w:left w:val="nil"/>
              <w:bottom w:val="single" w:color="auto" w:sz="4" w:space="0"/>
              <w:right w:val="single" w:color="auto" w:sz="4" w:space="0"/>
            </w:tcBorders>
            <w:noWrap/>
            <w:vAlign w:val="center"/>
          </w:tcPr>
          <w:p w14:paraId="374FCCF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许可企业检查覆盖率</w:t>
            </w:r>
          </w:p>
        </w:tc>
        <w:tc>
          <w:tcPr>
            <w:tcW w:w="1134" w:type="dxa"/>
            <w:tcBorders>
              <w:top w:val="single" w:color="auto" w:sz="4" w:space="0"/>
              <w:left w:val="nil"/>
              <w:bottom w:val="single" w:color="auto" w:sz="4" w:space="0"/>
              <w:right w:val="single" w:color="auto" w:sz="4" w:space="0"/>
            </w:tcBorders>
            <w:noWrap/>
            <w:vAlign w:val="center"/>
          </w:tcPr>
          <w:p w14:paraId="0B77AB8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&gt;=100%</w:t>
            </w:r>
          </w:p>
        </w:tc>
        <w:tc>
          <w:tcPr>
            <w:tcW w:w="2268" w:type="dxa"/>
            <w:tcBorders>
              <w:top w:val="single" w:color="auto" w:sz="4" w:space="0"/>
              <w:left w:val="nil"/>
              <w:bottom w:val="single" w:color="auto" w:sz="4" w:space="0"/>
              <w:right w:val="single" w:color="auto" w:sz="4" w:space="0"/>
            </w:tcBorders>
            <w:noWrap/>
            <w:vAlign w:val="center"/>
          </w:tcPr>
          <w:p w14:paraId="08FC1491">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single" w:color="auto" w:sz="4" w:space="0"/>
              <w:left w:val="nil"/>
              <w:bottom w:val="single" w:color="auto" w:sz="4" w:space="0"/>
              <w:right w:val="single" w:color="auto" w:sz="4" w:space="0"/>
            </w:tcBorders>
            <w:noWrap/>
            <w:vAlign w:val="center"/>
          </w:tcPr>
          <w:p w14:paraId="49ADACD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992" w:type="dxa"/>
            <w:tcBorders>
              <w:top w:val="single" w:color="auto" w:sz="4" w:space="0"/>
              <w:left w:val="nil"/>
              <w:bottom w:val="single" w:color="auto" w:sz="4" w:space="0"/>
              <w:right w:val="single" w:color="auto" w:sz="4" w:space="0"/>
            </w:tcBorders>
            <w:noWrap/>
            <w:vAlign w:val="center"/>
          </w:tcPr>
          <w:p w14:paraId="26CC3D0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single" w:color="auto" w:sz="4" w:space="0"/>
              <w:left w:val="nil"/>
              <w:bottom w:val="single" w:color="auto" w:sz="4" w:space="0"/>
              <w:right w:val="single" w:color="auto" w:sz="4" w:space="0"/>
            </w:tcBorders>
            <w:noWrap/>
            <w:vAlign w:val="center"/>
          </w:tcPr>
          <w:p w14:paraId="044DDA4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4BAFA3D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B23F8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7E0AD31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0050DE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99.99</w:t>
            </w:r>
          </w:p>
        </w:tc>
      </w:tr>
    </w:tbl>
    <w:p w14:paraId="2C2D2AA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BCAF1D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389" w:type="dxa"/>
        <w:tblInd w:w="-502" w:type="dxa"/>
        <w:tblLayout w:type="fixed"/>
        <w:tblCellMar>
          <w:top w:w="0" w:type="dxa"/>
          <w:left w:w="108" w:type="dxa"/>
          <w:bottom w:w="0" w:type="dxa"/>
          <w:right w:w="108" w:type="dxa"/>
        </w:tblCellMar>
      </w:tblPr>
      <w:tblGrid>
        <w:gridCol w:w="584"/>
        <w:gridCol w:w="689"/>
        <w:gridCol w:w="700"/>
        <w:gridCol w:w="591"/>
        <w:gridCol w:w="1198"/>
        <w:gridCol w:w="1089"/>
        <w:gridCol w:w="1190"/>
        <w:gridCol w:w="43"/>
        <w:gridCol w:w="693"/>
        <w:gridCol w:w="412"/>
        <w:gridCol w:w="280"/>
        <w:gridCol w:w="685"/>
        <w:gridCol w:w="1235"/>
      </w:tblGrid>
      <w:tr w14:paraId="3B125932">
        <w:tblPrEx>
          <w:tblCellMar>
            <w:top w:w="0" w:type="dxa"/>
            <w:left w:w="108" w:type="dxa"/>
            <w:bottom w:w="0" w:type="dxa"/>
            <w:right w:w="108" w:type="dxa"/>
          </w:tblCellMar>
        </w:tblPrEx>
        <w:trPr>
          <w:cantSplit/>
          <w:trHeight w:val="493" w:hRule="atLeast"/>
        </w:trPr>
        <w:tc>
          <w:tcPr>
            <w:tcW w:w="1273" w:type="dxa"/>
            <w:gridSpan w:val="2"/>
            <w:tcBorders>
              <w:top w:val="single" w:color="auto" w:sz="4" w:space="0"/>
              <w:left w:val="single" w:color="auto" w:sz="4" w:space="0"/>
              <w:bottom w:val="single" w:color="auto" w:sz="4" w:space="0"/>
              <w:right w:val="single" w:color="auto" w:sz="4" w:space="0"/>
            </w:tcBorders>
            <w:vAlign w:val="center"/>
          </w:tcPr>
          <w:p w14:paraId="13AC61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116" w:type="dxa"/>
            <w:gridSpan w:val="11"/>
            <w:tcBorders>
              <w:top w:val="single" w:color="auto" w:sz="4" w:space="0"/>
              <w:left w:val="nil"/>
              <w:bottom w:val="single" w:color="auto" w:sz="4" w:space="0"/>
              <w:right w:val="single" w:color="000000" w:sz="4" w:space="0"/>
            </w:tcBorders>
            <w:vAlign w:val="center"/>
          </w:tcPr>
          <w:p w14:paraId="571426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安全生产目标奖</w:t>
            </w:r>
          </w:p>
        </w:tc>
      </w:tr>
      <w:tr w14:paraId="4691F2C6">
        <w:tblPrEx>
          <w:tblCellMar>
            <w:top w:w="0" w:type="dxa"/>
            <w:left w:w="108" w:type="dxa"/>
            <w:bottom w:w="0" w:type="dxa"/>
            <w:right w:w="108" w:type="dxa"/>
          </w:tblCellMar>
        </w:tblPrEx>
        <w:trPr>
          <w:cantSplit/>
          <w:trHeight w:val="493" w:hRule="atLeast"/>
        </w:trPr>
        <w:tc>
          <w:tcPr>
            <w:tcW w:w="1273" w:type="dxa"/>
            <w:gridSpan w:val="2"/>
            <w:tcBorders>
              <w:top w:val="single" w:color="auto" w:sz="4" w:space="0"/>
              <w:left w:val="single" w:color="auto" w:sz="4" w:space="0"/>
              <w:bottom w:val="single" w:color="auto" w:sz="4" w:space="0"/>
              <w:right w:val="single" w:color="auto" w:sz="4" w:space="0"/>
            </w:tcBorders>
            <w:vAlign w:val="center"/>
          </w:tcPr>
          <w:p w14:paraId="49F49E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78" w:type="dxa"/>
            <w:gridSpan w:val="4"/>
            <w:tcBorders>
              <w:top w:val="single" w:color="auto" w:sz="4" w:space="0"/>
              <w:left w:val="nil"/>
              <w:bottom w:val="single" w:color="auto" w:sz="4" w:space="0"/>
              <w:right w:val="single" w:color="000000" w:sz="4" w:space="0"/>
            </w:tcBorders>
            <w:vAlign w:val="center"/>
          </w:tcPr>
          <w:p w14:paraId="487E89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乌鲁木齐市米东区应急管理局（乌鲁木齐市米东矿山安全监督管理局）</w:t>
            </w:r>
          </w:p>
        </w:tc>
        <w:tc>
          <w:tcPr>
            <w:tcW w:w="1233" w:type="dxa"/>
            <w:gridSpan w:val="2"/>
            <w:tcBorders>
              <w:top w:val="nil"/>
              <w:left w:val="nil"/>
              <w:bottom w:val="single" w:color="auto" w:sz="4" w:space="0"/>
              <w:right w:val="single" w:color="000000" w:sz="4" w:space="0"/>
            </w:tcBorders>
            <w:vAlign w:val="center"/>
          </w:tcPr>
          <w:p w14:paraId="396CF2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303" w:type="dxa"/>
            <w:gridSpan w:val="5"/>
            <w:tcBorders>
              <w:top w:val="nil"/>
              <w:left w:val="nil"/>
              <w:bottom w:val="single" w:color="auto" w:sz="4" w:space="0"/>
              <w:right w:val="single" w:color="000000" w:sz="4" w:space="0"/>
            </w:tcBorders>
            <w:vAlign w:val="center"/>
          </w:tcPr>
          <w:p w14:paraId="23992E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乌鲁木齐市米东区应急管理局(乌鲁木齐市米东区矿山安全监督管理局)</w:t>
            </w:r>
          </w:p>
        </w:tc>
      </w:tr>
      <w:tr w14:paraId="2B8FAAD7">
        <w:tblPrEx>
          <w:tblCellMar>
            <w:top w:w="0" w:type="dxa"/>
            <w:left w:w="108" w:type="dxa"/>
            <w:bottom w:w="0" w:type="dxa"/>
            <w:right w:w="108" w:type="dxa"/>
          </w:tblCellMar>
        </w:tblPrEx>
        <w:trPr>
          <w:cantSplit/>
          <w:trHeight w:val="493" w:hRule="atLeast"/>
        </w:trPr>
        <w:tc>
          <w:tcPr>
            <w:tcW w:w="1273" w:type="dxa"/>
            <w:gridSpan w:val="2"/>
            <w:vMerge w:val="restart"/>
            <w:tcBorders>
              <w:top w:val="nil"/>
              <w:left w:val="single" w:color="auto" w:sz="4" w:space="0"/>
              <w:bottom w:val="single" w:color="auto" w:sz="4" w:space="0"/>
              <w:right w:val="single" w:color="auto" w:sz="4" w:space="0"/>
            </w:tcBorders>
            <w:vAlign w:val="center"/>
          </w:tcPr>
          <w:p w14:paraId="681B759C">
            <w:pPr>
              <w:spacing w:after="0" w:line="240" w:lineRule="auto"/>
              <w:jc w:val="center"/>
              <w:rPr>
                <w:rFonts w:hint="eastAsia" w:ascii="宋体" w:hAnsi="宋体" w:eastAsia="宋体" w:cs="Times New Roman"/>
                <w:b/>
                <w:bCs/>
                <w:color w:val="000000"/>
                <w:sz w:val="18"/>
                <w:szCs w:val="18"/>
                <w:lang w:eastAsia="zh-CN"/>
              </w:rPr>
            </w:pPr>
            <w:bookmarkStart w:id="4" w:name="_Hlk210922657"/>
            <w:r>
              <w:rPr>
                <w:rFonts w:hint="eastAsia" w:ascii="宋体" w:hAnsi="宋体" w:eastAsia="宋体" w:cs="Times New Roman"/>
                <w:b/>
                <w:bCs/>
                <w:color w:val="000000"/>
                <w:sz w:val="18"/>
                <w:szCs w:val="18"/>
                <w:lang w:eastAsia="zh-CN"/>
              </w:rPr>
              <w:t>项目资金（万元）</w:t>
            </w:r>
          </w:p>
        </w:tc>
        <w:tc>
          <w:tcPr>
            <w:tcW w:w="1291" w:type="dxa"/>
            <w:gridSpan w:val="2"/>
            <w:tcBorders>
              <w:top w:val="single" w:color="auto" w:sz="4" w:space="0"/>
              <w:left w:val="nil"/>
              <w:bottom w:val="single" w:color="auto" w:sz="4" w:space="0"/>
              <w:right w:val="single" w:color="auto" w:sz="4" w:space="0"/>
            </w:tcBorders>
            <w:vAlign w:val="center"/>
          </w:tcPr>
          <w:p w14:paraId="007BE028">
            <w:pPr>
              <w:spacing w:after="0" w:line="240" w:lineRule="auto"/>
              <w:jc w:val="center"/>
              <w:rPr>
                <w:rFonts w:hint="eastAsia" w:ascii="宋体" w:hAnsi="宋体" w:eastAsia="宋体" w:cs="Times New Roman"/>
                <w:color w:val="000000"/>
                <w:sz w:val="18"/>
                <w:szCs w:val="18"/>
                <w:lang w:eastAsia="zh-CN"/>
              </w:rPr>
            </w:pPr>
          </w:p>
        </w:tc>
        <w:tc>
          <w:tcPr>
            <w:tcW w:w="1198" w:type="dxa"/>
            <w:tcBorders>
              <w:top w:val="single" w:color="auto" w:sz="4" w:space="0"/>
              <w:left w:val="nil"/>
              <w:bottom w:val="single" w:color="auto" w:sz="4" w:space="0"/>
              <w:right w:val="single" w:color="000000" w:sz="4" w:space="0"/>
            </w:tcBorders>
            <w:vAlign w:val="center"/>
          </w:tcPr>
          <w:p w14:paraId="2B5303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89" w:type="dxa"/>
            <w:tcBorders>
              <w:top w:val="nil"/>
              <w:left w:val="nil"/>
              <w:bottom w:val="single" w:color="auto" w:sz="4" w:space="0"/>
              <w:right w:val="single" w:color="auto" w:sz="4" w:space="0"/>
            </w:tcBorders>
            <w:vAlign w:val="center"/>
          </w:tcPr>
          <w:p w14:paraId="2AA7C2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33" w:type="dxa"/>
            <w:gridSpan w:val="2"/>
            <w:tcBorders>
              <w:top w:val="single" w:color="auto" w:sz="4" w:space="0"/>
              <w:left w:val="nil"/>
              <w:bottom w:val="single" w:color="auto" w:sz="4" w:space="0"/>
              <w:right w:val="single" w:color="auto" w:sz="4" w:space="0"/>
            </w:tcBorders>
            <w:vAlign w:val="center"/>
          </w:tcPr>
          <w:p w14:paraId="00D47BD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05" w:type="dxa"/>
            <w:gridSpan w:val="2"/>
            <w:tcBorders>
              <w:top w:val="single" w:color="auto" w:sz="4" w:space="0"/>
              <w:left w:val="nil"/>
              <w:bottom w:val="single" w:color="auto" w:sz="4" w:space="0"/>
              <w:right w:val="single" w:color="auto" w:sz="4" w:space="0"/>
            </w:tcBorders>
            <w:vAlign w:val="center"/>
          </w:tcPr>
          <w:p w14:paraId="729EB9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65" w:type="dxa"/>
            <w:gridSpan w:val="2"/>
            <w:tcBorders>
              <w:top w:val="single" w:color="auto" w:sz="4" w:space="0"/>
              <w:left w:val="nil"/>
              <w:bottom w:val="single" w:color="auto" w:sz="4" w:space="0"/>
              <w:right w:val="single" w:color="auto" w:sz="4" w:space="0"/>
            </w:tcBorders>
            <w:vAlign w:val="center"/>
          </w:tcPr>
          <w:p w14:paraId="4E350C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32" w:type="dxa"/>
            <w:tcBorders>
              <w:top w:val="nil"/>
              <w:left w:val="nil"/>
              <w:bottom w:val="single" w:color="auto" w:sz="4" w:space="0"/>
              <w:right w:val="single" w:color="auto" w:sz="4" w:space="0"/>
            </w:tcBorders>
            <w:vAlign w:val="center"/>
          </w:tcPr>
          <w:p w14:paraId="6436F6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7841887">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4199C94E">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43CC8EF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98" w:type="dxa"/>
            <w:tcBorders>
              <w:top w:val="single" w:color="auto" w:sz="4" w:space="0"/>
              <w:left w:val="nil"/>
              <w:bottom w:val="single" w:color="auto" w:sz="4" w:space="0"/>
              <w:right w:val="single" w:color="000000" w:sz="4" w:space="0"/>
            </w:tcBorders>
            <w:noWrap/>
            <w:vAlign w:val="center"/>
          </w:tcPr>
          <w:p w14:paraId="1994E3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89" w:type="dxa"/>
            <w:tcBorders>
              <w:top w:val="nil"/>
              <w:left w:val="nil"/>
              <w:bottom w:val="single" w:color="auto" w:sz="4" w:space="0"/>
              <w:right w:val="single" w:color="auto" w:sz="4" w:space="0"/>
            </w:tcBorders>
            <w:noWrap/>
            <w:vAlign w:val="center"/>
          </w:tcPr>
          <w:p w14:paraId="7FE4F2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233" w:type="dxa"/>
            <w:gridSpan w:val="2"/>
            <w:tcBorders>
              <w:top w:val="single" w:color="auto" w:sz="4" w:space="0"/>
              <w:left w:val="nil"/>
              <w:bottom w:val="single" w:color="auto" w:sz="4" w:space="0"/>
              <w:right w:val="single" w:color="000000" w:sz="4" w:space="0"/>
            </w:tcBorders>
            <w:noWrap/>
            <w:vAlign w:val="center"/>
          </w:tcPr>
          <w:p w14:paraId="0D393E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105" w:type="dxa"/>
            <w:gridSpan w:val="2"/>
            <w:tcBorders>
              <w:top w:val="single" w:color="auto" w:sz="4" w:space="0"/>
              <w:left w:val="nil"/>
              <w:bottom w:val="single" w:color="auto" w:sz="4" w:space="0"/>
              <w:right w:val="single" w:color="auto" w:sz="4" w:space="0"/>
            </w:tcBorders>
            <w:vAlign w:val="center"/>
          </w:tcPr>
          <w:p w14:paraId="682DC7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65" w:type="dxa"/>
            <w:gridSpan w:val="2"/>
            <w:tcBorders>
              <w:top w:val="single" w:color="auto" w:sz="4" w:space="0"/>
              <w:left w:val="nil"/>
              <w:bottom w:val="single" w:color="auto" w:sz="4" w:space="0"/>
              <w:right w:val="single" w:color="auto" w:sz="4" w:space="0"/>
            </w:tcBorders>
            <w:vAlign w:val="center"/>
          </w:tcPr>
          <w:p w14:paraId="3F47A4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32" w:type="dxa"/>
            <w:tcBorders>
              <w:top w:val="nil"/>
              <w:left w:val="nil"/>
              <w:bottom w:val="single" w:color="auto" w:sz="4" w:space="0"/>
              <w:right w:val="single" w:color="auto" w:sz="4" w:space="0"/>
            </w:tcBorders>
            <w:vAlign w:val="center"/>
          </w:tcPr>
          <w:p w14:paraId="3A8ABD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bookmarkEnd w:id="4"/>
      <w:tr w14:paraId="53CA26EE">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21ADEDB4">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2884D3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98" w:type="dxa"/>
            <w:tcBorders>
              <w:top w:val="single" w:color="auto" w:sz="4" w:space="0"/>
              <w:left w:val="nil"/>
              <w:bottom w:val="single" w:color="auto" w:sz="4" w:space="0"/>
              <w:right w:val="single" w:color="000000" w:sz="4" w:space="0"/>
            </w:tcBorders>
            <w:noWrap/>
            <w:vAlign w:val="center"/>
          </w:tcPr>
          <w:p w14:paraId="0AA750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89" w:type="dxa"/>
            <w:tcBorders>
              <w:top w:val="nil"/>
              <w:left w:val="nil"/>
              <w:bottom w:val="single" w:color="auto" w:sz="4" w:space="0"/>
              <w:right w:val="single" w:color="auto" w:sz="4" w:space="0"/>
            </w:tcBorders>
            <w:noWrap/>
            <w:vAlign w:val="center"/>
          </w:tcPr>
          <w:p w14:paraId="4FC06E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233" w:type="dxa"/>
            <w:gridSpan w:val="2"/>
            <w:tcBorders>
              <w:top w:val="single" w:color="auto" w:sz="4" w:space="0"/>
              <w:left w:val="nil"/>
              <w:bottom w:val="single" w:color="auto" w:sz="4" w:space="0"/>
              <w:right w:val="single" w:color="000000" w:sz="4" w:space="0"/>
            </w:tcBorders>
            <w:noWrap/>
            <w:vAlign w:val="center"/>
          </w:tcPr>
          <w:p w14:paraId="24644D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105" w:type="dxa"/>
            <w:gridSpan w:val="2"/>
            <w:tcBorders>
              <w:top w:val="single" w:color="auto" w:sz="4" w:space="0"/>
              <w:left w:val="nil"/>
              <w:bottom w:val="single" w:color="auto" w:sz="4" w:space="0"/>
              <w:right w:val="single" w:color="auto" w:sz="4" w:space="0"/>
            </w:tcBorders>
            <w:vAlign w:val="center"/>
          </w:tcPr>
          <w:p w14:paraId="36EBEA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5" w:type="dxa"/>
            <w:gridSpan w:val="2"/>
            <w:tcBorders>
              <w:top w:val="single" w:color="auto" w:sz="4" w:space="0"/>
              <w:left w:val="nil"/>
              <w:bottom w:val="single" w:color="auto" w:sz="4" w:space="0"/>
              <w:right w:val="single" w:color="auto" w:sz="4" w:space="0"/>
            </w:tcBorders>
            <w:vAlign w:val="center"/>
          </w:tcPr>
          <w:p w14:paraId="1394B0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2" w:type="dxa"/>
            <w:tcBorders>
              <w:top w:val="nil"/>
              <w:left w:val="nil"/>
              <w:bottom w:val="single" w:color="auto" w:sz="4" w:space="0"/>
              <w:right w:val="single" w:color="auto" w:sz="4" w:space="0"/>
            </w:tcBorders>
            <w:vAlign w:val="center"/>
          </w:tcPr>
          <w:p w14:paraId="4A5256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F1357BE">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0D444D0F">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104CEE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98" w:type="dxa"/>
            <w:tcBorders>
              <w:top w:val="single" w:color="auto" w:sz="4" w:space="0"/>
              <w:left w:val="nil"/>
              <w:bottom w:val="single" w:color="auto" w:sz="4" w:space="0"/>
              <w:right w:val="single" w:color="000000" w:sz="4" w:space="0"/>
            </w:tcBorders>
            <w:noWrap/>
            <w:vAlign w:val="center"/>
          </w:tcPr>
          <w:p w14:paraId="726E0F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9" w:type="dxa"/>
            <w:tcBorders>
              <w:top w:val="nil"/>
              <w:left w:val="nil"/>
              <w:bottom w:val="single" w:color="auto" w:sz="4" w:space="0"/>
              <w:right w:val="single" w:color="auto" w:sz="4" w:space="0"/>
            </w:tcBorders>
            <w:noWrap/>
            <w:vAlign w:val="center"/>
          </w:tcPr>
          <w:p w14:paraId="036810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33" w:type="dxa"/>
            <w:gridSpan w:val="2"/>
            <w:tcBorders>
              <w:top w:val="single" w:color="auto" w:sz="4" w:space="0"/>
              <w:left w:val="nil"/>
              <w:bottom w:val="single" w:color="auto" w:sz="4" w:space="0"/>
              <w:right w:val="single" w:color="000000" w:sz="4" w:space="0"/>
            </w:tcBorders>
            <w:noWrap/>
            <w:vAlign w:val="center"/>
          </w:tcPr>
          <w:p w14:paraId="4A5D96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05" w:type="dxa"/>
            <w:gridSpan w:val="2"/>
            <w:tcBorders>
              <w:top w:val="single" w:color="auto" w:sz="4" w:space="0"/>
              <w:left w:val="nil"/>
              <w:bottom w:val="single" w:color="auto" w:sz="4" w:space="0"/>
              <w:right w:val="single" w:color="auto" w:sz="4" w:space="0"/>
            </w:tcBorders>
            <w:vAlign w:val="center"/>
          </w:tcPr>
          <w:p w14:paraId="037226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5" w:type="dxa"/>
            <w:gridSpan w:val="2"/>
            <w:tcBorders>
              <w:top w:val="single" w:color="auto" w:sz="4" w:space="0"/>
              <w:left w:val="nil"/>
              <w:bottom w:val="single" w:color="auto" w:sz="4" w:space="0"/>
              <w:right w:val="single" w:color="auto" w:sz="4" w:space="0"/>
            </w:tcBorders>
            <w:vAlign w:val="center"/>
          </w:tcPr>
          <w:p w14:paraId="4D3EEA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2" w:type="dxa"/>
            <w:tcBorders>
              <w:top w:val="nil"/>
              <w:left w:val="nil"/>
              <w:bottom w:val="single" w:color="auto" w:sz="4" w:space="0"/>
              <w:right w:val="single" w:color="auto" w:sz="4" w:space="0"/>
            </w:tcBorders>
            <w:vAlign w:val="center"/>
          </w:tcPr>
          <w:p w14:paraId="01C008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5577C60">
        <w:tblPrEx>
          <w:tblCellMar>
            <w:top w:w="0" w:type="dxa"/>
            <w:left w:w="108" w:type="dxa"/>
            <w:bottom w:w="0" w:type="dxa"/>
            <w:right w:w="108" w:type="dxa"/>
          </w:tblCellMar>
        </w:tblPrEx>
        <w:trPr>
          <w:cantSplit/>
          <w:trHeight w:val="493" w:hRule="atLeast"/>
        </w:trPr>
        <w:tc>
          <w:tcPr>
            <w:tcW w:w="584" w:type="dxa"/>
            <w:vMerge w:val="restart"/>
            <w:tcBorders>
              <w:top w:val="nil"/>
              <w:left w:val="single" w:color="auto" w:sz="4" w:space="0"/>
              <w:bottom w:val="single" w:color="auto" w:sz="4" w:space="0"/>
              <w:right w:val="single" w:color="auto" w:sz="4" w:space="0"/>
            </w:tcBorders>
            <w:vAlign w:val="center"/>
          </w:tcPr>
          <w:p w14:paraId="6419D8C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267" w:type="dxa"/>
            <w:gridSpan w:val="5"/>
            <w:tcBorders>
              <w:top w:val="single" w:color="auto" w:sz="4" w:space="0"/>
              <w:left w:val="nil"/>
              <w:bottom w:val="single" w:color="auto" w:sz="4" w:space="0"/>
              <w:right w:val="single" w:color="auto" w:sz="4" w:space="0"/>
            </w:tcBorders>
            <w:vAlign w:val="center"/>
          </w:tcPr>
          <w:p w14:paraId="4E9F64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537" w:type="dxa"/>
            <w:gridSpan w:val="7"/>
            <w:tcBorders>
              <w:top w:val="single" w:color="auto" w:sz="4" w:space="0"/>
              <w:left w:val="nil"/>
              <w:bottom w:val="single" w:color="auto" w:sz="4" w:space="0"/>
              <w:right w:val="single" w:color="auto" w:sz="4" w:space="0"/>
            </w:tcBorders>
            <w:vAlign w:val="center"/>
          </w:tcPr>
          <w:p w14:paraId="53D7B5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9A58390">
        <w:tblPrEx>
          <w:tblCellMar>
            <w:top w:w="0" w:type="dxa"/>
            <w:left w:w="108" w:type="dxa"/>
            <w:bottom w:w="0" w:type="dxa"/>
            <w:right w:w="108" w:type="dxa"/>
          </w:tblCellMar>
        </w:tblPrEx>
        <w:trPr>
          <w:cantSplit/>
          <w:trHeight w:val="694" w:hRule="atLeast"/>
        </w:trPr>
        <w:tc>
          <w:tcPr>
            <w:tcW w:w="584" w:type="dxa"/>
            <w:vMerge w:val="continue"/>
            <w:tcBorders>
              <w:top w:val="nil"/>
              <w:left w:val="single" w:color="auto" w:sz="4" w:space="0"/>
              <w:bottom w:val="single" w:color="auto" w:sz="4" w:space="0"/>
              <w:right w:val="single" w:color="auto" w:sz="4" w:space="0"/>
            </w:tcBorders>
            <w:vAlign w:val="center"/>
          </w:tcPr>
          <w:p w14:paraId="584B32AF">
            <w:pPr>
              <w:spacing w:after="0" w:line="240" w:lineRule="auto"/>
              <w:rPr>
                <w:rFonts w:ascii="宋体" w:hAnsi="宋体" w:eastAsia="宋体" w:cs="Times New Roman"/>
                <w:b/>
                <w:bCs/>
                <w:color w:val="000000"/>
                <w:sz w:val="18"/>
                <w:szCs w:val="18"/>
                <w:lang w:eastAsia="zh-CN"/>
              </w:rPr>
            </w:pPr>
          </w:p>
        </w:tc>
        <w:tc>
          <w:tcPr>
            <w:tcW w:w="4267" w:type="dxa"/>
            <w:gridSpan w:val="5"/>
            <w:tcBorders>
              <w:top w:val="single" w:color="auto" w:sz="4" w:space="0"/>
              <w:left w:val="nil"/>
              <w:bottom w:val="single" w:color="auto" w:sz="4" w:space="0"/>
              <w:right w:val="single" w:color="000000" w:sz="4" w:space="0"/>
            </w:tcBorders>
          </w:tcPr>
          <w:p w14:paraId="57E44C2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2024年我单位计划开展安全隐患排查、应急救援演练等工作，通过实施相关工作，进一步提升我区的应急管理能力，及时预防和化解重大安全风险。</w:t>
            </w:r>
          </w:p>
        </w:tc>
        <w:tc>
          <w:tcPr>
            <w:tcW w:w="4537" w:type="dxa"/>
            <w:gridSpan w:val="7"/>
            <w:tcBorders>
              <w:top w:val="single" w:color="auto" w:sz="4" w:space="0"/>
              <w:left w:val="nil"/>
              <w:bottom w:val="single" w:color="auto" w:sz="4" w:space="0"/>
              <w:right w:val="single" w:color="000000" w:sz="4" w:space="0"/>
            </w:tcBorders>
          </w:tcPr>
          <w:p w14:paraId="6C4B23B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我单位紧盯矿山、危险化学品、冶金工贸等重点行业领域，全年检查生产经营单位企业不少764家次，进一步提升我区的应急管理能力，及时预防和化解重大安全风险；通过开展防震减灾、防汛抗旱、森林草原防火等各项应急演练活动，全年不少120次，全面提高我区应急救援能力，强化应急预案演练。</w:t>
            </w:r>
          </w:p>
        </w:tc>
      </w:tr>
      <w:tr w14:paraId="00C3FF4A">
        <w:tblPrEx>
          <w:tblCellMar>
            <w:top w:w="0" w:type="dxa"/>
            <w:left w:w="108" w:type="dxa"/>
            <w:bottom w:w="0" w:type="dxa"/>
            <w:right w:w="108" w:type="dxa"/>
          </w:tblCellMar>
        </w:tblPrEx>
        <w:trPr>
          <w:cantSplit/>
          <w:trHeight w:val="286" w:hRule="atLeast"/>
        </w:trPr>
        <w:tc>
          <w:tcPr>
            <w:tcW w:w="584" w:type="dxa"/>
            <w:vMerge w:val="restart"/>
            <w:tcBorders>
              <w:top w:val="nil"/>
              <w:left w:val="single" w:color="auto" w:sz="4" w:space="0"/>
              <w:bottom w:val="single" w:color="auto" w:sz="4" w:space="0"/>
              <w:right w:val="single" w:color="auto" w:sz="4" w:space="0"/>
            </w:tcBorders>
            <w:vAlign w:val="center"/>
          </w:tcPr>
          <w:p w14:paraId="7DB4F6C3">
            <w:pPr>
              <w:spacing w:after="0" w:line="240" w:lineRule="auto"/>
              <w:jc w:val="center"/>
              <w:rPr>
                <w:rFonts w:hint="eastAsia" w:ascii="宋体" w:hAnsi="宋体" w:eastAsia="宋体" w:cs="Times New Roman"/>
                <w:color w:val="000000"/>
                <w:sz w:val="18"/>
                <w:szCs w:val="18"/>
                <w:lang w:eastAsia="zh-CN"/>
              </w:rPr>
            </w:pPr>
          </w:p>
        </w:tc>
        <w:tc>
          <w:tcPr>
            <w:tcW w:w="688" w:type="dxa"/>
            <w:vMerge w:val="restart"/>
            <w:tcBorders>
              <w:top w:val="nil"/>
              <w:left w:val="nil"/>
              <w:bottom w:val="single" w:color="auto" w:sz="4" w:space="0"/>
              <w:right w:val="single" w:color="auto" w:sz="4" w:space="0"/>
            </w:tcBorders>
            <w:vAlign w:val="center"/>
          </w:tcPr>
          <w:p w14:paraId="226B93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00" w:type="dxa"/>
            <w:vMerge w:val="restart"/>
            <w:tcBorders>
              <w:top w:val="nil"/>
              <w:left w:val="nil"/>
              <w:bottom w:val="single" w:color="auto" w:sz="4" w:space="0"/>
              <w:right w:val="single" w:color="auto" w:sz="4" w:space="0"/>
            </w:tcBorders>
            <w:vAlign w:val="center"/>
          </w:tcPr>
          <w:p w14:paraId="140CF8A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88" w:type="dxa"/>
            <w:gridSpan w:val="2"/>
            <w:vMerge w:val="restart"/>
            <w:tcBorders>
              <w:top w:val="single" w:color="auto" w:sz="4" w:space="0"/>
              <w:left w:val="nil"/>
              <w:bottom w:val="single" w:color="auto" w:sz="4" w:space="0"/>
              <w:right w:val="single" w:color="auto" w:sz="4" w:space="0"/>
            </w:tcBorders>
            <w:vAlign w:val="center"/>
          </w:tcPr>
          <w:p w14:paraId="50AB66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89" w:type="dxa"/>
            <w:vMerge w:val="restart"/>
            <w:tcBorders>
              <w:top w:val="nil"/>
              <w:left w:val="nil"/>
              <w:bottom w:val="single" w:color="auto" w:sz="4" w:space="0"/>
              <w:right w:val="single" w:color="auto" w:sz="4" w:space="0"/>
            </w:tcBorders>
            <w:vAlign w:val="center"/>
          </w:tcPr>
          <w:p w14:paraId="5A7B81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88" w:type="dxa"/>
            <w:vMerge w:val="restart"/>
            <w:tcBorders>
              <w:top w:val="nil"/>
              <w:left w:val="nil"/>
              <w:bottom w:val="single" w:color="auto" w:sz="4" w:space="0"/>
              <w:right w:val="single" w:color="auto" w:sz="4" w:space="0"/>
            </w:tcBorders>
            <w:vAlign w:val="center"/>
          </w:tcPr>
          <w:p w14:paraId="4F22D0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36" w:type="dxa"/>
            <w:gridSpan w:val="2"/>
            <w:vMerge w:val="restart"/>
            <w:tcBorders>
              <w:top w:val="single" w:color="auto" w:sz="4" w:space="0"/>
              <w:left w:val="nil"/>
              <w:bottom w:val="single" w:color="auto" w:sz="4" w:space="0"/>
              <w:right w:val="single" w:color="auto" w:sz="4" w:space="0"/>
            </w:tcBorders>
            <w:vAlign w:val="center"/>
          </w:tcPr>
          <w:p w14:paraId="05A4CA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92" w:type="dxa"/>
            <w:gridSpan w:val="2"/>
            <w:vMerge w:val="restart"/>
            <w:tcBorders>
              <w:top w:val="single" w:color="auto" w:sz="4" w:space="0"/>
              <w:left w:val="nil"/>
              <w:bottom w:val="single" w:color="auto" w:sz="4" w:space="0"/>
              <w:right w:val="single" w:color="auto" w:sz="4" w:space="0"/>
            </w:tcBorders>
            <w:vAlign w:val="center"/>
          </w:tcPr>
          <w:p w14:paraId="1DEB77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19" w:type="dxa"/>
            <w:gridSpan w:val="2"/>
            <w:vMerge w:val="restart"/>
            <w:tcBorders>
              <w:top w:val="single" w:color="auto" w:sz="4" w:space="0"/>
              <w:left w:val="nil"/>
              <w:bottom w:val="single" w:color="auto" w:sz="4" w:space="0"/>
              <w:right w:val="single" w:color="auto" w:sz="4" w:space="0"/>
            </w:tcBorders>
            <w:vAlign w:val="center"/>
          </w:tcPr>
          <w:p w14:paraId="6D4811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113EB74">
        <w:tblPrEx>
          <w:tblCellMar>
            <w:top w:w="0" w:type="dxa"/>
            <w:left w:w="108" w:type="dxa"/>
            <w:bottom w:w="0" w:type="dxa"/>
            <w:right w:w="108" w:type="dxa"/>
          </w:tblCellMar>
        </w:tblPrEx>
        <w:trPr>
          <w:cantSplit/>
          <w:trHeight w:val="464" w:hRule="atLeast"/>
        </w:trPr>
        <w:tc>
          <w:tcPr>
            <w:tcW w:w="584" w:type="dxa"/>
            <w:vMerge w:val="continue"/>
            <w:tcBorders>
              <w:top w:val="nil"/>
              <w:left w:val="single" w:color="auto" w:sz="4" w:space="0"/>
              <w:bottom w:val="single" w:color="auto" w:sz="4" w:space="0"/>
              <w:right w:val="single" w:color="auto" w:sz="4" w:space="0"/>
            </w:tcBorders>
            <w:vAlign w:val="center"/>
          </w:tcPr>
          <w:p w14:paraId="7A25773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0A5CA307">
            <w:pPr>
              <w:spacing w:after="0" w:line="240" w:lineRule="auto"/>
              <w:rPr>
                <w:rFonts w:ascii="宋体" w:hAnsi="宋体" w:eastAsia="宋体" w:cs="Times New Roman"/>
                <w:b/>
                <w:bCs/>
                <w:color w:val="000000"/>
                <w:sz w:val="18"/>
                <w:szCs w:val="18"/>
                <w:lang w:eastAsia="zh-CN"/>
              </w:rPr>
            </w:pPr>
          </w:p>
        </w:tc>
        <w:tc>
          <w:tcPr>
            <w:tcW w:w="700" w:type="dxa"/>
            <w:vMerge w:val="continue"/>
            <w:tcBorders>
              <w:top w:val="nil"/>
              <w:left w:val="nil"/>
              <w:bottom w:val="single" w:color="auto" w:sz="4" w:space="0"/>
              <w:right w:val="single" w:color="auto" w:sz="4" w:space="0"/>
            </w:tcBorders>
            <w:vAlign w:val="center"/>
          </w:tcPr>
          <w:p w14:paraId="1EE6FB38">
            <w:pPr>
              <w:spacing w:after="0" w:line="240" w:lineRule="auto"/>
              <w:rPr>
                <w:rFonts w:ascii="宋体" w:hAnsi="宋体" w:eastAsia="宋体" w:cs="Times New Roman"/>
                <w:b/>
                <w:bCs/>
                <w:color w:val="000000"/>
                <w:sz w:val="18"/>
                <w:szCs w:val="18"/>
                <w:lang w:eastAsia="zh-CN"/>
              </w:rPr>
            </w:pPr>
          </w:p>
        </w:tc>
        <w:tc>
          <w:tcPr>
            <w:tcW w:w="1788" w:type="dxa"/>
            <w:gridSpan w:val="2"/>
            <w:vMerge w:val="continue"/>
            <w:tcBorders>
              <w:top w:val="single" w:color="auto" w:sz="4" w:space="0"/>
              <w:left w:val="nil"/>
              <w:bottom w:val="single" w:color="auto" w:sz="4" w:space="0"/>
              <w:right w:val="single" w:color="auto" w:sz="4" w:space="0"/>
            </w:tcBorders>
            <w:vAlign w:val="center"/>
          </w:tcPr>
          <w:p w14:paraId="1E404540">
            <w:pPr>
              <w:spacing w:after="0" w:line="240" w:lineRule="auto"/>
              <w:rPr>
                <w:rFonts w:ascii="宋体" w:hAnsi="宋体" w:eastAsia="宋体" w:cs="Times New Roman"/>
                <w:b/>
                <w:bCs/>
                <w:color w:val="000000"/>
                <w:sz w:val="18"/>
                <w:szCs w:val="18"/>
                <w:lang w:eastAsia="zh-CN"/>
              </w:rPr>
            </w:pPr>
          </w:p>
        </w:tc>
        <w:tc>
          <w:tcPr>
            <w:tcW w:w="1089" w:type="dxa"/>
            <w:vMerge w:val="continue"/>
            <w:tcBorders>
              <w:top w:val="nil"/>
              <w:left w:val="nil"/>
              <w:bottom w:val="single" w:color="auto" w:sz="4" w:space="0"/>
              <w:right w:val="single" w:color="auto" w:sz="4" w:space="0"/>
            </w:tcBorders>
            <w:vAlign w:val="center"/>
          </w:tcPr>
          <w:p w14:paraId="22AD5AAE">
            <w:pPr>
              <w:spacing w:after="0" w:line="240" w:lineRule="auto"/>
              <w:rPr>
                <w:rFonts w:ascii="宋体" w:hAnsi="宋体" w:eastAsia="宋体" w:cs="Times New Roman"/>
                <w:b/>
                <w:bCs/>
                <w:color w:val="000000"/>
                <w:sz w:val="18"/>
                <w:szCs w:val="18"/>
                <w:lang w:eastAsia="zh-CN"/>
              </w:rPr>
            </w:pPr>
          </w:p>
        </w:tc>
        <w:tc>
          <w:tcPr>
            <w:tcW w:w="1188" w:type="dxa"/>
            <w:vMerge w:val="continue"/>
            <w:tcBorders>
              <w:top w:val="nil"/>
              <w:left w:val="nil"/>
              <w:bottom w:val="single" w:color="auto" w:sz="4" w:space="0"/>
              <w:right w:val="single" w:color="auto" w:sz="4" w:space="0"/>
            </w:tcBorders>
            <w:vAlign w:val="center"/>
          </w:tcPr>
          <w:p w14:paraId="6F7C820D">
            <w:pPr>
              <w:spacing w:after="0" w:line="240" w:lineRule="auto"/>
              <w:rPr>
                <w:rFonts w:ascii="宋体" w:hAnsi="宋体" w:eastAsia="宋体" w:cs="Times New Roman"/>
                <w:b/>
                <w:bCs/>
                <w:color w:val="000000"/>
                <w:sz w:val="18"/>
                <w:szCs w:val="18"/>
                <w:lang w:eastAsia="zh-CN"/>
              </w:rPr>
            </w:pPr>
          </w:p>
        </w:tc>
        <w:tc>
          <w:tcPr>
            <w:tcW w:w="736" w:type="dxa"/>
            <w:gridSpan w:val="2"/>
            <w:vMerge w:val="continue"/>
            <w:tcBorders>
              <w:top w:val="single" w:color="auto" w:sz="4" w:space="0"/>
              <w:left w:val="nil"/>
              <w:bottom w:val="single" w:color="auto" w:sz="4" w:space="0"/>
              <w:right w:val="single" w:color="auto" w:sz="4" w:space="0"/>
            </w:tcBorders>
            <w:vAlign w:val="center"/>
          </w:tcPr>
          <w:p w14:paraId="16961972">
            <w:pPr>
              <w:spacing w:after="0" w:line="240" w:lineRule="auto"/>
              <w:rPr>
                <w:rFonts w:ascii="宋体" w:hAnsi="宋体" w:eastAsia="宋体" w:cs="Times New Roman"/>
                <w:b/>
                <w:bCs/>
                <w:color w:val="000000"/>
                <w:sz w:val="18"/>
                <w:szCs w:val="18"/>
                <w:lang w:eastAsia="zh-CN"/>
              </w:rPr>
            </w:pPr>
          </w:p>
        </w:tc>
        <w:tc>
          <w:tcPr>
            <w:tcW w:w="692" w:type="dxa"/>
            <w:gridSpan w:val="2"/>
            <w:vMerge w:val="continue"/>
            <w:tcBorders>
              <w:top w:val="single" w:color="auto" w:sz="4" w:space="0"/>
              <w:left w:val="nil"/>
              <w:bottom w:val="single" w:color="auto" w:sz="4" w:space="0"/>
              <w:right w:val="single" w:color="auto" w:sz="4" w:space="0"/>
            </w:tcBorders>
            <w:vAlign w:val="center"/>
          </w:tcPr>
          <w:p w14:paraId="175AF379">
            <w:pPr>
              <w:spacing w:after="0" w:line="240" w:lineRule="auto"/>
              <w:rPr>
                <w:rFonts w:ascii="宋体" w:hAnsi="宋体" w:eastAsia="宋体" w:cs="Times New Roman"/>
                <w:b/>
                <w:bCs/>
                <w:color w:val="000000"/>
                <w:sz w:val="18"/>
                <w:szCs w:val="18"/>
                <w:lang w:eastAsia="zh-CN"/>
              </w:rPr>
            </w:pPr>
          </w:p>
        </w:tc>
        <w:tc>
          <w:tcPr>
            <w:tcW w:w="1919" w:type="dxa"/>
            <w:gridSpan w:val="2"/>
            <w:vMerge w:val="continue"/>
            <w:tcBorders>
              <w:top w:val="single" w:color="auto" w:sz="4" w:space="0"/>
              <w:left w:val="nil"/>
              <w:bottom w:val="single" w:color="auto" w:sz="4" w:space="0"/>
              <w:right w:val="single" w:color="auto" w:sz="4" w:space="0"/>
            </w:tcBorders>
            <w:vAlign w:val="center"/>
          </w:tcPr>
          <w:p w14:paraId="173B2042">
            <w:pPr>
              <w:spacing w:after="0" w:line="240" w:lineRule="auto"/>
              <w:rPr>
                <w:rFonts w:ascii="宋体" w:hAnsi="宋体" w:eastAsia="宋体" w:cs="Times New Roman"/>
                <w:b/>
                <w:bCs/>
                <w:color w:val="000000"/>
                <w:sz w:val="18"/>
                <w:szCs w:val="18"/>
                <w:lang w:eastAsia="zh-CN"/>
              </w:rPr>
            </w:pPr>
          </w:p>
        </w:tc>
      </w:tr>
      <w:tr w14:paraId="49418CFE">
        <w:tblPrEx>
          <w:tblCellMar>
            <w:top w:w="0" w:type="dxa"/>
            <w:left w:w="108" w:type="dxa"/>
            <w:bottom w:w="0" w:type="dxa"/>
            <w:right w:w="108" w:type="dxa"/>
          </w:tblCellMar>
        </w:tblPrEx>
        <w:trPr>
          <w:cantSplit/>
          <w:trHeight w:val="592" w:hRule="atLeast"/>
        </w:trPr>
        <w:tc>
          <w:tcPr>
            <w:tcW w:w="584" w:type="dxa"/>
            <w:vMerge w:val="restart"/>
            <w:tcBorders>
              <w:top w:val="nil"/>
              <w:left w:val="single" w:color="auto" w:sz="4" w:space="0"/>
              <w:bottom w:val="single" w:color="auto" w:sz="4" w:space="0"/>
              <w:right w:val="single" w:color="auto" w:sz="4" w:space="0"/>
            </w:tcBorders>
            <w:vAlign w:val="center"/>
          </w:tcPr>
          <w:p w14:paraId="443C7C1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88" w:type="dxa"/>
            <w:vMerge w:val="restart"/>
            <w:tcBorders>
              <w:top w:val="nil"/>
              <w:left w:val="nil"/>
              <w:bottom w:val="nil"/>
              <w:right w:val="single" w:color="auto" w:sz="4" w:space="0"/>
            </w:tcBorders>
            <w:vAlign w:val="center"/>
          </w:tcPr>
          <w:p w14:paraId="5F7216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00" w:type="dxa"/>
            <w:vMerge w:val="restart"/>
            <w:tcBorders>
              <w:top w:val="nil"/>
              <w:left w:val="nil"/>
              <w:bottom w:val="nil"/>
              <w:right w:val="single" w:color="auto" w:sz="4" w:space="0"/>
            </w:tcBorders>
            <w:vAlign w:val="center"/>
          </w:tcPr>
          <w:p w14:paraId="36C81F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88" w:type="dxa"/>
            <w:gridSpan w:val="2"/>
            <w:tcBorders>
              <w:top w:val="single" w:color="auto" w:sz="4" w:space="0"/>
              <w:left w:val="nil"/>
              <w:bottom w:val="single" w:color="auto" w:sz="4" w:space="0"/>
              <w:right w:val="single" w:color="000000" w:sz="4" w:space="0"/>
            </w:tcBorders>
            <w:noWrap/>
            <w:vAlign w:val="center"/>
          </w:tcPr>
          <w:p w14:paraId="368046F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安全生产隐患排查次数</w:t>
            </w:r>
          </w:p>
        </w:tc>
        <w:tc>
          <w:tcPr>
            <w:tcW w:w="1089" w:type="dxa"/>
            <w:tcBorders>
              <w:top w:val="nil"/>
              <w:left w:val="nil"/>
              <w:bottom w:val="single" w:color="auto" w:sz="4" w:space="0"/>
              <w:right w:val="single" w:color="auto" w:sz="4" w:space="0"/>
            </w:tcBorders>
            <w:vAlign w:val="center"/>
          </w:tcPr>
          <w:p w14:paraId="722F36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&gt;=50次</w:t>
            </w:r>
          </w:p>
        </w:tc>
        <w:tc>
          <w:tcPr>
            <w:tcW w:w="1188" w:type="dxa"/>
            <w:tcBorders>
              <w:top w:val="nil"/>
              <w:left w:val="nil"/>
              <w:bottom w:val="single" w:color="auto" w:sz="4" w:space="0"/>
              <w:right w:val="single" w:color="auto" w:sz="4" w:space="0"/>
            </w:tcBorders>
            <w:vAlign w:val="center"/>
          </w:tcPr>
          <w:p w14:paraId="184E15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764次</w:t>
            </w:r>
          </w:p>
        </w:tc>
        <w:tc>
          <w:tcPr>
            <w:tcW w:w="736" w:type="dxa"/>
            <w:gridSpan w:val="2"/>
            <w:tcBorders>
              <w:top w:val="single" w:color="auto" w:sz="4" w:space="0"/>
              <w:left w:val="nil"/>
              <w:bottom w:val="single" w:color="auto" w:sz="4" w:space="0"/>
              <w:right w:val="single" w:color="000000" w:sz="4" w:space="0"/>
            </w:tcBorders>
            <w:vAlign w:val="center"/>
          </w:tcPr>
          <w:p w14:paraId="06ABDB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0A07CC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683A03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目标设置过于保守估值，未充分考虑实际业务开展情况，部门之间缺乏沟通。</w:t>
            </w:r>
          </w:p>
        </w:tc>
      </w:tr>
      <w:tr w14:paraId="1C87DD7C">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72CAD1B9">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69DCA429">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50929FC5">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2408317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应急救援演练次数</w:t>
            </w:r>
          </w:p>
        </w:tc>
        <w:tc>
          <w:tcPr>
            <w:tcW w:w="1089" w:type="dxa"/>
            <w:tcBorders>
              <w:top w:val="nil"/>
              <w:left w:val="nil"/>
              <w:bottom w:val="single" w:color="auto" w:sz="4" w:space="0"/>
              <w:right w:val="single" w:color="auto" w:sz="4" w:space="0"/>
            </w:tcBorders>
            <w:vAlign w:val="center"/>
          </w:tcPr>
          <w:p w14:paraId="695E87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=1次</w:t>
            </w:r>
          </w:p>
        </w:tc>
        <w:tc>
          <w:tcPr>
            <w:tcW w:w="1188" w:type="dxa"/>
            <w:tcBorders>
              <w:top w:val="nil"/>
              <w:left w:val="nil"/>
              <w:bottom w:val="single" w:color="auto" w:sz="4" w:space="0"/>
              <w:right w:val="single" w:color="auto" w:sz="4" w:space="0"/>
            </w:tcBorders>
            <w:vAlign w:val="center"/>
          </w:tcPr>
          <w:p w14:paraId="6A7F7C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120次</w:t>
            </w:r>
          </w:p>
        </w:tc>
        <w:tc>
          <w:tcPr>
            <w:tcW w:w="736" w:type="dxa"/>
            <w:gridSpan w:val="2"/>
            <w:tcBorders>
              <w:top w:val="single" w:color="auto" w:sz="4" w:space="0"/>
              <w:left w:val="nil"/>
              <w:bottom w:val="single" w:color="auto" w:sz="4" w:space="0"/>
              <w:right w:val="single" w:color="000000" w:sz="4" w:space="0"/>
            </w:tcBorders>
            <w:vAlign w:val="center"/>
          </w:tcPr>
          <w:p w14:paraId="37DA20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461956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5522B7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目标设置过于保守估值，未充分考虑实际业务开展情况，部门之间缺乏沟</w:t>
            </w:r>
          </w:p>
        </w:tc>
      </w:tr>
      <w:tr w14:paraId="69ED3619">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23489532">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32906D04">
            <w:pPr>
              <w:spacing w:after="0" w:line="240" w:lineRule="auto"/>
              <w:rPr>
                <w:rFonts w:ascii="宋体" w:hAnsi="宋体" w:eastAsia="宋体" w:cs="Times New Roman"/>
                <w:color w:val="000000"/>
                <w:sz w:val="18"/>
                <w:szCs w:val="18"/>
                <w:lang w:eastAsia="zh-CN"/>
              </w:rPr>
            </w:pPr>
          </w:p>
        </w:tc>
        <w:tc>
          <w:tcPr>
            <w:tcW w:w="700" w:type="dxa"/>
            <w:vMerge w:val="restart"/>
            <w:tcBorders>
              <w:top w:val="nil"/>
              <w:left w:val="nil"/>
              <w:bottom w:val="nil"/>
              <w:right w:val="single" w:color="auto" w:sz="4" w:space="0"/>
            </w:tcBorders>
            <w:vAlign w:val="center"/>
          </w:tcPr>
          <w:p w14:paraId="69B301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88" w:type="dxa"/>
            <w:gridSpan w:val="2"/>
            <w:tcBorders>
              <w:top w:val="single" w:color="auto" w:sz="4" w:space="0"/>
              <w:left w:val="nil"/>
              <w:bottom w:val="single" w:color="auto" w:sz="4" w:space="0"/>
              <w:right w:val="single" w:color="000000" w:sz="4" w:space="0"/>
            </w:tcBorders>
            <w:noWrap/>
            <w:vAlign w:val="center"/>
          </w:tcPr>
          <w:p w14:paraId="13561D2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隐患整改率</w:t>
            </w:r>
          </w:p>
        </w:tc>
        <w:tc>
          <w:tcPr>
            <w:tcW w:w="1089" w:type="dxa"/>
            <w:tcBorders>
              <w:top w:val="nil"/>
              <w:left w:val="nil"/>
              <w:bottom w:val="single" w:color="auto" w:sz="4" w:space="0"/>
              <w:right w:val="single" w:color="auto" w:sz="4" w:space="0"/>
            </w:tcBorders>
            <w:vAlign w:val="center"/>
          </w:tcPr>
          <w:p w14:paraId="69A940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8" w:type="dxa"/>
            <w:tcBorders>
              <w:top w:val="nil"/>
              <w:left w:val="nil"/>
              <w:bottom w:val="single" w:color="auto" w:sz="4" w:space="0"/>
              <w:right w:val="single" w:color="auto" w:sz="4" w:space="0"/>
            </w:tcBorders>
            <w:vAlign w:val="center"/>
          </w:tcPr>
          <w:p w14:paraId="1D0FE4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05BCE5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3ACC90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54D555CA">
            <w:pPr>
              <w:spacing w:after="0" w:line="240" w:lineRule="auto"/>
              <w:jc w:val="center"/>
              <w:rPr>
                <w:rFonts w:hint="eastAsia" w:ascii="宋体" w:hAnsi="宋体" w:eastAsia="宋体" w:cs="Times New Roman"/>
                <w:color w:val="000000"/>
                <w:sz w:val="18"/>
                <w:szCs w:val="18"/>
                <w:lang w:eastAsia="zh-CN"/>
              </w:rPr>
            </w:pPr>
          </w:p>
        </w:tc>
      </w:tr>
      <w:tr w14:paraId="275C9529">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4C413E43">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7DFE80BB">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279D7175">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5E16622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安全演练工作完成率</w:t>
            </w:r>
          </w:p>
        </w:tc>
        <w:tc>
          <w:tcPr>
            <w:tcW w:w="1089" w:type="dxa"/>
            <w:tcBorders>
              <w:top w:val="nil"/>
              <w:left w:val="nil"/>
              <w:bottom w:val="single" w:color="auto" w:sz="4" w:space="0"/>
              <w:right w:val="single" w:color="auto" w:sz="4" w:space="0"/>
            </w:tcBorders>
            <w:vAlign w:val="center"/>
          </w:tcPr>
          <w:p w14:paraId="1BC06B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8" w:type="dxa"/>
            <w:tcBorders>
              <w:top w:val="nil"/>
              <w:left w:val="nil"/>
              <w:bottom w:val="single" w:color="auto" w:sz="4" w:space="0"/>
              <w:right w:val="single" w:color="auto" w:sz="4" w:space="0"/>
            </w:tcBorders>
            <w:vAlign w:val="center"/>
          </w:tcPr>
          <w:p w14:paraId="3FE524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54AB04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3FDD8C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3167A9F1">
            <w:pPr>
              <w:spacing w:after="0" w:line="240" w:lineRule="auto"/>
              <w:jc w:val="center"/>
              <w:rPr>
                <w:rFonts w:hint="eastAsia" w:ascii="宋体" w:hAnsi="宋体" w:eastAsia="宋体" w:cs="Times New Roman"/>
                <w:color w:val="000000"/>
                <w:sz w:val="18"/>
                <w:szCs w:val="18"/>
                <w:lang w:eastAsia="zh-CN"/>
              </w:rPr>
            </w:pPr>
          </w:p>
        </w:tc>
      </w:tr>
      <w:tr w14:paraId="44D85C6D">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25D30E5A">
            <w:pPr>
              <w:spacing w:after="0" w:line="240" w:lineRule="auto"/>
              <w:rPr>
                <w:rFonts w:ascii="宋体" w:hAnsi="宋体" w:eastAsia="宋体" w:cs="Times New Roman"/>
                <w:b/>
                <w:bCs/>
                <w:color w:val="000000"/>
                <w:sz w:val="18"/>
                <w:szCs w:val="18"/>
                <w:lang w:eastAsia="zh-CN"/>
              </w:rPr>
            </w:pPr>
          </w:p>
        </w:tc>
        <w:tc>
          <w:tcPr>
            <w:tcW w:w="688" w:type="dxa"/>
            <w:vMerge w:val="restart"/>
            <w:tcBorders>
              <w:top w:val="nil"/>
              <w:left w:val="nil"/>
              <w:bottom w:val="nil"/>
              <w:right w:val="single" w:color="auto" w:sz="4" w:space="0"/>
            </w:tcBorders>
            <w:vAlign w:val="center"/>
          </w:tcPr>
          <w:p w14:paraId="2CDA5E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00" w:type="dxa"/>
            <w:vMerge w:val="restart"/>
            <w:tcBorders>
              <w:top w:val="nil"/>
              <w:left w:val="nil"/>
              <w:bottom w:val="nil"/>
              <w:right w:val="single" w:color="auto" w:sz="4" w:space="0"/>
            </w:tcBorders>
            <w:vAlign w:val="center"/>
          </w:tcPr>
          <w:p w14:paraId="507A4C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88" w:type="dxa"/>
            <w:gridSpan w:val="2"/>
            <w:tcBorders>
              <w:top w:val="single" w:color="auto" w:sz="4" w:space="0"/>
              <w:left w:val="nil"/>
              <w:bottom w:val="single" w:color="auto" w:sz="4" w:space="0"/>
              <w:right w:val="single" w:color="000000" w:sz="4" w:space="0"/>
            </w:tcBorders>
            <w:noWrap/>
            <w:vAlign w:val="center"/>
          </w:tcPr>
          <w:p w14:paraId="7EE30B3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促进安全生产形势稳定向好</w:t>
            </w:r>
          </w:p>
        </w:tc>
        <w:tc>
          <w:tcPr>
            <w:tcW w:w="1089" w:type="dxa"/>
            <w:tcBorders>
              <w:top w:val="nil"/>
              <w:left w:val="nil"/>
              <w:bottom w:val="single" w:color="auto" w:sz="4" w:space="0"/>
              <w:right w:val="single" w:color="auto" w:sz="4" w:space="0"/>
            </w:tcBorders>
            <w:vAlign w:val="center"/>
          </w:tcPr>
          <w:p w14:paraId="6732AD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有效促进</w:t>
            </w:r>
          </w:p>
        </w:tc>
        <w:tc>
          <w:tcPr>
            <w:tcW w:w="1188" w:type="dxa"/>
            <w:tcBorders>
              <w:top w:val="nil"/>
              <w:left w:val="nil"/>
              <w:bottom w:val="single" w:color="auto" w:sz="4" w:space="0"/>
              <w:right w:val="single" w:color="auto" w:sz="4" w:space="0"/>
            </w:tcBorders>
            <w:vAlign w:val="center"/>
          </w:tcPr>
          <w:p w14:paraId="1E39C3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36" w:type="dxa"/>
            <w:gridSpan w:val="2"/>
            <w:tcBorders>
              <w:top w:val="single" w:color="auto" w:sz="4" w:space="0"/>
              <w:left w:val="nil"/>
              <w:bottom w:val="single" w:color="auto" w:sz="4" w:space="0"/>
              <w:right w:val="single" w:color="000000" w:sz="4" w:space="0"/>
            </w:tcBorders>
            <w:vAlign w:val="center"/>
          </w:tcPr>
          <w:p w14:paraId="291A9D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7D1E7F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161068C5">
            <w:pPr>
              <w:spacing w:after="0" w:line="240" w:lineRule="auto"/>
              <w:jc w:val="center"/>
              <w:rPr>
                <w:rFonts w:hint="eastAsia" w:ascii="宋体" w:hAnsi="宋体" w:eastAsia="宋体" w:cs="Times New Roman"/>
                <w:color w:val="000000"/>
                <w:sz w:val="18"/>
                <w:szCs w:val="18"/>
                <w:lang w:eastAsia="zh-CN"/>
              </w:rPr>
            </w:pPr>
          </w:p>
        </w:tc>
      </w:tr>
      <w:tr w14:paraId="5D038B23">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3B5EAC12">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39FC0CA6">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157E1B8B">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21F351C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提高群众安全生产举报积极性</w:t>
            </w:r>
          </w:p>
        </w:tc>
        <w:tc>
          <w:tcPr>
            <w:tcW w:w="1089" w:type="dxa"/>
            <w:tcBorders>
              <w:top w:val="nil"/>
              <w:left w:val="nil"/>
              <w:bottom w:val="single" w:color="auto" w:sz="4" w:space="0"/>
              <w:right w:val="single" w:color="auto" w:sz="4" w:space="0"/>
            </w:tcBorders>
            <w:vAlign w:val="center"/>
          </w:tcPr>
          <w:p w14:paraId="0E9609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88" w:type="dxa"/>
            <w:tcBorders>
              <w:top w:val="nil"/>
              <w:left w:val="nil"/>
              <w:bottom w:val="single" w:color="auto" w:sz="4" w:space="0"/>
              <w:right w:val="single" w:color="auto" w:sz="4" w:space="0"/>
            </w:tcBorders>
            <w:vAlign w:val="center"/>
          </w:tcPr>
          <w:p w14:paraId="2CE620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36" w:type="dxa"/>
            <w:gridSpan w:val="2"/>
            <w:tcBorders>
              <w:top w:val="single" w:color="auto" w:sz="4" w:space="0"/>
              <w:left w:val="nil"/>
              <w:bottom w:val="single" w:color="auto" w:sz="4" w:space="0"/>
              <w:right w:val="single" w:color="000000" w:sz="4" w:space="0"/>
            </w:tcBorders>
            <w:vAlign w:val="center"/>
          </w:tcPr>
          <w:p w14:paraId="1389D8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2A4272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52304CFB">
            <w:pPr>
              <w:spacing w:after="0" w:line="240" w:lineRule="auto"/>
              <w:jc w:val="center"/>
              <w:rPr>
                <w:rFonts w:hint="eastAsia" w:ascii="宋体" w:hAnsi="宋体" w:eastAsia="宋体" w:cs="Times New Roman"/>
                <w:color w:val="000000"/>
                <w:sz w:val="18"/>
                <w:szCs w:val="18"/>
                <w:lang w:eastAsia="zh-CN"/>
              </w:rPr>
            </w:pPr>
          </w:p>
        </w:tc>
      </w:tr>
      <w:tr w14:paraId="691A3C68">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6BFD9EF8">
            <w:pPr>
              <w:spacing w:after="0" w:line="240" w:lineRule="auto"/>
              <w:rPr>
                <w:rFonts w:ascii="宋体" w:hAnsi="宋体" w:eastAsia="宋体" w:cs="Times New Roman"/>
                <w:b/>
                <w:bCs/>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7BC887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00" w:type="dxa"/>
            <w:tcBorders>
              <w:top w:val="nil"/>
              <w:left w:val="nil"/>
              <w:bottom w:val="single" w:color="auto" w:sz="4" w:space="0"/>
              <w:right w:val="single" w:color="auto" w:sz="4" w:space="0"/>
            </w:tcBorders>
            <w:vAlign w:val="center"/>
          </w:tcPr>
          <w:p w14:paraId="570154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88" w:type="dxa"/>
            <w:gridSpan w:val="2"/>
            <w:tcBorders>
              <w:top w:val="single" w:color="auto" w:sz="4" w:space="0"/>
              <w:left w:val="nil"/>
              <w:bottom w:val="single" w:color="auto" w:sz="4" w:space="0"/>
              <w:right w:val="single" w:color="000000" w:sz="4" w:space="0"/>
            </w:tcBorders>
            <w:noWrap/>
            <w:vAlign w:val="center"/>
          </w:tcPr>
          <w:p w14:paraId="6918056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89" w:type="dxa"/>
            <w:tcBorders>
              <w:top w:val="nil"/>
              <w:left w:val="nil"/>
              <w:bottom w:val="single" w:color="auto" w:sz="4" w:space="0"/>
              <w:right w:val="single" w:color="auto" w:sz="4" w:space="0"/>
            </w:tcBorders>
            <w:vAlign w:val="center"/>
          </w:tcPr>
          <w:p w14:paraId="5993BE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&gt;=95%</w:t>
            </w:r>
          </w:p>
        </w:tc>
        <w:tc>
          <w:tcPr>
            <w:tcW w:w="1188" w:type="dxa"/>
            <w:tcBorders>
              <w:top w:val="nil"/>
              <w:left w:val="nil"/>
              <w:bottom w:val="single" w:color="auto" w:sz="4" w:space="0"/>
              <w:right w:val="single" w:color="auto" w:sz="4" w:space="0"/>
            </w:tcBorders>
            <w:vAlign w:val="center"/>
          </w:tcPr>
          <w:p w14:paraId="141025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4A73AB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529967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622CC5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问卷设置调查选项设置单一（仅“满意/不满意”）缺乏梯度。</w:t>
            </w:r>
          </w:p>
        </w:tc>
      </w:tr>
      <w:tr w14:paraId="705687CD">
        <w:tblPrEx>
          <w:tblCellMar>
            <w:top w:w="0" w:type="dxa"/>
            <w:left w:w="108" w:type="dxa"/>
            <w:bottom w:w="0" w:type="dxa"/>
            <w:right w:w="108" w:type="dxa"/>
          </w:tblCellMar>
        </w:tblPrEx>
        <w:trPr>
          <w:cantSplit/>
          <w:trHeight w:val="493" w:hRule="atLeast"/>
        </w:trPr>
        <w:tc>
          <w:tcPr>
            <w:tcW w:w="6041" w:type="dxa"/>
            <w:gridSpan w:val="7"/>
            <w:tcBorders>
              <w:top w:val="single" w:color="auto" w:sz="4" w:space="0"/>
              <w:left w:val="single" w:color="auto" w:sz="4" w:space="0"/>
              <w:bottom w:val="single" w:color="auto" w:sz="4" w:space="0"/>
              <w:right w:val="single" w:color="auto" w:sz="4" w:space="0"/>
            </w:tcBorders>
            <w:vAlign w:val="center"/>
          </w:tcPr>
          <w:p w14:paraId="2E8C49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36" w:type="dxa"/>
            <w:gridSpan w:val="2"/>
            <w:tcBorders>
              <w:top w:val="single" w:color="auto" w:sz="4" w:space="0"/>
              <w:left w:val="nil"/>
              <w:bottom w:val="single" w:color="auto" w:sz="4" w:space="0"/>
              <w:right w:val="single" w:color="auto" w:sz="4" w:space="0"/>
            </w:tcBorders>
            <w:vAlign w:val="center"/>
          </w:tcPr>
          <w:p w14:paraId="56EEBC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92" w:type="dxa"/>
            <w:gridSpan w:val="2"/>
            <w:tcBorders>
              <w:top w:val="single" w:color="auto" w:sz="4" w:space="0"/>
              <w:left w:val="nil"/>
              <w:bottom w:val="single" w:color="auto" w:sz="4" w:space="0"/>
              <w:right w:val="single" w:color="auto" w:sz="4" w:space="0"/>
            </w:tcBorders>
            <w:vAlign w:val="center"/>
          </w:tcPr>
          <w:p w14:paraId="1FBDAF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919" w:type="dxa"/>
            <w:gridSpan w:val="2"/>
            <w:tcBorders>
              <w:top w:val="single" w:color="auto" w:sz="4" w:space="0"/>
              <w:left w:val="nil"/>
              <w:bottom w:val="single" w:color="auto" w:sz="4" w:space="0"/>
              <w:right w:val="single" w:color="auto" w:sz="4" w:space="0"/>
            </w:tcBorders>
            <w:vAlign w:val="center"/>
          </w:tcPr>
          <w:p w14:paraId="4AFDE36B">
            <w:pPr>
              <w:spacing w:after="0" w:line="240" w:lineRule="auto"/>
              <w:jc w:val="center"/>
              <w:rPr>
                <w:rFonts w:hint="eastAsia" w:ascii="宋体" w:hAnsi="宋体" w:eastAsia="宋体" w:cs="Times New Roman"/>
                <w:b/>
                <w:bCs/>
                <w:color w:val="000000"/>
                <w:sz w:val="18"/>
                <w:szCs w:val="18"/>
                <w:lang w:eastAsia="zh-CN"/>
              </w:rPr>
            </w:pPr>
          </w:p>
        </w:tc>
      </w:tr>
    </w:tbl>
    <w:p w14:paraId="40B1E3BA">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78511B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AA979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2AD4081">
      <w:pPr>
        <w:spacing w:after="0" w:line="240" w:lineRule="auto"/>
        <w:ind w:firstLine="640" w:firstLineChars="200"/>
        <w:rPr>
          <w:rFonts w:ascii="仿宋_GB2312" w:eastAsia="仿宋_GB2312"/>
          <w:sz w:val="32"/>
          <w:szCs w:val="32"/>
          <w:lang w:eastAsia="zh-CN"/>
        </w:rPr>
      </w:pPr>
    </w:p>
    <w:p w14:paraId="3B907539">
      <w:pPr>
        <w:rPr>
          <w:rFonts w:hint="eastAsia"/>
          <w:lang w:eastAsia="zh-CN"/>
        </w:rPr>
      </w:pPr>
      <w:r>
        <w:rPr>
          <w:sz w:val="0"/>
          <w:szCs w:val="0"/>
          <w:lang w:eastAsia="zh-CN"/>
        </w:rPr>
        <w:br w:type="page"/>
      </w:r>
    </w:p>
    <w:p w14:paraId="2FEDD5D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2305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3C746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EF24CC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775E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E71654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F4692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16E5C0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1CDC0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4E8D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9A825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2BD10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A29A2E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A5BD0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6775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F1F7EC2">
      <w:pPr>
        <w:rPr>
          <w:rFonts w:hint="eastAsia"/>
          <w:lang w:eastAsia="zh-CN"/>
        </w:rPr>
      </w:pPr>
      <w:r>
        <w:rPr>
          <w:sz w:val="0"/>
          <w:szCs w:val="0"/>
          <w:lang w:eastAsia="zh-CN"/>
        </w:rPr>
        <w:br w:type="page"/>
      </w:r>
    </w:p>
    <w:p w14:paraId="364EBC5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59CCD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B8EC8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FBAFA5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323356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8C54B3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3E2AAA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B8F12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708390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800BB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3133D"/>
    <w:rsid w:val="00003624"/>
    <w:rsid w:val="00014DFF"/>
    <w:rsid w:val="00056CC5"/>
    <w:rsid w:val="0022421C"/>
    <w:rsid w:val="00317A44"/>
    <w:rsid w:val="00321E8D"/>
    <w:rsid w:val="003F5119"/>
    <w:rsid w:val="00682895"/>
    <w:rsid w:val="00741351"/>
    <w:rsid w:val="00A957B7"/>
    <w:rsid w:val="00BA12BA"/>
    <w:rsid w:val="00C13479"/>
    <w:rsid w:val="00C16556"/>
    <w:rsid w:val="00C22C6A"/>
    <w:rsid w:val="00C339B8"/>
    <w:rsid w:val="00C9225F"/>
    <w:rsid w:val="00E01E25"/>
    <w:rsid w:val="00E972E9"/>
    <w:rsid w:val="00EB715C"/>
    <w:rsid w:val="00F257F0"/>
    <w:rsid w:val="00F3133D"/>
    <w:rsid w:val="00F95504"/>
    <w:rsid w:val="00FE6949"/>
    <w:rsid w:val="36D80EBC"/>
    <w:rsid w:val="6A30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2077</Words>
  <Characters>2080</Characters>
  <Lines>254</Lines>
  <Paragraphs>167</Paragraphs>
  <TotalTime>77</TotalTime>
  <ScaleCrop>false</ScaleCrop>
  <LinksUpToDate>false</LinksUpToDate>
  <CharactersWithSpaces>2087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2025-10-09T08:06:00Z</dcterms:created>
  <dc:creator>华为</dc:creator>
  <cp:lastModifiedBy>谢凤</cp:lastModifiedBy>
  <dcterms:modified xsi:type="dcterms:W3CDTF">2025-11-17T10:28:11Z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0E881F96763B4B0B8A7459A5EDACBCA4_12</vt:lpwstr>
  </property>
</Properties>
</file>