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9041C">
      <w:pPr>
        <w:spacing w:after="0" w:line="240" w:lineRule="auto"/>
        <w:rPr>
          <w:rFonts w:ascii="宋体" w:eastAsia="宋体"/>
          <w:sz w:val="32"/>
          <w:szCs w:val="32"/>
        </w:rPr>
      </w:pPr>
    </w:p>
    <w:p w14:paraId="066F7B85">
      <w:pPr>
        <w:spacing w:after="0" w:line="240" w:lineRule="auto"/>
        <w:rPr>
          <w:rFonts w:ascii="宋体" w:eastAsia="宋体"/>
          <w:sz w:val="44"/>
          <w:szCs w:val="44"/>
        </w:rPr>
      </w:pPr>
    </w:p>
    <w:p w14:paraId="7DE24C85">
      <w:pPr>
        <w:spacing w:after="0" w:line="240" w:lineRule="auto"/>
        <w:rPr>
          <w:rFonts w:ascii="宋体" w:eastAsia="宋体"/>
          <w:sz w:val="44"/>
          <w:szCs w:val="44"/>
        </w:rPr>
      </w:pPr>
    </w:p>
    <w:p w14:paraId="6D9E74C9">
      <w:pPr>
        <w:spacing w:after="0" w:line="240" w:lineRule="auto"/>
        <w:rPr>
          <w:rFonts w:ascii="宋体" w:eastAsia="宋体"/>
          <w:sz w:val="44"/>
          <w:szCs w:val="44"/>
        </w:rPr>
      </w:pPr>
    </w:p>
    <w:p w14:paraId="72F34791">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乌鲁木齐市米东区总工会</w:t>
      </w:r>
    </w:p>
    <w:p w14:paraId="7A0D6BF3">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FF3473B">
      <w:pPr>
        <w:rPr>
          <w:lang w:eastAsia="zh-CN"/>
        </w:rPr>
      </w:pPr>
      <w:r>
        <w:rPr>
          <w:sz w:val="0"/>
          <w:szCs w:val="0"/>
          <w:lang w:eastAsia="zh-CN"/>
        </w:rPr>
        <w:br w:type="page"/>
      </w:r>
    </w:p>
    <w:p w14:paraId="6300894F">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6A084A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70EA6AE">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81D462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618A05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9CB9AC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2FD52C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B5C921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95EB19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0CEB65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536A11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BCFD07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7E4E6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E91F2E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021221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225F52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53B558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04CECE4">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228C04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065D27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D4700AE">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7F205E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ADA328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FD178A7">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20E723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F406FC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60C662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4B6D51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51A53D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E0F093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1E15FF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E2B708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388D72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B3443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F4CE9A4">
      <w:pPr>
        <w:rPr>
          <w:lang w:eastAsia="zh-CN"/>
        </w:rPr>
      </w:pPr>
      <w:r>
        <w:rPr>
          <w:sz w:val="0"/>
          <w:szCs w:val="0"/>
          <w:lang w:eastAsia="zh-CN"/>
        </w:rPr>
        <w:br w:type="page"/>
      </w:r>
    </w:p>
    <w:p w14:paraId="54AC157D">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8C13F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58A3F7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坚持自觉接受中国共产党的领导，承担团结引导职工群众听党话、跟党走的政治责任，巩固和扩大党执政的阶级基础和群众基础，贯彻落实区委和乌鲁木齐市总工会重要工作部署，认真执行工会代表大会、全委会确定的方针、任务和作出的决议。</w:t>
      </w:r>
    </w:p>
    <w:p w14:paraId="255708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（2）依照法律法规和《中国工会章程》，组织和指导全区各级工会坚定不移地贯彻落实党的全心全意依靠工人阶级的根本指导方针，认真履行工会各项职能，维护职工合法权益，竭诚服务职工群众。</w:t>
      </w:r>
    </w:p>
    <w:p w14:paraId="16DAE3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承担对涉及职工合法权益重大问题的调查研究，向区委和区人民政府反映职工群众的思想、愿望和要求，提出建议和意见；参与拟定设计职工切身利益的措施和制度；监督和协助行政部门贯彻执行国家劳动保护的法规和标准；组织对侵犯职工合法权益的重大事件进行调查并提出处理意见，参与职工重大伤亡事故的调查处理；指导基层工会不断提高职工的思想道德和科学文化技术素质。</w:t>
      </w:r>
    </w:p>
    <w:p w14:paraId="664A4D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工会理论政策研究，为各级工会提供理论政策服务；监督检查《中国工会章程》和工会组织制度、民主制度的贯彻执行；研究和指导各级工会自身改革和建设；指导基层工会开展以职工代表大会为基本制度的企业单位民主管理工作，推动建立平等协商、集体合同制度和监督保证</w:t>
      </w:r>
      <w:r>
        <w:rPr>
          <w:rFonts w:hint="eastAsia" w:ascii="仿宋_GB2312" w:eastAsia="仿宋_GB2312"/>
          <w:sz w:val="32"/>
          <w:szCs w:val="32"/>
          <w:lang w:eastAsia="zh-CN"/>
        </w:rPr>
        <w:t>机制。</w:t>
      </w:r>
    </w:p>
    <w:p w14:paraId="4B818B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贯彻执行工会干部管理制度；负责与乡镇(片区)党(工)委和有关部门党组协商推荐同级工会的主要领导人选；协同有关部门管理工会系统干部；研究制定工会干部管理制度和培训规划，负责工会系统管理干部的教育培训工作。</w:t>
      </w:r>
    </w:p>
    <w:p w14:paraId="43BF67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（6）协助区委、区人民政府做好区级劳动模范(含“先进工作者”，下同)的选树、培养、推荐、评选和管理服务工作；负责全国劳动模范、全国</w:t>
      </w:r>
      <w:r>
        <w:rPr>
          <w:rFonts w:hint="eastAsia" w:ascii="仿宋_GB2312" w:eastAsia="仿宋_GB2312"/>
          <w:sz w:val="32"/>
          <w:szCs w:val="32"/>
          <w:lang w:eastAsia="zh-CN"/>
        </w:rPr>
        <w:t>五一劳动奖章</w:t>
      </w:r>
      <w:bookmarkStart w:id="1" w:name="_GoBack"/>
      <w:bookmarkEnd w:id="1"/>
      <w:r>
        <w:rPr>
          <w:rFonts w:ascii="仿宋_GB2312" w:eastAsia="仿宋_GB2312"/>
          <w:sz w:val="32"/>
          <w:szCs w:val="32"/>
          <w:lang w:eastAsia="zh-CN"/>
        </w:rPr>
        <w:t>、奖状和自治区、乌鲁木齐劳动模范、“开发建设新疆”奖章奖状等获得者的推荐和管理服务工作。</w:t>
      </w:r>
    </w:p>
    <w:p w14:paraId="20E06F6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（7）负责全区工会经费和工会资产的管理、审查、审计工作；贯彻执行上级工会关于职工劳动福利事业有关政策和规定，并指导和监督落实。</w:t>
      </w:r>
    </w:p>
    <w:p w14:paraId="5D1F9A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（8）承办区委、区人民政府和乌鲁木齐市总工会交办的其他事项。</w:t>
      </w:r>
    </w:p>
    <w:p w14:paraId="2073AA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07303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乌鲁木齐市米东区总工会2024年度，实有人数18人，其中：在职人员5人，较上年无变化；离休人员0人，较上年无变化；退休人员13人，增加2人。</w:t>
      </w:r>
    </w:p>
    <w:p w14:paraId="276688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乌鲁木齐市米东区总工会无下属预算单位，下设1个</w:t>
      </w:r>
      <w:r>
        <w:rPr>
          <w:rFonts w:hint="eastAsia" w:ascii="仿宋_GB2312" w:eastAsia="仿宋_GB2312"/>
          <w:sz w:val="32"/>
          <w:szCs w:val="32"/>
          <w:lang w:eastAsia="zh-CN"/>
        </w:rPr>
        <w:t>科室</w:t>
      </w:r>
      <w:r>
        <w:rPr>
          <w:rFonts w:ascii="仿宋_GB2312" w:eastAsia="仿宋_GB2312"/>
          <w:sz w:val="32"/>
          <w:szCs w:val="32"/>
          <w:lang w:eastAsia="zh-CN"/>
        </w:rPr>
        <w:t>，分别是：困难职工帮扶中心。</w:t>
      </w:r>
    </w:p>
    <w:p w14:paraId="23961237">
      <w:pPr>
        <w:rPr>
          <w:lang w:eastAsia="zh-CN"/>
        </w:rPr>
      </w:pPr>
      <w:r>
        <w:rPr>
          <w:sz w:val="0"/>
          <w:szCs w:val="0"/>
          <w:lang w:eastAsia="zh-CN"/>
        </w:rPr>
        <w:br w:type="page"/>
      </w:r>
    </w:p>
    <w:p w14:paraId="4F4598C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C01F69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25E97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2024年度收入总计122.29万元，其中：本年收入合计122.23万元，使用非财政拨款结余（含专用结余）0.00万元，年初结转和结余0.06万元。</w:t>
      </w:r>
    </w:p>
    <w:p w14:paraId="71F98C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2024年度支出总计122.29万元，其中：本年支出合计122.23万元，结余分配0.00万元，年末结转和结余0.06万元。</w:t>
      </w:r>
    </w:p>
    <w:p w14:paraId="0D831D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收入支出总体与上年相比，减少13.82万元，下降10.15%，主要原因是：</w:t>
      </w:r>
      <w:r>
        <w:rPr>
          <w:rFonts w:hint="eastAsia" w:ascii="仿宋_GB2312" w:eastAsia="仿宋_GB2312"/>
          <w:sz w:val="32"/>
          <w:szCs w:val="32"/>
          <w:lang w:eastAsia="zh-CN"/>
        </w:rPr>
        <w:t>单位本年新公招人员工资基数低于调出人员，工资总额基数减少，人员工资、津贴补贴、奖金等经费减少</w:t>
      </w:r>
      <w:r>
        <w:rPr>
          <w:rFonts w:ascii="仿宋_GB2312" w:eastAsia="仿宋_GB2312"/>
          <w:sz w:val="32"/>
          <w:szCs w:val="32"/>
          <w:lang w:eastAsia="zh-CN"/>
        </w:rPr>
        <w:t>。</w:t>
      </w:r>
    </w:p>
    <w:p w14:paraId="7A0F5CE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3A6B62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本年收入122.23万元，其中：财政拨款收入122.23万元,占100.00%；上级补助收入0.00万元,占0.00%；事业收入0.00万元，占0.00%；经营收入0.00万元,占0.00%；附属单位上缴收入0.00万元，占0.00%；其他收入0.00万元，占0.00%。</w:t>
      </w:r>
    </w:p>
    <w:p w14:paraId="44BA59D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C167C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本年支出122.23万元，其中：基本支出122.23万元，占100.00%；项目支出0.00万元，占0.00%；上缴上级支出0.00万元，占0.00%；经营支出0.00万元，占0.00%；对附属单位补助支出0.00万元，占0.00%。</w:t>
      </w:r>
    </w:p>
    <w:p w14:paraId="45A3E53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B9D14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2024年度财政拨款收入总计122.23万元，其中：年初财政拨款结转和结余0.00万元，本年财政拨款收入122.23万元。财政拨款支出总计122.23万元，其中：年末财政拨款结转和结余0.00万元，本年财政拨款支出122.23万元。</w:t>
      </w:r>
    </w:p>
    <w:p w14:paraId="14262C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财政拨款收入支出总体与上年相比，减少13.82万元，下降10.16%，主要原因是：</w:t>
      </w:r>
      <w:r>
        <w:rPr>
          <w:rFonts w:hint="eastAsia" w:ascii="仿宋_GB2312" w:eastAsia="仿宋_GB2312"/>
          <w:sz w:val="32"/>
          <w:szCs w:val="32"/>
          <w:lang w:eastAsia="zh-CN"/>
        </w:rPr>
        <w:t>单位本年新公招人员工资基数低于调出人员，工资总额基数减少，人员工资、津贴补贴、奖金等经费减少</w:t>
      </w:r>
      <w:r>
        <w:rPr>
          <w:rFonts w:ascii="仿宋_GB2312" w:eastAsia="仿宋_GB2312"/>
          <w:sz w:val="32"/>
          <w:szCs w:val="32"/>
          <w:lang w:eastAsia="zh-CN"/>
        </w:rPr>
        <w:t>。与年初预算相比，年初预算数136.16万元，决算数122.23万元，预决算差异率-10.23%，主要原因是：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1780A23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CDAB9F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E1D31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2024年度一般公共预算财政拨款支出122.23万元，占本年支出合计的100.00%。与上年相比，减少13.82万元，下降10.16%，主要原因是：</w:t>
      </w:r>
      <w:r>
        <w:rPr>
          <w:rFonts w:hint="eastAsia" w:ascii="仿宋_GB2312" w:eastAsia="仿宋_GB2312"/>
          <w:sz w:val="32"/>
          <w:szCs w:val="32"/>
          <w:lang w:eastAsia="zh-CN"/>
        </w:rPr>
        <w:t>单位本年新公招人员工资基数低于调出人员，工资总额基数减少，人员工资、津贴补贴、奖金等经费减少</w:t>
      </w:r>
      <w:r>
        <w:rPr>
          <w:rFonts w:ascii="仿宋_GB2312" w:eastAsia="仿宋_GB2312"/>
          <w:sz w:val="32"/>
          <w:szCs w:val="32"/>
          <w:lang w:eastAsia="zh-CN"/>
        </w:rPr>
        <w:t>。与年初预算相比，年初预算数136.16万元，决算数122.23万元，预决算差异率-10.23%，主要原因是：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30F5E7D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4CB18C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一般公共服务支出（类）102.89万元，占84.18%。</w:t>
      </w:r>
    </w:p>
    <w:p w14:paraId="5E82CB6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社会保障和就业支出（类）19.34万元，占15.82%。</w:t>
      </w:r>
    </w:p>
    <w:p w14:paraId="5AC14B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48642E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1、一般公共服务支出（类）群众团体事务（款）行政运行（项）：支出决算数为67.60万元，比上年决算减少47.21万元，下降41.12%，主要原因是：</w:t>
      </w:r>
      <w:r>
        <w:rPr>
          <w:rFonts w:hint="eastAsia" w:ascii="仿宋_GB2312" w:eastAsia="仿宋_GB2312"/>
          <w:sz w:val="32"/>
          <w:szCs w:val="32"/>
          <w:lang w:eastAsia="zh-CN"/>
        </w:rPr>
        <w:t>单位本年新公招人员工资基数低于调出人员，工资总额基数减少，人员工资、津贴补贴、奖金等经费减少；本年功能科目调整，将</w:t>
      </w:r>
      <w:r>
        <w:rPr>
          <w:rFonts w:ascii="仿宋_GB2312" w:eastAsia="仿宋_GB2312"/>
          <w:sz w:val="32"/>
          <w:szCs w:val="32"/>
          <w:lang w:eastAsia="zh-CN"/>
        </w:rPr>
        <w:t>行政运行</w:t>
      </w:r>
      <w:r>
        <w:rPr>
          <w:rFonts w:hint="eastAsia" w:ascii="仿宋_GB2312" w:eastAsia="仿宋_GB2312"/>
          <w:sz w:val="32"/>
          <w:szCs w:val="32"/>
          <w:lang w:eastAsia="zh-CN"/>
        </w:rPr>
        <w:t>款项中事业人员经费调整至</w:t>
      </w:r>
      <w:r>
        <w:rPr>
          <w:rFonts w:ascii="仿宋_GB2312" w:eastAsia="仿宋_GB2312"/>
          <w:sz w:val="32"/>
          <w:szCs w:val="32"/>
          <w:lang w:eastAsia="zh-CN"/>
        </w:rPr>
        <w:t>事业运行</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14:paraId="6DC177A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2、一般公共服务支出（类）群众团体事务（款）事业运行（项）：支出决算数为35.29万元，比上年决算增加35.29万元，增长100.00%，主要原因是：</w:t>
      </w:r>
      <w:r>
        <w:rPr>
          <w:rFonts w:hint="eastAsia" w:ascii="仿宋_GB2312" w:eastAsia="仿宋_GB2312"/>
          <w:sz w:val="32"/>
          <w:szCs w:val="32"/>
          <w:lang w:eastAsia="zh-CN"/>
        </w:rPr>
        <w:t>本年功能科目调整，将</w:t>
      </w:r>
      <w:r>
        <w:rPr>
          <w:rFonts w:ascii="仿宋_GB2312" w:eastAsia="仿宋_GB2312"/>
          <w:sz w:val="32"/>
          <w:szCs w:val="32"/>
          <w:lang w:eastAsia="zh-CN"/>
        </w:rPr>
        <w:t>行政运行</w:t>
      </w:r>
      <w:r>
        <w:rPr>
          <w:rFonts w:hint="eastAsia" w:ascii="仿宋_GB2312" w:eastAsia="仿宋_GB2312"/>
          <w:sz w:val="32"/>
          <w:szCs w:val="32"/>
          <w:lang w:eastAsia="zh-CN"/>
        </w:rPr>
        <w:t>款项中事业人员经费调整至</w:t>
      </w:r>
      <w:r>
        <w:rPr>
          <w:rFonts w:ascii="仿宋_GB2312" w:eastAsia="仿宋_GB2312"/>
          <w:sz w:val="32"/>
          <w:szCs w:val="32"/>
          <w:lang w:eastAsia="zh-CN"/>
        </w:rPr>
        <w:t>事业运行</w:t>
      </w:r>
      <w:r>
        <w:rPr>
          <w:rFonts w:hint="eastAsia" w:ascii="仿宋_GB2312" w:eastAsia="仿宋_GB2312"/>
          <w:sz w:val="32"/>
          <w:szCs w:val="32"/>
          <w:lang w:eastAsia="zh-CN"/>
        </w:rPr>
        <w:t>款项中核算，导致此项经费增加</w:t>
      </w:r>
      <w:r>
        <w:rPr>
          <w:rFonts w:ascii="仿宋_GB2312" w:eastAsia="仿宋_GB2312"/>
          <w:sz w:val="32"/>
          <w:szCs w:val="32"/>
          <w:lang w:eastAsia="zh-CN"/>
        </w:rPr>
        <w:t>。</w:t>
      </w:r>
    </w:p>
    <w:p w14:paraId="321906E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3、社会保障和就业支出（类）行政事业单位养老支出（款）机关事业单位基本养老保险缴费支出（项）：支出决算数为11.97万元，比上年决算减少1.58万元，下降11.66%，主要原因是：</w:t>
      </w:r>
      <w:bookmarkStart w:id="0" w:name="_Hlk209348712"/>
      <w:r>
        <w:rPr>
          <w:rFonts w:hint="eastAsia" w:ascii="仿宋_GB2312" w:eastAsia="仿宋_GB2312"/>
          <w:sz w:val="32"/>
          <w:szCs w:val="32"/>
          <w:lang w:eastAsia="zh-CN"/>
        </w:rPr>
        <w:t>新公招人员缴费基数低于调出人员，缴费基数总额减少，导致养老保险缴费减少</w:t>
      </w:r>
      <w:bookmarkEnd w:id="0"/>
      <w:r>
        <w:rPr>
          <w:rFonts w:ascii="仿宋_GB2312" w:eastAsia="仿宋_GB2312"/>
          <w:sz w:val="32"/>
          <w:szCs w:val="32"/>
          <w:lang w:eastAsia="zh-CN"/>
        </w:rPr>
        <w:t>。</w:t>
      </w:r>
    </w:p>
    <w:p w14:paraId="052BC5A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4、社会保障和就业支出（类）行政事业单位养老支出（款）机关事业单位职业年金缴费支出（项）：支出决算数为7.37万元，比上年决算减少0.33万元，下降4.29%，主要原因是：</w:t>
      </w:r>
      <w:r>
        <w:rPr>
          <w:rFonts w:hint="eastAsia" w:ascii="仿宋_GB2312" w:eastAsia="仿宋_GB2312"/>
          <w:sz w:val="32"/>
          <w:szCs w:val="32"/>
          <w:lang w:eastAsia="zh-CN"/>
        </w:rPr>
        <w:t>单位本年人员一次性职业年金缴费减少</w:t>
      </w:r>
      <w:r>
        <w:rPr>
          <w:rFonts w:ascii="仿宋_GB2312" w:eastAsia="仿宋_GB2312"/>
          <w:sz w:val="32"/>
          <w:szCs w:val="32"/>
          <w:lang w:eastAsia="zh-CN"/>
        </w:rPr>
        <w:t>。</w:t>
      </w:r>
    </w:p>
    <w:p w14:paraId="7B49A44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3301C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122.23万元，其中：人员经费111.97万元，包括：基本工资、津贴补贴、奖金、绩效工资、机关事业单位基本养老保险缴费、职业年金缴费、职工基本医疗保险缴费、公务员医疗补助缴费、其他社会保障缴费和住房公积金。</w:t>
      </w:r>
    </w:p>
    <w:p w14:paraId="77B3B3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公用经费10.26万元，包括：办公费、水费、电费、取暖费、工会经费和福利费。</w:t>
      </w:r>
    </w:p>
    <w:p w14:paraId="43F9C7A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06C6A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A32B9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70582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95A5A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A3B9D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3C2269B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F3F59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。单位全年安排的因公出国（境）团组0个，因公出国（境）0人次。</w:t>
      </w:r>
    </w:p>
    <w:p w14:paraId="0C571F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公务用车运行维护</w:t>
      </w:r>
      <w:r>
        <w:rPr>
          <w:rFonts w:hint="eastAsia" w:ascii="仿宋_GB2312" w:eastAsia="仿宋_GB2312"/>
          <w:sz w:val="32"/>
          <w:szCs w:val="32"/>
          <w:lang w:eastAsia="zh-CN"/>
        </w:rPr>
        <w:t>经费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55EE2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。单位全年安排的国内公务接待0批次，0人次。</w:t>
      </w:r>
    </w:p>
    <w:p w14:paraId="242F08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B6985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A2C1C9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9518E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2024年度乌鲁木齐市米东区总工会单位（行政单位和参照公务员法管理事业单位）机关运行经费支出10.26万元，比上年增加8.20万元，增长398.06%，主要原因是：单位本年办公费、水费、电费、取暖费、福利费</w:t>
      </w:r>
      <w:r>
        <w:rPr>
          <w:rFonts w:hint="eastAsia" w:ascii="仿宋_GB2312" w:eastAsia="仿宋_GB2312"/>
          <w:sz w:val="32"/>
          <w:szCs w:val="32"/>
          <w:lang w:eastAsia="zh-CN"/>
        </w:rPr>
        <w:t>增加</w:t>
      </w:r>
      <w:r>
        <w:rPr>
          <w:rFonts w:ascii="仿宋_GB2312" w:eastAsia="仿宋_GB2312"/>
          <w:sz w:val="32"/>
          <w:szCs w:val="32"/>
          <w:lang w:eastAsia="zh-CN"/>
        </w:rPr>
        <w:t>。</w:t>
      </w:r>
    </w:p>
    <w:p w14:paraId="78C5F6C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D982C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1EFCA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73DF2D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E9AB0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0F6D0D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659F10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根据预算绩效管理要求，本单位2024年度预算绩效管理形成整体支出绩效自评表1个，全年预算总额122.29万元，实际执行总额122.2</w:t>
      </w:r>
      <w:r>
        <w:rPr>
          <w:rFonts w:hint="eastAsia" w:ascii="仿宋_GB2312" w:eastAsia="仿宋_GB2312"/>
          <w:sz w:val="32"/>
          <w:szCs w:val="32"/>
          <w:lang w:eastAsia="zh-CN"/>
        </w:rPr>
        <w:t>3</w:t>
      </w:r>
      <w:r>
        <w:rPr>
          <w:rFonts w:ascii="仿宋_GB2312" w:eastAsia="仿宋_GB2312"/>
          <w:sz w:val="32"/>
          <w:szCs w:val="32"/>
          <w:lang w:eastAsia="zh-CN"/>
        </w:rPr>
        <w:t>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个，全年预算数0.00万元，全年执行数0.00万元。预算绩效管理取得的成效：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全年完成5场次大型职工活动，丰富了职工的业余活动，满足职工日益增长的健身及精神文化生活需求，提高职工身体素质，增强团队凝聚力，发挥了工会的桥梁与纽带作用</w:t>
      </w:r>
      <w:r>
        <w:rPr>
          <w:rFonts w:hint="eastAsia" w:ascii="仿宋_GB2312" w:eastAsia="仿宋_GB2312"/>
          <w:sz w:val="32"/>
          <w:szCs w:val="32"/>
          <w:lang w:eastAsia="zh-CN"/>
        </w:rPr>
        <w:t>；二是</w:t>
      </w:r>
      <w:r>
        <w:rPr>
          <w:rFonts w:ascii="仿宋_GB2312" w:eastAsia="仿宋_GB2312"/>
          <w:sz w:val="32"/>
          <w:szCs w:val="32"/>
          <w:lang w:eastAsia="zh-CN"/>
        </w:rPr>
        <w:t>组织慰问劳模，让劳模真切感受到工会“娘家人”的温暖，在精神和物质上给予支持，并且通过慰问活动，大力宣传劳动模范的事迹和精神，鼓励劳模继续发挥示范带头作用，激励广大职工立足岗位、拼搏奉献</w:t>
      </w:r>
      <w:r>
        <w:rPr>
          <w:rFonts w:hint="eastAsia" w:ascii="仿宋_GB2312" w:eastAsia="仿宋_GB2312"/>
          <w:sz w:val="32"/>
          <w:szCs w:val="32"/>
          <w:lang w:eastAsia="zh-CN"/>
        </w:rPr>
        <w:t>；三是</w:t>
      </w:r>
      <w:r>
        <w:rPr>
          <w:rFonts w:ascii="仿宋_GB2312" w:eastAsia="仿宋_GB2312"/>
          <w:sz w:val="32"/>
          <w:szCs w:val="32"/>
          <w:lang w:eastAsia="zh-CN"/>
        </w:rPr>
        <w:t>组织5次送温暖活动，为一线职工、新就业形态劳动者送去慰问和关怀，让他们在工作中感受到温暖，提升职工幸福感，让工会组织更深入地了解职工需求和困难，更好地为职工服务，提升工会在职工中的影响力和公信力。发现的问题及原因：</w:t>
      </w:r>
      <w:r>
        <w:rPr>
          <w:rFonts w:hint="eastAsia" w:ascii="仿宋_GB2312" w:eastAsia="仿宋_GB2312"/>
          <w:sz w:val="32"/>
          <w:szCs w:val="32"/>
          <w:lang w:eastAsia="zh-CN"/>
        </w:rPr>
        <w:t>一是</w:t>
      </w:r>
      <w:r>
        <w:rPr>
          <w:rFonts w:ascii="仿宋_GB2312" w:eastAsia="仿宋_GB2312"/>
          <w:sz w:val="32"/>
          <w:szCs w:val="32"/>
          <w:lang w:eastAsia="zh-CN"/>
        </w:rPr>
        <w:t>预算编制与调整方面：预算微调有优化空间，年初预算和调整后预算存在一定差异。但主要原因可能是年初对部分临时性工作考虑不足，今后要在编制预算时多参考往年经验、充分调研，提高预算精准度。</w:t>
      </w:r>
      <w:r>
        <w:rPr>
          <w:rFonts w:hint="eastAsia" w:ascii="仿宋_GB2312" w:eastAsia="仿宋_GB2312"/>
          <w:sz w:val="32"/>
          <w:szCs w:val="32"/>
          <w:lang w:eastAsia="zh-CN"/>
        </w:rPr>
        <w:t>二是</w:t>
      </w:r>
      <w:r>
        <w:rPr>
          <w:rFonts w:ascii="仿宋_GB2312" w:eastAsia="仿宋_GB2312"/>
          <w:sz w:val="32"/>
          <w:szCs w:val="32"/>
          <w:lang w:eastAsia="zh-CN"/>
        </w:rPr>
        <w:t>工作成果转化方面：成果转化跟踪机制不完善，开展活动后，对成果转化为实际工作效益和社会影响的跟踪反馈不足。下一步改进措施：</w:t>
      </w:r>
      <w:r>
        <w:rPr>
          <w:rFonts w:hint="eastAsia" w:ascii="仿宋_GB2312" w:eastAsia="仿宋_GB2312"/>
          <w:sz w:val="32"/>
          <w:szCs w:val="32"/>
          <w:lang w:eastAsia="zh-CN"/>
        </w:rPr>
        <w:t>一是</w:t>
      </w:r>
      <w:r>
        <w:rPr>
          <w:rFonts w:ascii="仿宋_GB2312" w:eastAsia="仿宋_GB2312"/>
          <w:sz w:val="32"/>
          <w:szCs w:val="32"/>
          <w:lang w:eastAsia="zh-CN"/>
        </w:rPr>
        <w:t>预算编制与调整方面</w:t>
      </w:r>
      <w:r>
        <w:rPr>
          <w:rFonts w:hint="eastAsia" w:ascii="仿宋_GB2312" w:eastAsia="仿宋_GB2312"/>
          <w:sz w:val="32"/>
          <w:szCs w:val="32"/>
          <w:lang w:eastAsia="zh-CN"/>
        </w:rPr>
        <w:t>，</w:t>
      </w:r>
      <w:r>
        <w:rPr>
          <w:rFonts w:ascii="仿宋_GB2312" w:eastAsia="仿宋_GB2312"/>
          <w:sz w:val="32"/>
          <w:szCs w:val="32"/>
          <w:lang w:eastAsia="zh-CN"/>
        </w:rPr>
        <w:t>复盘过往，精准预估，复盘过去三年的预算执行情况，梳理出临时性工作的类型、频次及对应支出金额，形成详细的数据报告</w:t>
      </w:r>
      <w:r>
        <w:rPr>
          <w:rFonts w:hint="eastAsia" w:ascii="仿宋_GB2312" w:eastAsia="仿宋_GB2312"/>
          <w:sz w:val="32"/>
          <w:szCs w:val="32"/>
          <w:lang w:eastAsia="zh-CN"/>
        </w:rPr>
        <w:t>；二是</w:t>
      </w:r>
      <w:r>
        <w:rPr>
          <w:rFonts w:ascii="仿宋_GB2312" w:eastAsia="仿宋_GB2312"/>
          <w:sz w:val="32"/>
          <w:szCs w:val="32"/>
          <w:lang w:eastAsia="zh-CN"/>
        </w:rPr>
        <w:t>工作成果转化方面：围绕各项长期目标，制定量化评估指标，开展阶段评估。每半年开展一次阶段性评估，根据评估结果及时调整工作策略，确保工作朝着长期目标稳步推进。具体附部门整体支出绩效自评表。</w:t>
      </w:r>
    </w:p>
    <w:p w14:paraId="74B750A2">
      <w:pPr>
        <w:spacing w:after="0" w:line="240" w:lineRule="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22525F55">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D200197">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E93711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FE9E32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ABC658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乌鲁木齐市米东区总工会</w:t>
            </w:r>
          </w:p>
        </w:tc>
        <w:tc>
          <w:tcPr>
            <w:tcW w:w="284" w:type="dxa"/>
            <w:tcBorders>
              <w:top w:val="nil"/>
              <w:left w:val="nil"/>
              <w:bottom w:val="nil"/>
              <w:right w:val="nil"/>
            </w:tcBorders>
            <w:noWrap/>
            <w:vAlign w:val="center"/>
          </w:tcPr>
          <w:p w14:paraId="18909AE8">
            <w:pPr>
              <w:spacing w:after="0" w:line="240" w:lineRule="auto"/>
              <w:rPr>
                <w:rFonts w:hint="eastAsia" w:ascii="宋体" w:hAnsi="宋体" w:eastAsia="宋体" w:cs="宋体"/>
                <w:b/>
                <w:bCs/>
                <w:sz w:val="18"/>
                <w:szCs w:val="18"/>
                <w:lang w:eastAsia="zh-CN"/>
              </w:rPr>
            </w:pPr>
          </w:p>
        </w:tc>
      </w:tr>
      <w:tr w14:paraId="3DDF93F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966BC7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7559597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7FCA905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1910063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16CA3C4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6777254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60DE7C3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52515A1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15FA496D">
            <w:pPr>
              <w:spacing w:after="0" w:line="240" w:lineRule="auto"/>
              <w:jc w:val="center"/>
              <w:rPr>
                <w:rFonts w:hint="eastAsia" w:ascii="宋体" w:hAnsi="宋体" w:eastAsia="宋体" w:cs="宋体"/>
                <w:b/>
                <w:bCs/>
                <w:sz w:val="18"/>
                <w:szCs w:val="18"/>
                <w:lang w:eastAsia="zh-CN"/>
              </w:rPr>
            </w:pPr>
          </w:p>
        </w:tc>
      </w:tr>
      <w:tr w14:paraId="7A51111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3D565C">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5D26CE2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4BF99F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136.16</w:t>
            </w:r>
          </w:p>
        </w:tc>
        <w:tc>
          <w:tcPr>
            <w:tcW w:w="1276" w:type="dxa"/>
            <w:tcBorders>
              <w:top w:val="nil"/>
              <w:left w:val="nil"/>
              <w:bottom w:val="single" w:color="auto" w:sz="4" w:space="0"/>
              <w:right w:val="single" w:color="auto" w:sz="4" w:space="0"/>
            </w:tcBorders>
            <w:vAlign w:val="center"/>
          </w:tcPr>
          <w:p w14:paraId="3583675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122.29</w:t>
            </w:r>
          </w:p>
        </w:tc>
        <w:tc>
          <w:tcPr>
            <w:tcW w:w="1701" w:type="dxa"/>
            <w:tcBorders>
              <w:top w:val="nil"/>
              <w:left w:val="nil"/>
              <w:bottom w:val="single" w:color="auto" w:sz="4" w:space="0"/>
              <w:right w:val="single" w:color="auto" w:sz="4" w:space="0"/>
            </w:tcBorders>
            <w:vAlign w:val="center"/>
          </w:tcPr>
          <w:p w14:paraId="0D21163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122.23</w:t>
            </w:r>
          </w:p>
        </w:tc>
        <w:tc>
          <w:tcPr>
            <w:tcW w:w="1134" w:type="dxa"/>
            <w:tcBorders>
              <w:top w:val="nil"/>
              <w:left w:val="nil"/>
              <w:bottom w:val="single" w:color="auto" w:sz="4" w:space="0"/>
              <w:right w:val="single" w:color="auto" w:sz="4" w:space="0"/>
            </w:tcBorders>
            <w:vAlign w:val="center"/>
          </w:tcPr>
          <w:p w14:paraId="495DA44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28750EE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99.95%</w:t>
            </w:r>
          </w:p>
        </w:tc>
        <w:tc>
          <w:tcPr>
            <w:tcW w:w="720" w:type="dxa"/>
            <w:tcBorders>
              <w:top w:val="nil"/>
              <w:left w:val="nil"/>
              <w:bottom w:val="single" w:color="auto" w:sz="4" w:space="0"/>
              <w:right w:val="single" w:color="auto" w:sz="4" w:space="0"/>
            </w:tcBorders>
            <w:vAlign w:val="center"/>
          </w:tcPr>
          <w:p w14:paraId="2DC9106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9.99</w:t>
            </w:r>
          </w:p>
        </w:tc>
        <w:tc>
          <w:tcPr>
            <w:tcW w:w="284" w:type="dxa"/>
            <w:tcBorders>
              <w:top w:val="nil"/>
              <w:left w:val="nil"/>
              <w:bottom w:val="nil"/>
              <w:right w:val="nil"/>
            </w:tcBorders>
            <w:noWrap/>
            <w:vAlign w:val="center"/>
          </w:tcPr>
          <w:p w14:paraId="15871583">
            <w:pPr>
              <w:spacing w:after="0" w:line="240" w:lineRule="auto"/>
              <w:jc w:val="center"/>
              <w:rPr>
                <w:rFonts w:hint="eastAsia" w:ascii="宋体" w:hAnsi="宋体" w:eastAsia="宋体" w:cs="宋体"/>
                <w:b/>
                <w:bCs/>
                <w:sz w:val="18"/>
                <w:szCs w:val="18"/>
                <w:lang w:eastAsia="zh-CN"/>
              </w:rPr>
            </w:pPr>
          </w:p>
        </w:tc>
      </w:tr>
      <w:tr w14:paraId="0247C3D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0A6D2A">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120A9FD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CA24B0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276" w:type="dxa"/>
            <w:tcBorders>
              <w:top w:val="nil"/>
              <w:left w:val="nil"/>
              <w:bottom w:val="single" w:color="auto" w:sz="4" w:space="0"/>
              <w:right w:val="single" w:color="auto" w:sz="4" w:space="0"/>
            </w:tcBorders>
            <w:vAlign w:val="center"/>
          </w:tcPr>
          <w:p w14:paraId="392427A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701" w:type="dxa"/>
            <w:tcBorders>
              <w:top w:val="nil"/>
              <w:left w:val="nil"/>
              <w:bottom w:val="single" w:color="auto" w:sz="4" w:space="0"/>
              <w:right w:val="single" w:color="auto" w:sz="4" w:space="0"/>
            </w:tcBorders>
            <w:vAlign w:val="center"/>
          </w:tcPr>
          <w:p w14:paraId="3B12E82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5F61AF08">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4184B7F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B91AA4A">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3E3E9786">
            <w:pPr>
              <w:spacing w:after="0" w:line="240" w:lineRule="auto"/>
              <w:jc w:val="center"/>
              <w:rPr>
                <w:rFonts w:hint="eastAsia" w:ascii="宋体" w:hAnsi="宋体" w:eastAsia="宋体" w:cs="宋体"/>
                <w:sz w:val="18"/>
                <w:szCs w:val="18"/>
                <w:lang w:eastAsia="zh-CN"/>
              </w:rPr>
            </w:pPr>
          </w:p>
        </w:tc>
      </w:tr>
      <w:tr w14:paraId="0AE4245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304ED2">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564C879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50FB5AC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119.16</w:t>
            </w:r>
          </w:p>
        </w:tc>
        <w:tc>
          <w:tcPr>
            <w:tcW w:w="1276" w:type="dxa"/>
            <w:tcBorders>
              <w:top w:val="nil"/>
              <w:left w:val="nil"/>
              <w:bottom w:val="single" w:color="auto" w:sz="4" w:space="0"/>
              <w:right w:val="single" w:color="auto" w:sz="4" w:space="0"/>
            </w:tcBorders>
            <w:vAlign w:val="center"/>
          </w:tcPr>
          <w:p w14:paraId="55D6DF8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122.29</w:t>
            </w:r>
          </w:p>
        </w:tc>
        <w:tc>
          <w:tcPr>
            <w:tcW w:w="1701" w:type="dxa"/>
            <w:tcBorders>
              <w:top w:val="nil"/>
              <w:left w:val="nil"/>
              <w:bottom w:val="single" w:color="auto" w:sz="4" w:space="0"/>
              <w:right w:val="single" w:color="auto" w:sz="4" w:space="0"/>
            </w:tcBorders>
            <w:vAlign w:val="center"/>
          </w:tcPr>
          <w:p w14:paraId="2F4A50A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122.23</w:t>
            </w:r>
          </w:p>
        </w:tc>
        <w:tc>
          <w:tcPr>
            <w:tcW w:w="1134" w:type="dxa"/>
            <w:tcBorders>
              <w:top w:val="nil"/>
              <w:left w:val="nil"/>
              <w:bottom w:val="single" w:color="auto" w:sz="4" w:space="0"/>
              <w:right w:val="single" w:color="auto" w:sz="4" w:space="0"/>
            </w:tcBorders>
            <w:vAlign w:val="center"/>
          </w:tcPr>
          <w:p w14:paraId="5105E8BE">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ABEB071">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083BCB6">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48EB6DE7">
            <w:pPr>
              <w:spacing w:after="0" w:line="240" w:lineRule="auto"/>
              <w:jc w:val="center"/>
              <w:rPr>
                <w:rFonts w:hint="eastAsia" w:ascii="宋体" w:hAnsi="宋体" w:eastAsia="宋体" w:cs="宋体"/>
                <w:sz w:val="18"/>
                <w:szCs w:val="18"/>
                <w:lang w:eastAsia="zh-CN"/>
              </w:rPr>
            </w:pPr>
          </w:p>
        </w:tc>
      </w:tr>
      <w:tr w14:paraId="423A6BF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51F264">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7BCCE4A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7E6CE47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17.00</w:t>
            </w:r>
          </w:p>
        </w:tc>
        <w:tc>
          <w:tcPr>
            <w:tcW w:w="1276" w:type="dxa"/>
            <w:tcBorders>
              <w:top w:val="nil"/>
              <w:left w:val="nil"/>
              <w:bottom w:val="single" w:color="auto" w:sz="4" w:space="0"/>
              <w:right w:val="single" w:color="auto" w:sz="4" w:space="0"/>
            </w:tcBorders>
            <w:vAlign w:val="center"/>
          </w:tcPr>
          <w:p w14:paraId="32855E3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701" w:type="dxa"/>
            <w:tcBorders>
              <w:top w:val="nil"/>
              <w:left w:val="nil"/>
              <w:bottom w:val="single" w:color="auto" w:sz="4" w:space="0"/>
              <w:right w:val="single" w:color="auto" w:sz="4" w:space="0"/>
            </w:tcBorders>
            <w:vAlign w:val="center"/>
          </w:tcPr>
          <w:p w14:paraId="417BDAE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478A1DA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18A1211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787EF50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398BC612">
            <w:pPr>
              <w:spacing w:after="0" w:line="240" w:lineRule="auto"/>
              <w:jc w:val="center"/>
              <w:rPr>
                <w:rFonts w:hint="eastAsia" w:ascii="宋体" w:hAnsi="宋体" w:eastAsia="宋体" w:cs="宋体"/>
                <w:sz w:val="18"/>
                <w:szCs w:val="18"/>
                <w:lang w:eastAsia="zh-CN"/>
              </w:rPr>
            </w:pPr>
          </w:p>
        </w:tc>
      </w:tr>
      <w:tr w14:paraId="219A5A3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64DC5B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0A7D50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1A4409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554DB80B">
            <w:pPr>
              <w:spacing w:after="0" w:line="240" w:lineRule="auto"/>
              <w:rPr>
                <w:rFonts w:hint="eastAsia" w:ascii="宋体" w:hAnsi="宋体" w:eastAsia="宋体" w:cs="宋体"/>
                <w:b/>
                <w:bCs/>
                <w:sz w:val="18"/>
                <w:szCs w:val="18"/>
                <w:lang w:eastAsia="zh-CN"/>
              </w:rPr>
            </w:pPr>
          </w:p>
        </w:tc>
      </w:tr>
      <w:tr w14:paraId="67FCCB2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847A47">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2A53BE66">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一、本单位主要职能全面贯彻落实党的二十大精神，紧紧围绕全区高质量发展大局，着力强化职工思想政治引领，着力提升职工维权服务实效，着力推进工会改革纵深发展，着力提高工会服务职工工作水平。二、本年2024年度重点工作：1.举办大型职工活动；2.慰问劳模；3.举行送温暖活动。</w:t>
            </w:r>
          </w:p>
        </w:tc>
        <w:tc>
          <w:tcPr>
            <w:tcW w:w="4547" w:type="dxa"/>
            <w:gridSpan w:val="4"/>
            <w:tcBorders>
              <w:top w:val="single" w:color="auto" w:sz="4" w:space="0"/>
              <w:left w:val="nil"/>
              <w:bottom w:val="single" w:color="auto" w:sz="4" w:space="0"/>
              <w:right w:val="single" w:color="auto" w:sz="4" w:space="0"/>
            </w:tcBorders>
          </w:tcPr>
          <w:p w14:paraId="69BC294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全年完成5场次大型职工活动，丰富了职工的业余活动，满足职工日益增长的健身及精神文化生活需求，提高职工身体素质，增强团队凝聚力，发挥了工会的桥梁与纽带作用。2.组织慰问劳模，让劳模真切感受到工会“娘家人”的温暖，在精神和物质上给予支持，并且通过慰问活动，大力宣传劳动模范的事迹和精神，鼓励劳模继续发挥示范带头作用，激励广大职工立足岗位、拼搏奉献。3.组织5次送温暖活动，为一线职工、新就业形态劳动者送去慰问和关怀，让他们在工作中感受到温暖，提升职工幸福感，让工会组织更深入地了解职工需求和困难，更好地为职工服务，提升工会在职工中的影响力和公信力。</w:t>
            </w:r>
          </w:p>
        </w:tc>
        <w:tc>
          <w:tcPr>
            <w:tcW w:w="284" w:type="dxa"/>
            <w:tcBorders>
              <w:top w:val="nil"/>
              <w:left w:val="nil"/>
              <w:bottom w:val="nil"/>
              <w:right w:val="nil"/>
            </w:tcBorders>
            <w:noWrap/>
            <w:vAlign w:val="center"/>
          </w:tcPr>
          <w:p w14:paraId="72880A37">
            <w:pPr>
              <w:spacing w:after="0" w:line="240" w:lineRule="auto"/>
              <w:rPr>
                <w:rFonts w:hint="eastAsia" w:ascii="宋体" w:hAnsi="宋体" w:eastAsia="宋体" w:cs="宋体"/>
                <w:sz w:val="18"/>
                <w:szCs w:val="18"/>
                <w:lang w:eastAsia="zh-CN"/>
              </w:rPr>
            </w:pPr>
          </w:p>
        </w:tc>
      </w:tr>
      <w:tr w14:paraId="016AC15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809813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4FAFC93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25C81F5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096677C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3B0E428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2D1BB73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1B51C32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2AB986A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2A6F0DA2">
            <w:pPr>
              <w:spacing w:after="0" w:line="240" w:lineRule="auto"/>
              <w:rPr>
                <w:rFonts w:hint="eastAsia" w:ascii="宋体" w:hAnsi="宋体" w:eastAsia="宋体" w:cs="宋体"/>
                <w:b/>
                <w:bCs/>
                <w:sz w:val="18"/>
                <w:szCs w:val="18"/>
                <w:lang w:eastAsia="zh-CN"/>
              </w:rPr>
            </w:pPr>
          </w:p>
        </w:tc>
      </w:tr>
      <w:tr w14:paraId="7E4EA8E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787F70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361BB76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6056FDB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大型职工活动</w:t>
            </w:r>
          </w:p>
        </w:tc>
        <w:tc>
          <w:tcPr>
            <w:tcW w:w="1276" w:type="dxa"/>
            <w:tcBorders>
              <w:top w:val="nil"/>
              <w:left w:val="nil"/>
              <w:bottom w:val="single" w:color="auto" w:sz="4" w:space="0"/>
              <w:right w:val="single" w:color="auto" w:sz="4" w:space="0"/>
            </w:tcBorders>
            <w:noWrap/>
            <w:vAlign w:val="center"/>
          </w:tcPr>
          <w:p w14:paraId="044F805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&gt;=4次</w:t>
            </w:r>
          </w:p>
        </w:tc>
        <w:tc>
          <w:tcPr>
            <w:tcW w:w="1701" w:type="dxa"/>
            <w:tcBorders>
              <w:top w:val="nil"/>
              <w:left w:val="nil"/>
              <w:bottom w:val="single" w:color="auto" w:sz="4" w:space="0"/>
              <w:right w:val="single" w:color="auto" w:sz="4" w:space="0"/>
            </w:tcBorders>
            <w:noWrap/>
            <w:vAlign w:val="center"/>
          </w:tcPr>
          <w:p w14:paraId="78FC3C6F">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新疆维吾尔自治区基层工会经费收支管理办法实施细则</w:t>
            </w:r>
          </w:p>
        </w:tc>
        <w:tc>
          <w:tcPr>
            <w:tcW w:w="1134" w:type="dxa"/>
            <w:tcBorders>
              <w:top w:val="nil"/>
              <w:left w:val="nil"/>
              <w:bottom w:val="single" w:color="auto" w:sz="4" w:space="0"/>
              <w:right w:val="single" w:color="auto" w:sz="4" w:space="0"/>
            </w:tcBorders>
            <w:noWrap/>
            <w:vAlign w:val="center"/>
          </w:tcPr>
          <w:p w14:paraId="7FA7678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5次</w:t>
            </w:r>
          </w:p>
        </w:tc>
        <w:tc>
          <w:tcPr>
            <w:tcW w:w="992" w:type="dxa"/>
            <w:tcBorders>
              <w:top w:val="nil"/>
              <w:left w:val="nil"/>
              <w:bottom w:val="single" w:color="auto" w:sz="4" w:space="0"/>
              <w:right w:val="single" w:color="auto" w:sz="4" w:space="0"/>
            </w:tcBorders>
            <w:noWrap/>
            <w:vAlign w:val="center"/>
          </w:tcPr>
          <w:p w14:paraId="543CAEE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70E47D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9E76D08">
            <w:pPr>
              <w:spacing w:after="0" w:line="240" w:lineRule="auto"/>
              <w:jc w:val="center"/>
              <w:rPr>
                <w:rFonts w:hint="eastAsia" w:ascii="宋体" w:hAnsi="宋体" w:eastAsia="宋体" w:cs="宋体"/>
                <w:sz w:val="18"/>
                <w:szCs w:val="18"/>
                <w:lang w:eastAsia="zh-CN"/>
              </w:rPr>
            </w:pPr>
          </w:p>
        </w:tc>
      </w:tr>
      <w:tr w14:paraId="330E2D6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AB21CA1">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0E011240">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5A25D8D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慰问劳模活动覆盖率</w:t>
            </w:r>
          </w:p>
        </w:tc>
        <w:tc>
          <w:tcPr>
            <w:tcW w:w="1276" w:type="dxa"/>
            <w:tcBorders>
              <w:top w:val="nil"/>
              <w:left w:val="nil"/>
              <w:bottom w:val="single" w:color="auto" w:sz="4" w:space="0"/>
              <w:right w:val="single" w:color="auto" w:sz="4" w:space="0"/>
            </w:tcBorders>
            <w:noWrap/>
            <w:vAlign w:val="center"/>
          </w:tcPr>
          <w:p w14:paraId="78FCCE2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1701" w:type="dxa"/>
            <w:tcBorders>
              <w:top w:val="nil"/>
              <w:left w:val="nil"/>
              <w:bottom w:val="single" w:color="auto" w:sz="4" w:space="0"/>
              <w:right w:val="single" w:color="auto" w:sz="4" w:space="0"/>
            </w:tcBorders>
            <w:noWrap/>
            <w:vAlign w:val="center"/>
          </w:tcPr>
          <w:p w14:paraId="157CA4E7">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2016年乌市劳模服务管理办法</w:t>
            </w:r>
          </w:p>
        </w:tc>
        <w:tc>
          <w:tcPr>
            <w:tcW w:w="1134" w:type="dxa"/>
            <w:tcBorders>
              <w:top w:val="nil"/>
              <w:left w:val="nil"/>
              <w:bottom w:val="single" w:color="auto" w:sz="4" w:space="0"/>
              <w:right w:val="single" w:color="auto" w:sz="4" w:space="0"/>
            </w:tcBorders>
            <w:noWrap/>
            <w:vAlign w:val="center"/>
          </w:tcPr>
          <w:p w14:paraId="69CEEE6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992" w:type="dxa"/>
            <w:tcBorders>
              <w:top w:val="nil"/>
              <w:left w:val="nil"/>
              <w:bottom w:val="single" w:color="auto" w:sz="4" w:space="0"/>
              <w:right w:val="single" w:color="auto" w:sz="4" w:space="0"/>
            </w:tcBorders>
            <w:noWrap/>
            <w:vAlign w:val="center"/>
          </w:tcPr>
          <w:p w14:paraId="429C15D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78FEDD0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647336E7">
            <w:pPr>
              <w:spacing w:after="0" w:line="240" w:lineRule="auto"/>
              <w:jc w:val="center"/>
              <w:rPr>
                <w:rFonts w:hint="eastAsia" w:ascii="宋体" w:hAnsi="宋体" w:eastAsia="宋体" w:cs="宋体"/>
                <w:sz w:val="18"/>
                <w:szCs w:val="18"/>
                <w:lang w:eastAsia="zh-CN"/>
              </w:rPr>
            </w:pPr>
          </w:p>
        </w:tc>
      </w:tr>
      <w:tr w14:paraId="543A095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1F1DC48">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769C91A4">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6F8C387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送温暖活动次数</w:t>
            </w:r>
          </w:p>
        </w:tc>
        <w:tc>
          <w:tcPr>
            <w:tcW w:w="1276" w:type="dxa"/>
            <w:tcBorders>
              <w:top w:val="single" w:color="auto" w:sz="4" w:space="0"/>
              <w:left w:val="nil"/>
              <w:bottom w:val="single" w:color="auto" w:sz="4" w:space="0"/>
              <w:right w:val="single" w:color="auto" w:sz="4" w:space="0"/>
            </w:tcBorders>
            <w:noWrap/>
            <w:vAlign w:val="center"/>
          </w:tcPr>
          <w:p w14:paraId="715EF8A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&gt;=2次</w:t>
            </w:r>
          </w:p>
        </w:tc>
        <w:tc>
          <w:tcPr>
            <w:tcW w:w="1701" w:type="dxa"/>
            <w:tcBorders>
              <w:top w:val="single" w:color="auto" w:sz="4" w:space="0"/>
              <w:left w:val="nil"/>
              <w:bottom w:val="single" w:color="auto" w:sz="4" w:space="0"/>
              <w:right w:val="single" w:color="auto" w:sz="4" w:space="0"/>
            </w:tcBorders>
            <w:noWrap/>
            <w:vAlign w:val="center"/>
          </w:tcPr>
          <w:p w14:paraId="6377281D">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《新疆工会送温暖资金使用管理实施细则（试行）》的通知</w:t>
            </w:r>
          </w:p>
        </w:tc>
        <w:tc>
          <w:tcPr>
            <w:tcW w:w="1134" w:type="dxa"/>
            <w:tcBorders>
              <w:top w:val="single" w:color="auto" w:sz="4" w:space="0"/>
              <w:left w:val="nil"/>
              <w:bottom w:val="single" w:color="auto" w:sz="4" w:space="0"/>
              <w:right w:val="single" w:color="auto" w:sz="4" w:space="0"/>
            </w:tcBorders>
            <w:noWrap/>
            <w:vAlign w:val="center"/>
          </w:tcPr>
          <w:p w14:paraId="6D4AD8F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5次</w:t>
            </w:r>
          </w:p>
        </w:tc>
        <w:tc>
          <w:tcPr>
            <w:tcW w:w="992" w:type="dxa"/>
            <w:tcBorders>
              <w:top w:val="single" w:color="auto" w:sz="4" w:space="0"/>
              <w:left w:val="nil"/>
              <w:bottom w:val="single" w:color="auto" w:sz="4" w:space="0"/>
              <w:right w:val="single" w:color="auto" w:sz="4" w:space="0"/>
            </w:tcBorders>
            <w:noWrap/>
            <w:vAlign w:val="center"/>
          </w:tcPr>
          <w:p w14:paraId="6B7191C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7EF285C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9037205">
            <w:pPr>
              <w:spacing w:after="0" w:line="240" w:lineRule="auto"/>
              <w:jc w:val="center"/>
              <w:rPr>
                <w:rFonts w:hint="eastAsia" w:ascii="宋体" w:hAnsi="宋体" w:eastAsia="宋体" w:cs="宋体"/>
                <w:sz w:val="18"/>
                <w:szCs w:val="18"/>
                <w:lang w:eastAsia="zh-CN"/>
              </w:rPr>
            </w:pPr>
          </w:p>
        </w:tc>
      </w:tr>
      <w:tr w14:paraId="144C946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1858BE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0B53E37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C4A5D4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99.99</w:t>
            </w:r>
          </w:p>
        </w:tc>
        <w:tc>
          <w:tcPr>
            <w:tcW w:w="284" w:type="dxa"/>
            <w:tcBorders>
              <w:top w:val="nil"/>
              <w:left w:val="nil"/>
              <w:bottom w:val="nil"/>
              <w:right w:val="nil"/>
            </w:tcBorders>
            <w:noWrap/>
            <w:vAlign w:val="center"/>
          </w:tcPr>
          <w:p w14:paraId="3BE9D2E6">
            <w:pPr>
              <w:spacing w:after="0" w:line="240" w:lineRule="auto"/>
              <w:jc w:val="center"/>
              <w:rPr>
                <w:rFonts w:hint="eastAsia" w:ascii="宋体" w:hAnsi="宋体" w:eastAsia="宋体" w:cs="宋体"/>
                <w:sz w:val="18"/>
                <w:szCs w:val="18"/>
                <w:lang w:eastAsia="zh-CN"/>
              </w:rPr>
            </w:pPr>
          </w:p>
        </w:tc>
      </w:tr>
    </w:tbl>
    <w:p w14:paraId="58E6EF64">
      <w:pPr>
        <w:spacing w:after="0" w:line="240" w:lineRule="auto"/>
        <w:ind w:firstLine="640" w:firstLineChars="200"/>
        <w:jc w:val="both"/>
        <w:rPr>
          <w:rFonts w:ascii="仿宋_GB2312" w:eastAsia="仿宋_GB2312"/>
          <w:sz w:val="32"/>
          <w:szCs w:val="32"/>
        </w:rPr>
      </w:pPr>
    </w:p>
    <w:p w14:paraId="2E7AA85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41691D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60E5AF35">
      <w:pPr>
        <w:rPr>
          <w:lang w:eastAsia="zh-CN"/>
        </w:rPr>
      </w:pPr>
      <w:r>
        <w:rPr>
          <w:sz w:val="0"/>
          <w:szCs w:val="0"/>
          <w:lang w:eastAsia="zh-CN"/>
        </w:rPr>
        <w:br w:type="page"/>
      </w:r>
    </w:p>
    <w:p w14:paraId="667F76B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2FB45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CB33B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07E4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E090B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1BAD7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AD9AB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B91891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4485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AF4EC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46F0DB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36D76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95C6B2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9869A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DBF5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0583162">
      <w:pPr>
        <w:rPr>
          <w:lang w:eastAsia="zh-CN"/>
        </w:rPr>
      </w:pPr>
      <w:r>
        <w:rPr>
          <w:sz w:val="0"/>
          <w:szCs w:val="0"/>
          <w:lang w:eastAsia="zh-CN"/>
        </w:rPr>
        <w:br w:type="page"/>
      </w:r>
    </w:p>
    <w:p w14:paraId="426B4522">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847FC9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CB24BD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F14D4F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D3B01C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C0781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1CC4F7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126AA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91F5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8662E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70433"/>
    <w:rsid w:val="00527CEE"/>
    <w:rsid w:val="00570433"/>
    <w:rsid w:val="008501DE"/>
    <w:rsid w:val="00DB7D0A"/>
    <w:rsid w:val="00DF05E2"/>
    <w:rsid w:val="035C5045"/>
    <w:rsid w:val="0CF87B8D"/>
    <w:rsid w:val="0DB555A3"/>
    <w:rsid w:val="1699418F"/>
    <w:rsid w:val="16B71F1B"/>
    <w:rsid w:val="1DD527C8"/>
    <w:rsid w:val="1F282554"/>
    <w:rsid w:val="22573150"/>
    <w:rsid w:val="225B49EE"/>
    <w:rsid w:val="29E96D83"/>
    <w:rsid w:val="2E1E3C75"/>
    <w:rsid w:val="301306B6"/>
    <w:rsid w:val="452D1DC2"/>
    <w:rsid w:val="45EF52CA"/>
    <w:rsid w:val="4DDF3E76"/>
    <w:rsid w:val="4FEE56B8"/>
    <w:rsid w:val="51EB2DE9"/>
    <w:rsid w:val="537B63EF"/>
    <w:rsid w:val="55055F70"/>
    <w:rsid w:val="559D089E"/>
    <w:rsid w:val="56821842"/>
    <w:rsid w:val="5C5A1297"/>
    <w:rsid w:val="5EAA6A24"/>
    <w:rsid w:val="602045A6"/>
    <w:rsid w:val="62397C25"/>
    <w:rsid w:val="639A466F"/>
    <w:rsid w:val="68CC52CB"/>
    <w:rsid w:val="6F765F90"/>
    <w:rsid w:val="75671ED7"/>
    <w:rsid w:val="77C655DB"/>
    <w:rsid w:val="7E1F0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F81BD"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5976</Words>
  <Characters>6580</Characters>
  <Lines>190</Lines>
  <Paragraphs>130</Paragraphs>
  <TotalTime>12</TotalTime>
  <ScaleCrop>false</ScaleCrop>
  <LinksUpToDate>false</LinksUpToDate>
  <CharactersWithSpaces>6589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2025-10-11T03:37:00Z</dcterms:created>
  <dc:creator>雍虹虹</dc:creator>
  <cp:lastModifiedBy>谢凤</cp:lastModifiedBy>
  <dcterms:modified xsi:type="dcterms:W3CDTF">2025-11-17T10:29:34Z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235235A7ABDF47598E83A2B09C74BBB4_12</vt:lpwstr>
  </property>
</Properties>
</file>