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EF6634">
      <w:pPr>
        <w:spacing w:after="0" w:line="240" w:lineRule="auto"/>
        <w:rPr>
          <w:rFonts w:hint="eastAsia" w:ascii="宋体" w:eastAsia="宋体"/>
          <w:sz w:val="32"/>
          <w:szCs w:val="32"/>
        </w:rPr>
      </w:pPr>
    </w:p>
    <w:p w14:paraId="05308314">
      <w:pPr>
        <w:spacing w:after="0" w:line="240" w:lineRule="auto"/>
        <w:rPr>
          <w:rFonts w:hint="eastAsia" w:ascii="宋体" w:eastAsia="宋体"/>
          <w:sz w:val="44"/>
          <w:szCs w:val="44"/>
        </w:rPr>
      </w:pPr>
    </w:p>
    <w:p w14:paraId="312153DC">
      <w:pPr>
        <w:spacing w:after="0" w:line="240" w:lineRule="auto"/>
        <w:rPr>
          <w:rFonts w:hint="eastAsia" w:ascii="宋体" w:eastAsia="宋体"/>
          <w:sz w:val="44"/>
          <w:szCs w:val="44"/>
        </w:rPr>
      </w:pPr>
    </w:p>
    <w:p w14:paraId="669ADE3C">
      <w:pPr>
        <w:spacing w:after="0" w:line="240" w:lineRule="auto"/>
        <w:rPr>
          <w:rFonts w:hint="eastAsia" w:ascii="宋体" w:eastAsia="宋体"/>
          <w:sz w:val="44"/>
          <w:szCs w:val="44"/>
        </w:rPr>
      </w:pPr>
    </w:p>
    <w:p w14:paraId="5E4C904B">
      <w:pPr>
        <w:spacing w:after="0" w:line="240" w:lineRule="auto"/>
        <w:jc w:val="center"/>
        <w:outlineLvl w:val="0"/>
        <w:rPr>
          <w:rFonts w:hint="eastAsia" w:ascii="宋体" w:eastAsia="黑体"/>
          <w:sz w:val="44"/>
          <w:szCs w:val="44"/>
          <w:lang w:eastAsia="zh-CN"/>
        </w:rPr>
      </w:pPr>
      <w:r>
        <w:rPr>
          <w:rFonts w:ascii="宋体" w:eastAsia="黑体"/>
          <w:sz w:val="44"/>
          <w:szCs w:val="44"/>
          <w:lang w:eastAsia="zh-CN"/>
        </w:rPr>
        <w:t>乌鲁木齐市米东区机关事务管理中心</w:t>
      </w:r>
    </w:p>
    <w:p w14:paraId="3A4867AF">
      <w:pPr>
        <w:spacing w:after="0" w:line="240" w:lineRule="auto"/>
        <w:jc w:val="center"/>
        <w:outlineLvl w:val="0"/>
        <w:rPr>
          <w:rFonts w:hint="eastAsia" w:ascii="黑体" w:eastAsia="黑体"/>
          <w:sz w:val="44"/>
          <w:szCs w:val="44"/>
          <w:lang w:eastAsia="zh-CN"/>
        </w:rPr>
      </w:pPr>
      <w:r>
        <w:rPr>
          <w:rFonts w:ascii="黑体" w:eastAsia="黑体"/>
          <w:sz w:val="44"/>
          <w:szCs w:val="44"/>
          <w:lang w:eastAsia="zh-CN"/>
        </w:rPr>
        <w:t>2024年度部门决算公开说明</w:t>
      </w:r>
    </w:p>
    <w:p w14:paraId="06BE87A2">
      <w:pPr>
        <w:rPr>
          <w:rFonts w:hint="eastAsia"/>
          <w:lang w:eastAsia="zh-CN"/>
        </w:rPr>
      </w:pPr>
      <w:r>
        <w:rPr>
          <w:sz w:val="0"/>
          <w:szCs w:val="0"/>
          <w:lang w:eastAsia="zh-CN"/>
        </w:rPr>
        <w:br w:type="page"/>
      </w:r>
    </w:p>
    <w:p w14:paraId="56660A46">
      <w:pPr>
        <w:spacing w:after="0" w:line="240" w:lineRule="auto"/>
        <w:jc w:val="center"/>
        <w:rPr>
          <w:rFonts w:hint="eastAsia" w:ascii="黑体" w:eastAsia="黑体"/>
          <w:sz w:val="32"/>
          <w:szCs w:val="32"/>
          <w:lang w:eastAsia="zh-CN"/>
        </w:rPr>
      </w:pPr>
      <w:r>
        <w:rPr>
          <w:rFonts w:ascii="黑体" w:eastAsia="黑体"/>
          <w:b/>
          <w:sz w:val="32"/>
          <w:szCs w:val="32"/>
          <w:lang w:eastAsia="zh-CN"/>
        </w:rPr>
        <w:t>目  录</w:t>
      </w:r>
    </w:p>
    <w:p w14:paraId="23A4F0A7">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第一部分单位概况</w:t>
      </w:r>
    </w:p>
    <w:p w14:paraId="09B10C9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一、主要职能</w:t>
      </w:r>
    </w:p>
    <w:p w14:paraId="683DA39F">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二、机构设置及人员情况</w:t>
      </w:r>
    </w:p>
    <w:p w14:paraId="1FBAFAA2">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第二部分 部门决算情况说明</w:t>
      </w:r>
    </w:p>
    <w:p w14:paraId="632DD39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一、收入支出决算总体情况说明</w:t>
      </w:r>
    </w:p>
    <w:p w14:paraId="701B57A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二、收入决算情况说明</w:t>
      </w:r>
    </w:p>
    <w:p w14:paraId="63FE1E3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三、支出决算情况说明</w:t>
      </w:r>
    </w:p>
    <w:p w14:paraId="26DA3D1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1D6545D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5133FC7A">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5269ABD6">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3AF21093">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7372BD7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13DAF41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51D3E8C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499712BB">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43B67F5A">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​十、其他重要事项的情况说明</w:t>
      </w:r>
    </w:p>
    <w:p w14:paraId="4B407D5B">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（一）机关运行经费及公用经费支出情况</w:t>
      </w:r>
    </w:p>
    <w:p w14:paraId="0415E7DA">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（二）政府采购情况</w:t>
      </w:r>
    </w:p>
    <w:p w14:paraId="576C36D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（三）国有资产占用情况说明</w:t>
      </w:r>
    </w:p>
    <w:p w14:paraId="6D819D9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十一、预算绩效的情况说明</w:t>
      </w:r>
    </w:p>
    <w:p w14:paraId="20888E5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十二、其他需说明的事项</w:t>
      </w:r>
    </w:p>
    <w:p w14:paraId="31CA6937">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第三部分 专业名词解释</w:t>
      </w:r>
    </w:p>
    <w:p w14:paraId="3D333E3E">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第四部分 部门决算报表（见附表）</w:t>
      </w:r>
    </w:p>
    <w:p w14:paraId="71E7B38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60DE33A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二、《收入决算表》</w:t>
      </w:r>
    </w:p>
    <w:p w14:paraId="47716F8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三、《支出决算表》</w:t>
      </w:r>
    </w:p>
    <w:p w14:paraId="65D1702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2EC872A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5AE2DBB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4C12CE2C">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087C42A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2215E44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p w14:paraId="3CE22E16">
      <w:pPr>
        <w:rPr>
          <w:rFonts w:hint="eastAsia"/>
          <w:lang w:eastAsia="zh-CN"/>
        </w:rPr>
      </w:pPr>
      <w:r>
        <w:rPr>
          <w:sz w:val="0"/>
          <w:szCs w:val="0"/>
          <w:lang w:eastAsia="zh-CN"/>
        </w:rPr>
        <w:br w:type="page"/>
      </w:r>
    </w:p>
    <w:p w14:paraId="4C0EDCBB">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第一部分 单位概况</w:t>
      </w:r>
    </w:p>
    <w:p w14:paraId="7136CA7F">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 一、主要职能</w:t>
      </w:r>
    </w:p>
    <w:p w14:paraId="5E035ECC">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对区机关办公楼实施全面的管理和服务。负责机关办公楼办房的调配工作。负责区机关党政楼、综合办公楼、文化活动中心水、电、暖等管理工作。负责区机关办公楼变配电管理、供排水系统管理、暖通空调系统管理、房屋建筑修缮管理及电梯、电器设备的维修保养工作。负责区机关党政楼、综合办公楼、文化活动中心会议活动场所的管理及服务。负责区委、区政府工作车辆的办照、验审、换证、维修、报废和管理工作。负责区机关党政楼、综合办公楼、文化活动中心办公楼的安全保卫、消防工作及其消防设施管理。负责区机关办公场地的绿化、公共环境卫生及物业管理工作。负责区机关党政楼、综合办公楼、文化活动中心保洁员的日常管理。配合劳动人事部门，做好本区党政群机关工勤人员（驾驶员）的考核、晋级、晋升工作。负责区机关食堂管理服务工作。完成区政府办公室交办的其他工作。</w:t>
      </w:r>
    </w:p>
    <w:p w14:paraId="4258B145">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二、机构设置及人员情况</w:t>
      </w:r>
    </w:p>
    <w:p w14:paraId="5F9572E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乌鲁木齐市米东区机关事务管理中心2024年度，实有人数184人，其中：在职人员112人，较上年无变化；离休人员0人，较上年无变化；退休人员72人，增加9人。</w:t>
      </w:r>
    </w:p>
    <w:p w14:paraId="036571F8">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乌鲁木齐市米东区机关事务管理中心无下属预算单位，下设6个</w:t>
      </w:r>
      <w:r>
        <w:rPr>
          <w:rFonts w:hint="eastAsia" w:ascii="仿宋_GB2312" w:eastAsia="仿宋_GB2312"/>
          <w:sz w:val="32"/>
          <w:szCs w:val="32"/>
          <w:lang w:eastAsia="zh-CN"/>
        </w:rPr>
        <w:t>科室</w:t>
      </w:r>
      <w:r>
        <w:rPr>
          <w:rFonts w:ascii="仿宋_GB2312" w:eastAsia="仿宋_GB2312"/>
          <w:sz w:val="32"/>
          <w:szCs w:val="32"/>
          <w:lang w:eastAsia="zh-CN"/>
        </w:rPr>
        <w:t>，分别是：生活股、保卫股、综合股、行政办、资产节能股、财务股。</w:t>
      </w:r>
    </w:p>
    <w:p w14:paraId="65D1E21A">
      <w:pPr>
        <w:rPr>
          <w:rFonts w:hint="eastAsia"/>
          <w:lang w:eastAsia="zh-CN"/>
        </w:rPr>
      </w:pPr>
      <w:r>
        <w:rPr>
          <w:rFonts w:hint="eastAsia"/>
          <w:lang w:eastAsia="zh-CN"/>
        </w:rPr>
        <w:br w:type="page"/>
      </w:r>
    </w:p>
    <w:p w14:paraId="3FDBE353">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第二部分 部门决算情况说明</w:t>
      </w:r>
    </w:p>
    <w:p w14:paraId="71ACC5DC">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一、收入支出决算总体情况说明</w:t>
      </w:r>
    </w:p>
    <w:p w14:paraId="0C2F798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2024年度收入总计2,974.24万元，其中：本年收入合计2,902.71万元，使用非财政拨款结余（含专用结余）0.00万元，年初结转和结余71.53万元。</w:t>
      </w:r>
    </w:p>
    <w:p w14:paraId="14567D4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2024年度支出总计2,974.24万元，其中：本年支出合计2,902.71万元，结余分配0.00万元，年末结转和结余71.53万元。</w:t>
      </w:r>
    </w:p>
    <w:p w14:paraId="5510AD9C">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收入支出总体与上年相比，增加33.62万元，增长1.14%，主要原因是：</w:t>
      </w:r>
      <w:r>
        <w:rPr>
          <w:rFonts w:hint="eastAsia" w:ascii="仿宋_GB2312" w:eastAsia="仿宋_GB2312"/>
          <w:sz w:val="32"/>
          <w:szCs w:val="32"/>
          <w:lang w:eastAsia="zh-CN"/>
        </w:rPr>
        <w:t>单位退休人员增加</w:t>
      </w:r>
      <w:r>
        <w:rPr>
          <w:rFonts w:hint="eastAsia" w:ascii="仿宋_GB2312" w:eastAsia="仿宋_GB2312"/>
          <w:sz w:val="32"/>
          <w:szCs w:val="32"/>
          <w:lang w:val="en-US" w:eastAsia="zh-CN"/>
        </w:rPr>
        <w:t>9人</w:t>
      </w:r>
      <w:r>
        <w:rPr>
          <w:rFonts w:hint="eastAsia" w:ascii="仿宋_GB2312" w:eastAsia="仿宋_GB2312"/>
          <w:sz w:val="32"/>
          <w:szCs w:val="32"/>
          <w:lang w:eastAsia="zh-CN"/>
        </w:rPr>
        <w:t>，退休人员</w:t>
      </w:r>
      <w:bookmarkStart w:id="0" w:name="_Hlk209006861"/>
      <w:r>
        <w:rPr>
          <w:rFonts w:hint="eastAsia" w:ascii="仿宋_GB2312" w:eastAsia="仿宋_GB2312"/>
          <w:sz w:val="32"/>
          <w:szCs w:val="32"/>
          <w:lang w:eastAsia="zh-CN"/>
        </w:rPr>
        <w:t>一次性职业年金缴费</w:t>
      </w:r>
      <w:bookmarkEnd w:id="0"/>
      <w:r>
        <w:rPr>
          <w:rFonts w:hint="eastAsia" w:ascii="仿宋_GB2312" w:eastAsia="仿宋_GB2312"/>
          <w:sz w:val="32"/>
          <w:szCs w:val="32"/>
          <w:lang w:eastAsia="zh-CN"/>
        </w:rPr>
        <w:t>增加</w:t>
      </w:r>
      <w:r>
        <w:rPr>
          <w:rFonts w:ascii="仿宋_GB2312" w:eastAsia="仿宋_GB2312"/>
          <w:sz w:val="32"/>
          <w:szCs w:val="32"/>
          <w:lang w:eastAsia="zh-CN"/>
        </w:rPr>
        <w:t>。</w:t>
      </w:r>
    </w:p>
    <w:p w14:paraId="7BE128F0">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二、收入决算情况说明</w:t>
      </w:r>
    </w:p>
    <w:p w14:paraId="07EC754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本年收入2,902.71万元，其中：财政拨款收入2,902.71万元,占100.00%；上级补助收入0.00万元,占0.00%；事业收入0.00万元，占0.00%；经营收入0.00万元,占0.00%；附属单位上缴收入0.00万元，占0.00%；其他收入0.00万元，占0.00%。</w:t>
      </w:r>
    </w:p>
    <w:p w14:paraId="155BE276">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三、支出决算情况说明</w:t>
      </w:r>
    </w:p>
    <w:p w14:paraId="010B8F2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本年支出2,902.71万元，其中：基本支出2,902.71万元，占100.00%；项目支出0.00万元，占0.00%；上缴上级支出0.00万元，占0.00%；经营支出0.00万元，占0.00%；对附属单位补助支出0.00万元，占0.00%。</w:t>
      </w:r>
    </w:p>
    <w:p w14:paraId="337F8D2E">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四、财政拨款收入支出决算总体情况说明</w:t>
      </w:r>
    </w:p>
    <w:p w14:paraId="3F57F88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收入总计2,947.12万元，其中：年初财政拨款结转和结余44.41万元，本年财政拨款收入2,902.71万元。财政拨款支出总计2,947.12万元，其中：年末财政拨款结转和结余44.41万元，本年财政拨款支出2,902.71万元。</w:t>
      </w:r>
    </w:p>
    <w:p w14:paraId="2CE617B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财政拨款收入支出总体与上年相比，增加33.62万元，增长1.15%，主要原因是：</w:t>
      </w:r>
      <w:r>
        <w:rPr>
          <w:rFonts w:hint="eastAsia" w:ascii="仿宋_GB2312" w:eastAsia="仿宋_GB2312"/>
          <w:sz w:val="32"/>
          <w:szCs w:val="32"/>
          <w:lang w:eastAsia="zh-CN"/>
        </w:rPr>
        <w:t>单位退休人员增加</w:t>
      </w:r>
      <w:r>
        <w:rPr>
          <w:rFonts w:hint="eastAsia" w:ascii="仿宋_GB2312" w:eastAsia="仿宋_GB2312"/>
          <w:sz w:val="32"/>
          <w:szCs w:val="32"/>
          <w:lang w:val="en-US" w:eastAsia="zh-CN"/>
        </w:rPr>
        <w:t>9人</w:t>
      </w:r>
      <w:r>
        <w:rPr>
          <w:rFonts w:hint="eastAsia" w:ascii="仿宋_GB2312" w:eastAsia="仿宋_GB2312"/>
          <w:sz w:val="32"/>
          <w:szCs w:val="32"/>
          <w:lang w:eastAsia="zh-CN"/>
        </w:rPr>
        <w:t>，退休人员一次性职业年金缴费增加</w:t>
      </w:r>
      <w:r>
        <w:rPr>
          <w:rFonts w:ascii="仿宋_GB2312" w:eastAsia="仿宋_GB2312"/>
          <w:sz w:val="32"/>
          <w:szCs w:val="32"/>
          <w:lang w:eastAsia="zh-CN"/>
        </w:rPr>
        <w:t>。与年初预算相比，年初预算数3,434.19万元，决算数2,947.12万元，预决算差异率-14.18%，主要原因是：</w:t>
      </w:r>
      <w:r>
        <w:rPr>
          <w:rFonts w:hint="eastAsia" w:ascii="仿宋_GB2312" w:eastAsia="仿宋_GB2312"/>
          <w:sz w:val="32"/>
          <w:szCs w:val="32"/>
          <w:lang w:eastAsia="zh-CN"/>
        </w:rPr>
        <w:t>年初预算安排机关业务项目经费，本年实际无机关业务项目经费，因此单位决算数小于年初预算安排金额</w:t>
      </w:r>
      <w:r>
        <w:rPr>
          <w:rFonts w:ascii="仿宋_GB2312" w:eastAsia="仿宋_GB2312"/>
          <w:sz w:val="32"/>
          <w:szCs w:val="32"/>
          <w:lang w:eastAsia="zh-CN"/>
        </w:rPr>
        <w:t>。</w:t>
      </w:r>
    </w:p>
    <w:p w14:paraId="1228A059">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五、一般公共预算财政拨款支出决算情况说明</w:t>
      </w:r>
    </w:p>
    <w:p w14:paraId="3B9C3A25">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（一）一般公共预算财政拨款支出决算总体情况</w:t>
      </w:r>
    </w:p>
    <w:p w14:paraId="736F5FAD">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2024年度一般公共预算财政拨款支出2,902.71万元，占本年支出合计的100.00%。与上年相比，增加33.62万元，增长1.17%，主要原因是：</w:t>
      </w:r>
      <w:r>
        <w:rPr>
          <w:rFonts w:hint="eastAsia" w:ascii="仿宋_GB2312" w:eastAsia="仿宋_GB2312"/>
          <w:sz w:val="32"/>
          <w:szCs w:val="32"/>
          <w:lang w:eastAsia="zh-CN"/>
        </w:rPr>
        <w:t>单位退休人员增加</w:t>
      </w:r>
      <w:r>
        <w:rPr>
          <w:rFonts w:hint="eastAsia" w:ascii="仿宋_GB2312" w:eastAsia="仿宋_GB2312"/>
          <w:sz w:val="32"/>
          <w:szCs w:val="32"/>
          <w:lang w:val="en-US" w:eastAsia="zh-CN"/>
        </w:rPr>
        <w:t>9人</w:t>
      </w:r>
      <w:r>
        <w:rPr>
          <w:rFonts w:hint="eastAsia" w:ascii="仿宋_GB2312" w:eastAsia="仿宋_GB2312"/>
          <w:sz w:val="32"/>
          <w:szCs w:val="32"/>
          <w:lang w:eastAsia="zh-CN"/>
        </w:rPr>
        <w:t>，退休人员一次性职业年金缴费增加</w:t>
      </w:r>
      <w:r>
        <w:rPr>
          <w:rFonts w:ascii="仿宋_GB2312" w:eastAsia="仿宋_GB2312"/>
          <w:sz w:val="32"/>
          <w:szCs w:val="32"/>
          <w:lang w:eastAsia="zh-CN"/>
        </w:rPr>
        <w:t>。与年初预算相比，年初预算数3,434.19万元，决算数2,902.71万元，预决算差异率-15.48%，主要原因是：</w:t>
      </w:r>
      <w:r>
        <w:rPr>
          <w:rFonts w:hint="eastAsia" w:ascii="仿宋_GB2312" w:eastAsia="仿宋_GB2312"/>
          <w:sz w:val="32"/>
          <w:szCs w:val="32"/>
          <w:lang w:eastAsia="zh-CN"/>
        </w:rPr>
        <w:t>年初预算安排机关业务项目经费，本年实际无机关业务项目经费，因此单位决算数小于年初预算安排金额</w:t>
      </w:r>
      <w:r>
        <w:rPr>
          <w:rFonts w:ascii="仿宋_GB2312" w:eastAsia="仿宋_GB2312"/>
          <w:sz w:val="32"/>
          <w:szCs w:val="32"/>
          <w:lang w:eastAsia="zh-CN"/>
        </w:rPr>
        <w:t>。</w:t>
      </w:r>
    </w:p>
    <w:p w14:paraId="12B65F92">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（二）一般公共预算财政拨款支出决算结构情况</w:t>
      </w:r>
    </w:p>
    <w:p w14:paraId="797D10EB">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一般公共服务支出（类）2,603.08万元，占89.68%。</w:t>
      </w:r>
    </w:p>
    <w:p w14:paraId="4DFF0001">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社会保障和就业支出（类）299.63万元，占10.32%。</w:t>
      </w:r>
    </w:p>
    <w:p w14:paraId="4AB01149">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（三）一般公共预算财政拨款支出决算具体情况</w:t>
      </w:r>
    </w:p>
    <w:p w14:paraId="5F93FF13">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1、一般公共服务支出（类）人大事务（款）机关服务（项）：支出决算数为0.00万元，比上年决算减少4.76万元，下降100.00%，主要原因是：</w:t>
      </w:r>
      <w:r>
        <w:rPr>
          <w:rFonts w:hint="eastAsia" w:ascii="仿宋_GB2312" w:eastAsia="仿宋_GB2312"/>
          <w:sz w:val="32"/>
          <w:szCs w:val="32"/>
          <w:lang w:eastAsia="zh-CN"/>
        </w:rPr>
        <w:t>本年单位减少人大工作业务经费</w:t>
      </w:r>
      <w:r>
        <w:rPr>
          <w:rFonts w:ascii="仿宋_GB2312" w:eastAsia="仿宋_GB2312"/>
          <w:sz w:val="32"/>
          <w:szCs w:val="32"/>
          <w:lang w:eastAsia="zh-CN"/>
        </w:rPr>
        <w:t>。</w:t>
      </w:r>
    </w:p>
    <w:p w14:paraId="4BAD68C6">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2、一般公共服务支出（类）政府办公厅（室）及相关机构事务（款）机关服务（项）：支出决算数为2,603.08万元，比上年决算减少73.07万元，下降2.73%，主要原因是：</w:t>
      </w:r>
      <w:r>
        <w:rPr>
          <w:rFonts w:hint="eastAsia" w:ascii="仿宋_GB2312" w:hAnsi="仿宋_GB2312" w:eastAsia="仿宋_GB2312" w:cs="仿宋_GB2312"/>
          <w:sz w:val="32"/>
          <w:szCs w:val="32"/>
          <w:lang w:val="zh-CN" w:eastAsia="zh-CN"/>
        </w:rPr>
        <w:t>单位新进人员职级低于调出人员，新进人员工资、津补贴等人员经费发放标准低于调出人员，因此相关人员经费较上年减少</w:t>
      </w:r>
      <w:r>
        <w:rPr>
          <w:rFonts w:ascii="仿宋_GB2312" w:eastAsia="仿宋_GB2312"/>
          <w:sz w:val="32"/>
          <w:szCs w:val="32"/>
          <w:lang w:eastAsia="zh-CN"/>
        </w:rPr>
        <w:t>。</w:t>
      </w:r>
    </w:p>
    <w:p w14:paraId="56994AD8">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3、社会保障和就业支出（类）行政事业单位养老支出（款）机关事业单位基本养老保险缴费支出（项）：支出决算数为204.58万元，比上年决算增加39.70万元，增长24.08%，主要原因是：</w:t>
      </w:r>
      <w:bookmarkStart w:id="1" w:name="_Hlk208414579"/>
      <w:r>
        <w:rPr>
          <w:rFonts w:hint="eastAsia" w:ascii="仿宋_GB2312" w:eastAsia="仿宋_GB2312"/>
          <w:sz w:val="32"/>
          <w:szCs w:val="32"/>
          <w:lang w:eastAsia="zh-CN"/>
        </w:rPr>
        <w:t>社保缴费基数调增，人员</w:t>
      </w:r>
      <w:r>
        <w:rPr>
          <w:rFonts w:ascii="仿宋_GB2312" w:eastAsia="仿宋_GB2312"/>
          <w:sz w:val="32"/>
          <w:szCs w:val="32"/>
          <w:lang w:eastAsia="zh-CN"/>
        </w:rPr>
        <w:t>养老保险缴费</w:t>
      </w:r>
      <w:r>
        <w:rPr>
          <w:rFonts w:hint="eastAsia" w:ascii="仿宋_GB2312" w:eastAsia="仿宋_GB2312"/>
          <w:sz w:val="32"/>
          <w:szCs w:val="32"/>
          <w:lang w:eastAsia="zh-CN"/>
        </w:rPr>
        <w:t>增加</w:t>
      </w:r>
      <w:bookmarkEnd w:id="1"/>
      <w:r>
        <w:rPr>
          <w:rFonts w:hint="eastAsia" w:ascii="仿宋_GB2312" w:eastAsia="仿宋_GB2312"/>
          <w:sz w:val="32"/>
          <w:szCs w:val="32"/>
          <w:lang w:eastAsia="zh-CN"/>
        </w:rPr>
        <w:t>。</w:t>
      </w:r>
    </w:p>
    <w:p w14:paraId="51D93548">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4、社会保障和就业支出（类）行政事业单位养老支出（款）机关事业单位职业年金缴费支出（项）：支出决算数为95.05万元，比上年决算增加71.75万元，增长307.94%，主要原因是：</w:t>
      </w:r>
      <w:r>
        <w:rPr>
          <w:rFonts w:hint="eastAsia" w:ascii="仿宋_GB2312" w:eastAsia="仿宋_GB2312"/>
          <w:sz w:val="32"/>
          <w:szCs w:val="32"/>
          <w:lang w:eastAsia="zh-CN"/>
        </w:rPr>
        <w:t>单位退休人员增加</w:t>
      </w:r>
      <w:r>
        <w:rPr>
          <w:rFonts w:hint="eastAsia" w:ascii="仿宋_GB2312" w:eastAsia="仿宋_GB2312"/>
          <w:sz w:val="32"/>
          <w:szCs w:val="32"/>
          <w:lang w:val="en-US" w:eastAsia="zh-CN"/>
        </w:rPr>
        <w:t>9人</w:t>
      </w:r>
      <w:r>
        <w:rPr>
          <w:rFonts w:hint="eastAsia" w:ascii="仿宋_GB2312" w:eastAsia="仿宋_GB2312"/>
          <w:sz w:val="32"/>
          <w:szCs w:val="32"/>
          <w:lang w:eastAsia="zh-CN"/>
        </w:rPr>
        <w:t>，退休人员一次性职业年金缴费增加</w:t>
      </w:r>
      <w:r>
        <w:rPr>
          <w:rFonts w:ascii="仿宋_GB2312" w:eastAsia="仿宋_GB2312"/>
          <w:sz w:val="32"/>
          <w:szCs w:val="32"/>
          <w:lang w:eastAsia="zh-CN"/>
        </w:rPr>
        <w:t>。</w:t>
      </w:r>
    </w:p>
    <w:p w14:paraId="14DDEBD1">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六、一般公共预算财政拨款基本支出决算情况说明</w:t>
      </w:r>
    </w:p>
    <w:p w14:paraId="20AC708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基本支出2,902.71万元，其中：人员经费2,083.80万元，包括：基本工资、津贴补贴、奖金、绩效工资、机关事业单位基本养老保险缴费、职业年金缴费、职工基本医疗保险缴费、公务员医疗补助缴费、其他社会保障缴费、住房公积金、退休费和其他对个人和家庭的补助。</w:t>
      </w:r>
    </w:p>
    <w:p w14:paraId="1266402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公用经费818.91万元，包括：办公费、水费、电费、取暖费、租赁费、工会经费、福利费、公务用车运行维护费、其他交通费用和其他商品和服务支出。</w:t>
      </w:r>
    </w:p>
    <w:p w14:paraId="77B76F07">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七、政府性基金预算财政拨款收入支出决算情况说明</w:t>
      </w:r>
    </w:p>
    <w:p w14:paraId="532B6A7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43A001B7">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八、国有资本经营预算财政拨款收入支出决算情况说明</w:t>
      </w:r>
    </w:p>
    <w:p w14:paraId="6C6EA2F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6B6DF31B">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九、财政拨款“三公”经费支出决算情况说明</w:t>
      </w:r>
    </w:p>
    <w:p w14:paraId="741440E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2024年度财政拨款“三公”经费支出6.85万元，比上年减少2.08万元，下降23.29%，主要原因是：</w:t>
      </w:r>
      <w:bookmarkStart w:id="2" w:name="_Hlk207800707"/>
      <w:r>
        <w:rPr>
          <w:rFonts w:hint="eastAsia" w:ascii="仿宋_GB2312" w:eastAsia="仿宋_GB2312"/>
          <w:sz w:val="32"/>
          <w:szCs w:val="32"/>
          <w:lang w:eastAsia="zh-CN"/>
        </w:rPr>
        <w:t>减少车辆出行，</w:t>
      </w:r>
      <w:bookmarkStart w:id="3" w:name="_Hlk207800847"/>
      <w:bookmarkStart w:id="4" w:name="_Hlk207798592"/>
      <w:r>
        <w:rPr>
          <w:rFonts w:hint="eastAsia" w:ascii="仿宋_GB2312" w:eastAsia="仿宋_GB2312"/>
          <w:sz w:val="32"/>
          <w:szCs w:val="32"/>
          <w:lang w:eastAsia="zh-CN"/>
        </w:rPr>
        <w:t>车辆维修费</w:t>
      </w:r>
      <w:bookmarkEnd w:id="3"/>
      <w:r>
        <w:rPr>
          <w:rFonts w:hint="eastAsia" w:ascii="仿宋_GB2312" w:eastAsia="仿宋_GB2312"/>
          <w:sz w:val="32"/>
          <w:szCs w:val="32"/>
          <w:lang w:eastAsia="zh-CN"/>
        </w:rPr>
        <w:t>、燃油费等较上年</w:t>
      </w:r>
      <w:bookmarkEnd w:id="4"/>
      <w:r>
        <w:rPr>
          <w:rFonts w:hint="eastAsia" w:ascii="仿宋_GB2312" w:eastAsia="仿宋_GB2312"/>
          <w:sz w:val="32"/>
          <w:szCs w:val="32"/>
          <w:lang w:eastAsia="zh-CN"/>
        </w:rPr>
        <w:t>减少</w:t>
      </w:r>
      <w:bookmarkEnd w:id="2"/>
      <w:r>
        <w:rPr>
          <w:rFonts w:ascii="仿宋_GB2312" w:eastAsia="仿宋_GB2312"/>
          <w:sz w:val="32"/>
          <w:szCs w:val="32"/>
          <w:lang w:eastAsia="zh-CN"/>
        </w:rPr>
        <w:t>。其中：因公出国（境）费支出0.00万元,占0.00%，与上年相比无变化，主要原因是：</w:t>
      </w:r>
      <w:bookmarkStart w:id="5" w:name="_Hlk207143847"/>
      <w:r>
        <w:rPr>
          <w:rFonts w:hint="eastAsia" w:ascii="仿宋_GB2312" w:eastAsia="仿宋_GB2312"/>
          <w:sz w:val="32"/>
          <w:szCs w:val="32"/>
          <w:lang w:eastAsia="zh-CN"/>
        </w:rPr>
        <w:t>我</w:t>
      </w:r>
      <w:bookmarkStart w:id="6" w:name="_Hlk209026967"/>
      <w:r>
        <w:rPr>
          <w:rFonts w:hint="eastAsia" w:ascii="仿宋_GB2312" w:eastAsia="仿宋_GB2312"/>
          <w:sz w:val="32"/>
          <w:szCs w:val="32"/>
          <w:lang w:eastAsia="zh-CN"/>
        </w:rPr>
        <w:t>单位上年度与本年度均无此项经费</w:t>
      </w:r>
      <w:bookmarkEnd w:id="5"/>
      <w:bookmarkEnd w:id="6"/>
      <w:r>
        <w:rPr>
          <w:rFonts w:ascii="仿宋_GB2312" w:eastAsia="仿宋_GB2312"/>
          <w:sz w:val="32"/>
          <w:szCs w:val="32"/>
          <w:lang w:eastAsia="zh-CN"/>
        </w:rPr>
        <w:t>；公务用车购置及运行维护费支出6.85万元，占100.00%，比上年减少2.08万元，下降23.29%，主要原因是：</w:t>
      </w:r>
      <w:r>
        <w:rPr>
          <w:rFonts w:hint="eastAsia" w:ascii="仿宋_GB2312" w:eastAsia="仿宋_GB2312"/>
          <w:sz w:val="32"/>
          <w:szCs w:val="32"/>
          <w:lang w:eastAsia="zh-CN"/>
        </w:rPr>
        <w:t>减少车辆出行，车辆维修费、燃油费等较上年减少</w:t>
      </w:r>
      <w:r>
        <w:rPr>
          <w:rFonts w:ascii="仿宋_GB2312" w:eastAsia="仿宋_GB2312"/>
          <w:sz w:val="32"/>
          <w:szCs w:val="32"/>
          <w:lang w:eastAsia="zh-CN"/>
        </w:rPr>
        <w:t>；公务接待费支出0.00万元，占0.00%，与上年相比无变化，主要原因是：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w:t>
      </w:r>
    </w:p>
    <w:p w14:paraId="4809CB22">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具体情况如下：</w:t>
      </w:r>
    </w:p>
    <w:p w14:paraId="3AC2B7A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因公出国（境）费支出0.00万元，开支内容包括</w:t>
      </w:r>
      <w:bookmarkStart w:id="7" w:name="_Hlk207143872"/>
      <w:r>
        <w:rPr>
          <w:rFonts w:hint="eastAsia" w:ascii="仿宋_GB2312" w:eastAsia="仿宋_GB2312"/>
          <w:sz w:val="32"/>
          <w:szCs w:val="32"/>
          <w:lang w:eastAsia="zh-CN"/>
        </w:rPr>
        <w:t>单位本年无</w:t>
      </w:r>
      <w:r>
        <w:rPr>
          <w:rFonts w:ascii="仿宋_GB2312" w:eastAsia="仿宋_GB2312"/>
          <w:sz w:val="32"/>
          <w:szCs w:val="32"/>
          <w:lang w:eastAsia="zh-CN"/>
        </w:rPr>
        <w:t>因公出国（境）费</w:t>
      </w:r>
      <w:bookmarkEnd w:id="7"/>
      <w:r>
        <w:rPr>
          <w:rFonts w:ascii="仿宋_GB2312" w:eastAsia="仿宋_GB2312"/>
          <w:sz w:val="32"/>
          <w:szCs w:val="32"/>
          <w:lang w:eastAsia="zh-CN"/>
        </w:rPr>
        <w:t>。单位全年安排的因公出国（境）团组0个，因公出国（境）0人次。</w:t>
      </w:r>
    </w:p>
    <w:p w14:paraId="5B0BAB5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公务用车购置及运行维护费6.85万元，其中：公务用车购置费0.00万元，公务用车运行维护费6.85万元。公务用车运行维护费开支内容包括</w:t>
      </w:r>
      <w:bookmarkStart w:id="8" w:name="_Hlk207793066"/>
      <w:r>
        <w:rPr>
          <w:rFonts w:hint="eastAsia" w:ascii="仿宋_GB2312" w:eastAsia="仿宋_GB2312"/>
          <w:sz w:val="32"/>
          <w:szCs w:val="32"/>
          <w:lang w:eastAsia="zh-CN"/>
        </w:rPr>
        <w:t>公务用车维修维护费、燃油费、保险费、过路费等</w:t>
      </w:r>
      <w:bookmarkEnd w:id="8"/>
      <w:r>
        <w:rPr>
          <w:rFonts w:ascii="仿宋_GB2312" w:eastAsia="仿宋_GB2312"/>
          <w:sz w:val="32"/>
          <w:szCs w:val="32"/>
          <w:lang w:eastAsia="zh-CN"/>
        </w:rPr>
        <w:t>。公务用车购置数0辆，公务用车保有量6辆。国有资产占用情况中固定资产车辆6辆，与公务用车保有量差异原因是：</w:t>
      </w:r>
      <w:bookmarkStart w:id="9" w:name="_Hlk207143898"/>
      <w:r>
        <w:rPr>
          <w:rFonts w:hint="eastAsia" w:ascii="仿宋_GB2312" w:eastAsia="仿宋_GB2312"/>
          <w:sz w:val="32"/>
          <w:szCs w:val="32"/>
          <w:lang w:eastAsia="zh-CN"/>
        </w:rPr>
        <w:t>本单位固定资产车辆与公务用车保有量一致无差异</w:t>
      </w:r>
      <w:bookmarkEnd w:id="9"/>
      <w:r>
        <w:rPr>
          <w:rFonts w:ascii="仿宋_GB2312" w:eastAsia="仿宋_GB2312"/>
          <w:sz w:val="32"/>
          <w:szCs w:val="32"/>
          <w:lang w:eastAsia="zh-CN"/>
        </w:rPr>
        <w:t>。</w:t>
      </w:r>
    </w:p>
    <w:p w14:paraId="69B96BF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公务接待费0.00万元，开支内容包括</w:t>
      </w:r>
      <w:bookmarkStart w:id="10" w:name="_Hlk207140433"/>
      <w:r>
        <w:rPr>
          <w:rFonts w:hint="eastAsia" w:ascii="仿宋_GB2312" w:eastAsia="仿宋_GB2312"/>
          <w:sz w:val="32"/>
          <w:szCs w:val="32"/>
          <w:lang w:eastAsia="zh-CN"/>
        </w:rPr>
        <w:t>单</w:t>
      </w:r>
      <w:bookmarkStart w:id="11" w:name="_Hlk209003368"/>
      <w:r>
        <w:rPr>
          <w:rFonts w:hint="eastAsia" w:ascii="仿宋_GB2312" w:eastAsia="仿宋_GB2312"/>
          <w:sz w:val="32"/>
          <w:szCs w:val="32"/>
          <w:lang w:eastAsia="zh-CN"/>
        </w:rPr>
        <w:t>位本年无</w:t>
      </w:r>
      <w:r>
        <w:rPr>
          <w:rFonts w:ascii="仿宋_GB2312" w:eastAsia="仿宋_GB2312"/>
          <w:sz w:val="32"/>
          <w:szCs w:val="32"/>
          <w:lang w:eastAsia="zh-CN"/>
        </w:rPr>
        <w:t>公务接待费</w:t>
      </w:r>
      <w:bookmarkEnd w:id="10"/>
      <w:bookmarkEnd w:id="11"/>
      <w:r>
        <w:rPr>
          <w:rFonts w:ascii="仿宋_GB2312" w:eastAsia="仿宋_GB2312"/>
          <w:sz w:val="32"/>
          <w:szCs w:val="32"/>
          <w:lang w:eastAsia="zh-CN"/>
        </w:rPr>
        <w:t>。单位全年安排的国内公务接待0批次，0人次。</w:t>
      </w:r>
    </w:p>
    <w:p w14:paraId="096EEB0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与全年预算相比，财政拨款“三公”经费支出全年预算数6.85万元，决算数6.85万元，预决算差异率0.00%，主要原因是：</w:t>
      </w:r>
      <w:bookmarkStart w:id="12" w:name="_Hlk207142995"/>
      <w:r>
        <w:rPr>
          <w:rFonts w:hint="eastAsia" w:ascii="仿宋_GB2312" w:eastAsia="仿宋_GB2312"/>
          <w:sz w:val="32"/>
          <w:szCs w:val="32"/>
          <w:lang w:eastAsia="zh-CN"/>
        </w:rPr>
        <w:t>严格按照预算执行，预决算对比无差异</w:t>
      </w:r>
      <w:bookmarkEnd w:id="12"/>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；公务用车运行维护费全年预算数6.85万元，决算数6.85万元，预决算差异率0.00%，主要原因是：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7F3A086F">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十、其他重要事项的情况说明</w:t>
      </w:r>
    </w:p>
    <w:p w14:paraId="70627552">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（一）机关运行经费及公用经费支出情况</w:t>
      </w:r>
    </w:p>
    <w:p w14:paraId="0C3BB35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2024年度乌鲁木齐市米东区机关事务管理中心单位（事业单位）公用经费支出818.91万元，比上年减少689.19万元，下降45.70%，主要原因是：</w:t>
      </w:r>
      <w:r>
        <w:rPr>
          <w:rFonts w:hint="eastAsia" w:ascii="仿宋_GB2312" w:eastAsia="仿宋_GB2312"/>
          <w:sz w:val="32"/>
          <w:szCs w:val="32"/>
          <w:lang w:eastAsia="zh-CN"/>
        </w:rPr>
        <w:t>本年单位车辆维修费、办公经费、劳务费、维修（护）费、取暖费及邮电费等较上年减少</w:t>
      </w:r>
      <w:r>
        <w:rPr>
          <w:rFonts w:ascii="仿宋_GB2312" w:eastAsia="仿宋_GB2312"/>
          <w:sz w:val="32"/>
          <w:szCs w:val="32"/>
          <w:lang w:eastAsia="zh-CN"/>
        </w:rPr>
        <w:t>。</w:t>
      </w:r>
    </w:p>
    <w:p w14:paraId="695AECE3">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（二）政府采购情况</w:t>
      </w:r>
    </w:p>
    <w:p w14:paraId="603E9EB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2024年度政府采购支出总额620.90万元，其中：政府采购货物支出4.39万元、政府采购工程支出616.51万元、政府采购服务支出0.00万元。</w:t>
      </w:r>
    </w:p>
    <w:p w14:paraId="5D5C0C6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授予中小企业合同金额620.90万元，占政府采购支出总额的100.00%，其中：授予小微企业合同金额620.90万元，占政府采购支出总额的100.00%。</w:t>
      </w:r>
    </w:p>
    <w:p w14:paraId="2F53B1AB">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（三）国有资产占用情况说明</w:t>
      </w:r>
    </w:p>
    <w:p w14:paraId="38D3AB1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rPr>
        <w:t>截至2024年12月31日，房屋2,449.00平方米，价值383.20万元。</w:t>
      </w:r>
      <w:r>
        <w:rPr>
          <w:rFonts w:ascii="仿宋_GB2312" w:eastAsia="仿宋_GB2312"/>
          <w:sz w:val="32"/>
          <w:szCs w:val="32"/>
          <w:lang w:eastAsia="zh-CN"/>
        </w:rPr>
        <w:t>车辆6辆，价值281.97万元，其中：副部（省）级及以上领导用车0辆、主要负责人用车0辆、机要通信用车0辆、应急保障用车0辆、执法执勤用车0辆、特种专业技术用车0辆、离退休干部服务用车0辆、其他用车6辆，其他用车主要是：</w:t>
      </w:r>
      <w:r>
        <w:rPr>
          <w:rFonts w:hint="eastAsia" w:ascii="仿宋_GB2312" w:eastAsia="仿宋_GB2312"/>
          <w:sz w:val="32"/>
          <w:szCs w:val="32"/>
          <w:lang w:eastAsia="zh-CN"/>
        </w:rPr>
        <w:t>业务用车</w:t>
      </w:r>
      <w:r>
        <w:rPr>
          <w:rFonts w:ascii="仿宋_GB2312" w:eastAsia="仿宋_GB2312"/>
          <w:sz w:val="32"/>
          <w:szCs w:val="32"/>
          <w:lang w:eastAsia="zh-CN"/>
        </w:rPr>
        <w:t>;单价100万元（含）以上设备（不含车辆）2台（套）。</w:t>
      </w:r>
    </w:p>
    <w:p w14:paraId="2B574D26">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十一、预算绩效的情况说明</w:t>
      </w:r>
    </w:p>
    <w:p w14:paraId="1A72C784">
      <w:pPr>
        <w:spacing w:after="0" w:line="240" w:lineRule="auto"/>
        <w:ind w:firstLine="640" w:firstLineChars="200"/>
        <w:jc w:val="both"/>
        <w:rPr>
          <w:rFonts w:hint="eastAsia" w:ascii="宋体" w:hAnsi="宋体" w:eastAsia="宋体" w:cs="宋体"/>
          <w:b/>
          <w:bCs/>
          <w:sz w:val="18"/>
          <w:szCs w:val="18"/>
          <w:lang w:eastAsia="zh-CN"/>
        </w:rPr>
      </w:pPr>
      <w:r>
        <w:rPr>
          <w:rFonts w:ascii="仿宋_GB2312" w:eastAsia="仿宋_GB2312"/>
          <w:sz w:val="32"/>
          <w:szCs w:val="32"/>
          <w:lang w:eastAsia="zh-CN"/>
        </w:rPr>
        <w:t>根据预算绩效管理要求，本单位2024年度预算绩效管理形成整体支出绩效自评表1个，全年预算总额</w:t>
      </w:r>
      <w:r>
        <w:rPr>
          <w:rFonts w:hint="eastAsia" w:ascii="仿宋_GB2312" w:eastAsia="仿宋_GB2312"/>
          <w:sz w:val="32"/>
          <w:szCs w:val="32"/>
          <w:lang w:eastAsia="zh-CN"/>
        </w:rPr>
        <w:t>2,974.24</w:t>
      </w:r>
      <w:r>
        <w:rPr>
          <w:rFonts w:ascii="仿宋_GB2312" w:eastAsia="仿宋_GB2312"/>
          <w:sz w:val="32"/>
          <w:szCs w:val="32"/>
          <w:lang w:eastAsia="zh-CN"/>
        </w:rPr>
        <w:t>万元，实际执行总额</w:t>
      </w:r>
      <w:r>
        <w:rPr>
          <w:rFonts w:hint="eastAsia" w:ascii="仿宋_GB2312" w:eastAsia="仿宋_GB2312"/>
          <w:sz w:val="32"/>
          <w:szCs w:val="32"/>
          <w:lang w:eastAsia="zh-CN"/>
        </w:rPr>
        <w:t>2,902.71</w:t>
      </w:r>
      <w:r>
        <w:rPr>
          <w:rFonts w:ascii="仿宋_GB2312" w:eastAsia="仿宋_GB2312"/>
          <w:sz w:val="32"/>
          <w:szCs w:val="32"/>
          <w:lang w:eastAsia="zh-CN"/>
        </w:rPr>
        <w:t>万元；预算绩效评价项目0个，全年预算数</w:t>
      </w:r>
      <w:r>
        <w:rPr>
          <w:rFonts w:hint="eastAsia" w:ascii="仿宋_GB2312" w:eastAsia="仿宋_GB2312"/>
          <w:sz w:val="32"/>
          <w:szCs w:val="32"/>
          <w:lang w:eastAsia="zh-CN"/>
        </w:rPr>
        <w:t>0.00</w:t>
      </w:r>
      <w:r>
        <w:rPr>
          <w:rFonts w:ascii="仿宋_GB2312" w:eastAsia="仿宋_GB2312"/>
          <w:sz w:val="32"/>
          <w:szCs w:val="32"/>
          <w:lang w:eastAsia="zh-CN"/>
        </w:rPr>
        <w:t>万元，全年执行数</w:t>
      </w:r>
      <w:r>
        <w:rPr>
          <w:rFonts w:hint="eastAsia" w:ascii="仿宋_GB2312" w:eastAsia="仿宋_GB2312"/>
          <w:sz w:val="32"/>
          <w:szCs w:val="32"/>
          <w:lang w:eastAsia="zh-CN"/>
        </w:rPr>
        <w:t>0.00</w:t>
      </w:r>
      <w:r>
        <w:rPr>
          <w:rFonts w:ascii="仿宋_GB2312" w:eastAsia="仿宋_GB2312"/>
          <w:sz w:val="32"/>
          <w:szCs w:val="32"/>
          <w:lang w:eastAsia="zh-CN"/>
        </w:rPr>
        <w:t>万元。预算绩效管理取得的成效：一是本部门为加强预算管理，规范财务行为，有效保障了我部门高效的履行工作职能，较好的促进事业发展</w:t>
      </w:r>
      <w:r>
        <w:rPr>
          <w:rFonts w:hint="eastAsia" w:ascii="仿宋_GB2312" w:eastAsia="仿宋_GB2312"/>
          <w:sz w:val="32"/>
          <w:szCs w:val="32"/>
          <w:lang w:eastAsia="zh-CN"/>
        </w:rPr>
        <w:t>。</w:t>
      </w:r>
      <w:r>
        <w:rPr>
          <w:rFonts w:ascii="仿宋_GB2312" w:eastAsia="仿宋_GB2312"/>
          <w:sz w:val="32"/>
          <w:szCs w:val="32"/>
          <w:lang w:eastAsia="zh-CN"/>
        </w:rPr>
        <w:t>二是部门预算资金使用符合国家法规和财务管理制度；预算资金拨付有完整的审批程序和手续，符合项目预算批复或合同规定的用途；不存在截留、挤占、挪用、虚列支出等情况，确保我部门预算资金规范运行。发现的问题及原因：一是部门职能不明确，个别工作分工不清晰，且人员培训和绩效考核制度不够完善，考核方案部分内容和人员名单更新滞后。二是预算编制科学性的问题。预算编制之合理性相对不足，主要表现在预算调整数较大，年度目标与长期规划衔接的紧密程度需要增强。下一步改进措施：一是构建专业、客观、独立、多样的绩效评价主体。在可能的条件下，引入社会绩效评价组织，专家，高</w:t>
      </w:r>
      <w:r>
        <w:rPr>
          <w:rFonts w:hint="eastAsia" w:ascii="仿宋_GB2312" w:eastAsia="仿宋_GB2312"/>
          <w:sz w:val="32"/>
          <w:szCs w:val="32"/>
          <w:lang w:val="en-US" w:eastAsia="zh-CN"/>
        </w:rPr>
        <w:t>校</w:t>
      </w:r>
      <w:r>
        <w:rPr>
          <w:rFonts w:ascii="仿宋_GB2312" w:eastAsia="仿宋_GB2312"/>
          <w:sz w:val="32"/>
          <w:szCs w:val="32"/>
          <w:lang w:eastAsia="zh-CN"/>
        </w:rPr>
        <w:t>研究人员等。还应加强对外公开的效率，促使公众参与到部门整体绩效评价执行的过程中，重视社会公众对绩效评价的监督。最后，要加强部门内部绩效评价人员的培训，提高其指标设计和绩效评价的专业技能。二是提高部门整体支出绩效目标设定的合理性。部门整体绩效目标不是碎片化工作的堆叠，而是反映部门开展预算绩效管理工作的规范性和执行力。要树立全局观，在执行部门整体绩效管理工作时，从部门的法定职能入手，围绕事业发展规划、政府重要战略等，以预算资金为主线，统筹考虑任务目标和大事要事清单，梳理集中反映部门履职效能、社会效应等效果的个性化、效益类绩效指标。具体附部门整体支出绩效自评表。</w:t>
      </w:r>
      <w:bookmarkStart w:id="13" w:name="_Hlk174962300"/>
    </w:p>
    <w:p w14:paraId="62E93466">
      <w:pPr>
        <w:rPr>
          <w:rFonts w:ascii="宋体" w:hAnsi="宋体" w:eastAsia="宋体" w:cs="宋体"/>
          <w:b/>
          <w:bCs/>
          <w:sz w:val="18"/>
          <w:szCs w:val="18"/>
          <w:lang w:eastAsia="zh-CN"/>
        </w:rPr>
      </w:pPr>
    </w:p>
    <w:p w14:paraId="405CD950">
      <w:pPr>
        <w:jc w:val="cente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部门（单位）整体支出绩效目标自评表</w:t>
      </w:r>
    </w:p>
    <w:p w14:paraId="45099B0B">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935"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gridCol w:w="284"/>
      </w:tblGrid>
      <w:tr w14:paraId="26664D44">
        <w:tblPrEx>
          <w:tblCellMar>
            <w:top w:w="0" w:type="dxa"/>
            <w:left w:w="108" w:type="dxa"/>
            <w:bottom w:w="0" w:type="dxa"/>
            <w:right w:w="108" w:type="dxa"/>
          </w:tblCellMar>
        </w:tblPrEx>
        <w:trPr>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1C8DCBB1">
            <w:pPr>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06CBFED9">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乌鲁木齐市米东区机关事务管理中心</w:t>
            </w:r>
          </w:p>
        </w:tc>
        <w:tc>
          <w:tcPr>
            <w:tcW w:w="284" w:type="dxa"/>
            <w:tcBorders>
              <w:top w:val="nil"/>
              <w:left w:val="nil"/>
              <w:bottom w:val="nil"/>
              <w:right w:val="nil"/>
            </w:tcBorders>
            <w:noWrap/>
            <w:vAlign w:val="center"/>
          </w:tcPr>
          <w:p w14:paraId="5AFC917D">
            <w:pPr>
              <w:rPr>
                <w:rFonts w:hint="eastAsia" w:ascii="宋体" w:hAnsi="宋体" w:eastAsia="宋体" w:cs="宋体"/>
                <w:b/>
                <w:bCs/>
                <w:sz w:val="18"/>
                <w:szCs w:val="18"/>
                <w:lang w:eastAsia="zh-CN"/>
              </w:rPr>
            </w:pPr>
          </w:p>
        </w:tc>
      </w:tr>
      <w:tr w14:paraId="096E560E">
        <w:tblPrEx>
          <w:tblCellMar>
            <w:top w:w="0" w:type="dxa"/>
            <w:left w:w="108" w:type="dxa"/>
            <w:bottom w:w="0" w:type="dxa"/>
            <w:right w:w="108" w:type="dxa"/>
          </w:tblCellMar>
        </w:tblPrEx>
        <w:trPr>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3DAEEFE9">
            <w:pPr>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14:paraId="7B369F0C">
            <w:pPr>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14:paraId="798094A7">
            <w:pPr>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76" w:type="dxa"/>
            <w:tcBorders>
              <w:top w:val="nil"/>
              <w:left w:val="nil"/>
              <w:bottom w:val="single" w:color="auto" w:sz="4" w:space="0"/>
              <w:right w:val="single" w:color="auto" w:sz="4" w:space="0"/>
            </w:tcBorders>
            <w:vAlign w:val="center"/>
          </w:tcPr>
          <w:p w14:paraId="54D3D044">
            <w:pPr>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701" w:type="dxa"/>
            <w:tcBorders>
              <w:top w:val="nil"/>
              <w:left w:val="nil"/>
              <w:bottom w:val="single" w:color="auto" w:sz="4" w:space="0"/>
              <w:right w:val="single" w:color="auto" w:sz="4" w:space="0"/>
            </w:tcBorders>
            <w:vAlign w:val="center"/>
          </w:tcPr>
          <w:p w14:paraId="5CE99572">
            <w:pPr>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14:paraId="081720F7">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992" w:type="dxa"/>
            <w:tcBorders>
              <w:top w:val="nil"/>
              <w:left w:val="nil"/>
              <w:bottom w:val="single" w:color="auto" w:sz="4" w:space="0"/>
              <w:right w:val="single" w:color="auto" w:sz="4" w:space="0"/>
            </w:tcBorders>
            <w:vAlign w:val="center"/>
          </w:tcPr>
          <w:p w14:paraId="7A586271">
            <w:pPr>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14:paraId="2BC58A87">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c>
          <w:tcPr>
            <w:tcW w:w="284" w:type="dxa"/>
            <w:tcBorders>
              <w:top w:val="nil"/>
              <w:left w:val="nil"/>
              <w:bottom w:val="nil"/>
              <w:right w:val="nil"/>
            </w:tcBorders>
            <w:noWrap/>
            <w:vAlign w:val="center"/>
          </w:tcPr>
          <w:p w14:paraId="54603216">
            <w:pPr>
              <w:jc w:val="center"/>
              <w:rPr>
                <w:rFonts w:hint="eastAsia" w:ascii="宋体" w:hAnsi="宋体" w:eastAsia="宋体" w:cs="宋体"/>
                <w:b/>
                <w:bCs/>
                <w:sz w:val="18"/>
                <w:szCs w:val="18"/>
              </w:rPr>
            </w:pPr>
          </w:p>
        </w:tc>
      </w:tr>
      <w:tr w14:paraId="4FC713B5">
        <w:tblPrEx>
          <w:tblCellMar>
            <w:top w:w="0" w:type="dxa"/>
            <w:left w:w="108" w:type="dxa"/>
            <w:bottom w:w="0" w:type="dxa"/>
            <w:right w:w="108" w:type="dxa"/>
          </w:tblCellMar>
        </w:tblPrEx>
        <w:trPr>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8E80551">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14:paraId="2820D10A">
            <w:pPr>
              <w:jc w:val="center"/>
              <w:rPr>
                <w:rFonts w:hint="eastAsia" w:ascii="宋体" w:hAnsi="宋体" w:eastAsia="宋体" w:cs="宋体"/>
                <w:b/>
                <w:bCs/>
                <w:sz w:val="18"/>
                <w:szCs w:val="18"/>
              </w:rPr>
            </w:pPr>
            <w:r>
              <w:rPr>
                <w:rFonts w:hint="eastAsia" w:ascii="宋体" w:hAnsi="宋体" w:eastAsia="宋体" w:cs="宋体"/>
                <w:b/>
                <w:bCs/>
                <w:sz w:val="18"/>
                <w:szCs w:val="18"/>
              </w:rPr>
              <w:t>年度总资金</w:t>
            </w:r>
          </w:p>
        </w:tc>
        <w:tc>
          <w:tcPr>
            <w:tcW w:w="1418" w:type="dxa"/>
            <w:tcBorders>
              <w:top w:val="nil"/>
              <w:left w:val="nil"/>
              <w:bottom w:val="single" w:color="auto" w:sz="4" w:space="0"/>
              <w:right w:val="single" w:color="auto" w:sz="4" w:space="0"/>
            </w:tcBorders>
            <w:vAlign w:val="center"/>
          </w:tcPr>
          <w:p w14:paraId="0E003398">
            <w:pPr>
              <w:jc w:val="center"/>
              <w:rPr>
                <w:rFonts w:hint="eastAsia" w:ascii="宋体" w:hAnsi="宋体" w:eastAsia="宋体" w:cs="宋体"/>
                <w:sz w:val="18"/>
                <w:szCs w:val="18"/>
              </w:rPr>
            </w:pPr>
            <w:r>
              <w:rPr>
                <w:rFonts w:hint="eastAsia" w:ascii="宋体" w:hAnsi="宋体" w:eastAsia="宋体" w:cs="宋体"/>
                <w:sz w:val="18"/>
                <w:szCs w:val="18"/>
              </w:rPr>
              <w:t>3,434.18</w:t>
            </w:r>
          </w:p>
        </w:tc>
        <w:tc>
          <w:tcPr>
            <w:tcW w:w="1276" w:type="dxa"/>
            <w:tcBorders>
              <w:top w:val="nil"/>
              <w:left w:val="nil"/>
              <w:bottom w:val="single" w:color="auto" w:sz="4" w:space="0"/>
              <w:right w:val="single" w:color="auto" w:sz="4" w:space="0"/>
            </w:tcBorders>
            <w:vAlign w:val="center"/>
          </w:tcPr>
          <w:p w14:paraId="38C80238">
            <w:pPr>
              <w:jc w:val="center"/>
              <w:rPr>
                <w:rFonts w:hint="eastAsia" w:ascii="宋体" w:hAnsi="宋体" w:eastAsia="宋体" w:cs="宋体"/>
                <w:sz w:val="18"/>
                <w:szCs w:val="18"/>
              </w:rPr>
            </w:pPr>
            <w:r>
              <w:rPr>
                <w:rFonts w:hint="eastAsia" w:ascii="宋体" w:hAnsi="宋体" w:eastAsia="宋体" w:cs="宋体"/>
                <w:sz w:val="18"/>
                <w:szCs w:val="18"/>
              </w:rPr>
              <w:t>2,974.24</w:t>
            </w:r>
          </w:p>
        </w:tc>
        <w:tc>
          <w:tcPr>
            <w:tcW w:w="1701" w:type="dxa"/>
            <w:tcBorders>
              <w:top w:val="nil"/>
              <w:left w:val="nil"/>
              <w:bottom w:val="single" w:color="auto" w:sz="4" w:space="0"/>
              <w:right w:val="single" w:color="auto" w:sz="4" w:space="0"/>
            </w:tcBorders>
            <w:vAlign w:val="center"/>
          </w:tcPr>
          <w:p w14:paraId="6C09FA6E">
            <w:pPr>
              <w:jc w:val="center"/>
              <w:rPr>
                <w:rFonts w:hint="eastAsia" w:ascii="宋体" w:hAnsi="宋体" w:eastAsia="宋体" w:cs="宋体"/>
                <w:sz w:val="18"/>
                <w:szCs w:val="18"/>
              </w:rPr>
            </w:pPr>
            <w:r>
              <w:rPr>
                <w:rFonts w:hint="eastAsia" w:ascii="宋体" w:hAnsi="宋体" w:eastAsia="宋体" w:cs="宋体"/>
                <w:sz w:val="18"/>
                <w:szCs w:val="18"/>
              </w:rPr>
              <w:t>2,902.71</w:t>
            </w:r>
          </w:p>
        </w:tc>
        <w:tc>
          <w:tcPr>
            <w:tcW w:w="1134" w:type="dxa"/>
            <w:tcBorders>
              <w:top w:val="nil"/>
              <w:left w:val="nil"/>
              <w:bottom w:val="single" w:color="auto" w:sz="4" w:space="0"/>
              <w:right w:val="single" w:color="auto" w:sz="4" w:space="0"/>
            </w:tcBorders>
            <w:vAlign w:val="center"/>
          </w:tcPr>
          <w:p w14:paraId="55D930DE">
            <w:pPr>
              <w:jc w:val="center"/>
              <w:rPr>
                <w:rFonts w:hint="eastAsia" w:ascii="宋体" w:hAnsi="宋体" w:eastAsia="宋体" w:cs="宋体"/>
                <w:sz w:val="18"/>
                <w:szCs w:val="18"/>
              </w:rPr>
            </w:pPr>
            <w:r>
              <w:rPr>
                <w:rFonts w:hint="eastAsia" w:ascii="宋体" w:hAnsi="宋体" w:eastAsia="宋体" w:cs="宋体"/>
                <w:sz w:val="18"/>
                <w:szCs w:val="18"/>
              </w:rPr>
              <w:t>10</w:t>
            </w:r>
          </w:p>
        </w:tc>
        <w:tc>
          <w:tcPr>
            <w:tcW w:w="992" w:type="dxa"/>
            <w:tcBorders>
              <w:top w:val="nil"/>
              <w:left w:val="nil"/>
              <w:bottom w:val="single" w:color="auto" w:sz="4" w:space="0"/>
              <w:right w:val="single" w:color="auto" w:sz="4" w:space="0"/>
            </w:tcBorders>
            <w:vAlign w:val="center"/>
          </w:tcPr>
          <w:p w14:paraId="08348580">
            <w:pPr>
              <w:jc w:val="center"/>
              <w:rPr>
                <w:rFonts w:hint="eastAsia" w:ascii="宋体" w:hAnsi="宋体" w:eastAsia="宋体" w:cs="宋体"/>
                <w:sz w:val="18"/>
                <w:szCs w:val="18"/>
              </w:rPr>
            </w:pPr>
            <w:r>
              <w:rPr>
                <w:rFonts w:hint="eastAsia" w:ascii="宋体" w:hAnsi="宋体" w:eastAsia="宋体" w:cs="宋体"/>
                <w:sz w:val="18"/>
                <w:szCs w:val="18"/>
              </w:rPr>
              <w:t>97.6%</w:t>
            </w:r>
          </w:p>
        </w:tc>
        <w:tc>
          <w:tcPr>
            <w:tcW w:w="720" w:type="dxa"/>
            <w:tcBorders>
              <w:top w:val="nil"/>
              <w:left w:val="nil"/>
              <w:bottom w:val="single" w:color="auto" w:sz="4" w:space="0"/>
              <w:right w:val="single" w:color="auto" w:sz="4" w:space="0"/>
            </w:tcBorders>
            <w:vAlign w:val="center"/>
          </w:tcPr>
          <w:p w14:paraId="61F23299">
            <w:pPr>
              <w:jc w:val="center"/>
              <w:rPr>
                <w:rFonts w:hint="eastAsia" w:ascii="宋体" w:hAnsi="宋体" w:eastAsia="宋体" w:cs="宋体"/>
                <w:sz w:val="18"/>
                <w:szCs w:val="18"/>
              </w:rPr>
            </w:pPr>
            <w:r>
              <w:rPr>
                <w:rFonts w:hint="eastAsia" w:ascii="宋体" w:hAnsi="宋体" w:eastAsia="宋体" w:cs="宋体"/>
                <w:sz w:val="18"/>
                <w:szCs w:val="18"/>
              </w:rPr>
              <w:t>9.76</w:t>
            </w:r>
          </w:p>
        </w:tc>
        <w:tc>
          <w:tcPr>
            <w:tcW w:w="284" w:type="dxa"/>
            <w:tcBorders>
              <w:top w:val="nil"/>
              <w:left w:val="nil"/>
              <w:bottom w:val="nil"/>
              <w:right w:val="nil"/>
            </w:tcBorders>
            <w:noWrap/>
            <w:vAlign w:val="center"/>
          </w:tcPr>
          <w:p w14:paraId="238C1324">
            <w:pPr>
              <w:jc w:val="center"/>
              <w:rPr>
                <w:rFonts w:hint="eastAsia" w:ascii="宋体" w:hAnsi="宋体" w:eastAsia="宋体" w:cs="宋体"/>
                <w:b/>
                <w:bCs/>
                <w:sz w:val="18"/>
                <w:szCs w:val="18"/>
              </w:rPr>
            </w:pPr>
          </w:p>
        </w:tc>
      </w:tr>
      <w:tr w14:paraId="691A6CBB">
        <w:tblPrEx>
          <w:tblCellMar>
            <w:top w:w="0" w:type="dxa"/>
            <w:left w:w="108" w:type="dxa"/>
            <w:bottom w:w="0" w:type="dxa"/>
            <w:right w:w="108" w:type="dxa"/>
          </w:tblCellMar>
        </w:tblPrEx>
        <w:trPr>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34BF979">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34AE4DF5">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其中:上级资金（万元）</w:t>
            </w:r>
          </w:p>
        </w:tc>
        <w:tc>
          <w:tcPr>
            <w:tcW w:w="1418" w:type="dxa"/>
            <w:tcBorders>
              <w:top w:val="nil"/>
              <w:left w:val="nil"/>
              <w:bottom w:val="single" w:color="auto" w:sz="4" w:space="0"/>
              <w:right w:val="single" w:color="auto" w:sz="4" w:space="0"/>
            </w:tcBorders>
            <w:vAlign w:val="center"/>
          </w:tcPr>
          <w:p w14:paraId="1DF16FEC">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276" w:type="dxa"/>
            <w:tcBorders>
              <w:top w:val="nil"/>
              <w:left w:val="nil"/>
              <w:bottom w:val="single" w:color="auto" w:sz="4" w:space="0"/>
              <w:right w:val="single" w:color="auto" w:sz="4" w:space="0"/>
            </w:tcBorders>
            <w:vAlign w:val="center"/>
          </w:tcPr>
          <w:p w14:paraId="525F61E3">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701" w:type="dxa"/>
            <w:tcBorders>
              <w:top w:val="nil"/>
              <w:left w:val="nil"/>
              <w:bottom w:val="single" w:color="auto" w:sz="4" w:space="0"/>
              <w:right w:val="single" w:color="auto" w:sz="4" w:space="0"/>
            </w:tcBorders>
            <w:vAlign w:val="center"/>
          </w:tcPr>
          <w:p w14:paraId="303B214D">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134" w:type="dxa"/>
            <w:tcBorders>
              <w:top w:val="nil"/>
              <w:left w:val="nil"/>
              <w:bottom w:val="single" w:color="auto" w:sz="4" w:space="0"/>
              <w:right w:val="single" w:color="auto" w:sz="4" w:space="0"/>
            </w:tcBorders>
            <w:vAlign w:val="center"/>
          </w:tcPr>
          <w:p w14:paraId="677946A9">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3298AA5F">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25CCC459">
            <w:pPr>
              <w:jc w:val="center"/>
              <w:rPr>
                <w:rFonts w:hint="eastAsia" w:ascii="宋体" w:hAnsi="宋体" w:eastAsia="宋体" w:cs="宋体"/>
                <w:sz w:val="18"/>
                <w:szCs w:val="18"/>
              </w:rPr>
            </w:pPr>
            <w:r>
              <w:rPr>
                <w:rFonts w:hint="eastAsia" w:ascii="宋体" w:hAnsi="宋体" w:eastAsia="宋体"/>
                <w:sz w:val="18"/>
                <w:szCs w:val="18"/>
              </w:rPr>
              <w:t>-</w:t>
            </w:r>
          </w:p>
        </w:tc>
        <w:tc>
          <w:tcPr>
            <w:tcW w:w="284" w:type="dxa"/>
            <w:tcBorders>
              <w:top w:val="nil"/>
              <w:left w:val="nil"/>
              <w:bottom w:val="nil"/>
              <w:right w:val="nil"/>
            </w:tcBorders>
            <w:noWrap/>
            <w:vAlign w:val="center"/>
          </w:tcPr>
          <w:p w14:paraId="3B9548E6">
            <w:pPr>
              <w:jc w:val="center"/>
              <w:rPr>
                <w:rFonts w:hint="eastAsia" w:ascii="宋体" w:hAnsi="宋体" w:eastAsia="宋体" w:cs="宋体"/>
                <w:sz w:val="18"/>
                <w:szCs w:val="18"/>
              </w:rPr>
            </w:pPr>
          </w:p>
        </w:tc>
      </w:tr>
      <w:tr w14:paraId="7FD1F1F6">
        <w:tblPrEx>
          <w:tblCellMar>
            <w:top w:w="0" w:type="dxa"/>
            <w:left w:w="108" w:type="dxa"/>
            <w:bottom w:w="0" w:type="dxa"/>
            <w:right w:w="108" w:type="dxa"/>
          </w:tblCellMar>
        </w:tblPrEx>
        <w:trPr>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5CA1F38">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261C86A8">
            <w:pPr>
              <w:jc w:val="center"/>
              <w:rPr>
                <w:rFonts w:hint="eastAsia" w:ascii="宋体" w:hAnsi="宋体" w:eastAsia="宋体" w:cs="宋体"/>
                <w:b/>
                <w:bCs/>
                <w:sz w:val="18"/>
                <w:szCs w:val="18"/>
              </w:rPr>
            </w:pPr>
            <w:r>
              <w:rPr>
                <w:rFonts w:hint="eastAsia" w:ascii="宋体" w:hAnsi="宋体" w:eastAsia="宋体" w:cs="宋体"/>
                <w:b/>
                <w:bCs/>
                <w:sz w:val="18"/>
                <w:szCs w:val="18"/>
              </w:rPr>
              <w:t>本级资金（万元）</w:t>
            </w:r>
          </w:p>
        </w:tc>
        <w:tc>
          <w:tcPr>
            <w:tcW w:w="1418" w:type="dxa"/>
            <w:tcBorders>
              <w:top w:val="nil"/>
              <w:left w:val="nil"/>
              <w:bottom w:val="single" w:color="auto" w:sz="4" w:space="0"/>
              <w:right w:val="single" w:color="auto" w:sz="4" w:space="0"/>
            </w:tcBorders>
            <w:vAlign w:val="center"/>
          </w:tcPr>
          <w:p w14:paraId="2F66904E">
            <w:pPr>
              <w:jc w:val="center"/>
              <w:rPr>
                <w:rFonts w:hint="eastAsia" w:ascii="宋体" w:hAnsi="宋体" w:eastAsia="宋体" w:cs="宋体"/>
                <w:sz w:val="18"/>
                <w:szCs w:val="18"/>
              </w:rPr>
            </w:pPr>
            <w:r>
              <w:rPr>
                <w:rFonts w:hint="eastAsia" w:ascii="宋体" w:hAnsi="宋体" w:eastAsia="宋体" w:cs="宋体"/>
                <w:sz w:val="18"/>
                <w:szCs w:val="18"/>
              </w:rPr>
              <w:t>3,001.70</w:t>
            </w:r>
          </w:p>
        </w:tc>
        <w:tc>
          <w:tcPr>
            <w:tcW w:w="1276" w:type="dxa"/>
            <w:tcBorders>
              <w:top w:val="nil"/>
              <w:left w:val="nil"/>
              <w:bottom w:val="single" w:color="auto" w:sz="4" w:space="0"/>
              <w:right w:val="single" w:color="auto" w:sz="4" w:space="0"/>
            </w:tcBorders>
            <w:vAlign w:val="center"/>
          </w:tcPr>
          <w:p w14:paraId="0CBADFCC">
            <w:pPr>
              <w:jc w:val="center"/>
              <w:rPr>
                <w:rFonts w:hint="eastAsia" w:ascii="宋体" w:hAnsi="宋体" w:eastAsia="宋体" w:cs="宋体"/>
                <w:sz w:val="18"/>
                <w:szCs w:val="18"/>
              </w:rPr>
            </w:pPr>
            <w:r>
              <w:rPr>
                <w:rFonts w:hint="eastAsia" w:ascii="宋体" w:hAnsi="宋体" w:eastAsia="宋体" w:cs="宋体"/>
                <w:sz w:val="18"/>
                <w:szCs w:val="18"/>
              </w:rPr>
              <w:t>2,974.24</w:t>
            </w:r>
          </w:p>
        </w:tc>
        <w:tc>
          <w:tcPr>
            <w:tcW w:w="1701" w:type="dxa"/>
            <w:tcBorders>
              <w:top w:val="nil"/>
              <w:left w:val="nil"/>
              <w:bottom w:val="single" w:color="auto" w:sz="4" w:space="0"/>
              <w:right w:val="single" w:color="auto" w:sz="4" w:space="0"/>
            </w:tcBorders>
            <w:vAlign w:val="center"/>
          </w:tcPr>
          <w:p w14:paraId="78285851">
            <w:pPr>
              <w:jc w:val="center"/>
              <w:rPr>
                <w:rFonts w:hint="eastAsia" w:ascii="宋体" w:hAnsi="宋体" w:eastAsia="宋体" w:cs="宋体"/>
                <w:sz w:val="18"/>
                <w:szCs w:val="18"/>
              </w:rPr>
            </w:pPr>
            <w:r>
              <w:rPr>
                <w:rFonts w:hint="eastAsia" w:ascii="宋体" w:hAnsi="宋体" w:eastAsia="宋体" w:cs="宋体"/>
                <w:sz w:val="18"/>
                <w:szCs w:val="18"/>
              </w:rPr>
              <w:t>2,902.71</w:t>
            </w:r>
          </w:p>
        </w:tc>
        <w:tc>
          <w:tcPr>
            <w:tcW w:w="1134" w:type="dxa"/>
            <w:tcBorders>
              <w:top w:val="nil"/>
              <w:left w:val="nil"/>
              <w:bottom w:val="single" w:color="auto" w:sz="4" w:space="0"/>
              <w:right w:val="single" w:color="auto" w:sz="4" w:space="0"/>
            </w:tcBorders>
            <w:vAlign w:val="center"/>
          </w:tcPr>
          <w:p w14:paraId="3ED11902">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76B925AF">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37E7A11D">
            <w:pPr>
              <w:jc w:val="center"/>
              <w:rPr>
                <w:rFonts w:hint="eastAsia" w:ascii="宋体" w:hAnsi="宋体" w:eastAsia="宋体" w:cs="宋体"/>
                <w:sz w:val="18"/>
                <w:szCs w:val="18"/>
              </w:rPr>
            </w:pPr>
            <w:r>
              <w:rPr>
                <w:rFonts w:hint="eastAsia" w:ascii="宋体" w:hAnsi="宋体" w:eastAsia="宋体"/>
                <w:sz w:val="18"/>
                <w:szCs w:val="18"/>
              </w:rPr>
              <w:t>-</w:t>
            </w:r>
          </w:p>
        </w:tc>
        <w:tc>
          <w:tcPr>
            <w:tcW w:w="284" w:type="dxa"/>
            <w:tcBorders>
              <w:top w:val="nil"/>
              <w:left w:val="nil"/>
              <w:bottom w:val="nil"/>
              <w:right w:val="nil"/>
            </w:tcBorders>
            <w:noWrap/>
            <w:vAlign w:val="center"/>
          </w:tcPr>
          <w:p w14:paraId="4C1C96CC">
            <w:pPr>
              <w:jc w:val="center"/>
              <w:rPr>
                <w:rFonts w:hint="eastAsia" w:ascii="宋体" w:hAnsi="宋体" w:eastAsia="宋体" w:cs="宋体"/>
                <w:sz w:val="18"/>
                <w:szCs w:val="18"/>
              </w:rPr>
            </w:pPr>
          </w:p>
        </w:tc>
      </w:tr>
      <w:tr w14:paraId="6B4F44DD">
        <w:tblPrEx>
          <w:tblCellMar>
            <w:top w:w="0" w:type="dxa"/>
            <w:left w:w="108" w:type="dxa"/>
            <w:bottom w:w="0" w:type="dxa"/>
            <w:right w:w="108" w:type="dxa"/>
          </w:tblCellMar>
        </w:tblPrEx>
        <w:trPr>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43C731D">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0E18E60C">
            <w:pPr>
              <w:jc w:val="center"/>
              <w:rPr>
                <w:rFonts w:hint="eastAsia" w:ascii="宋体" w:hAnsi="宋体" w:eastAsia="宋体" w:cs="宋体"/>
                <w:b/>
                <w:bCs/>
                <w:sz w:val="18"/>
                <w:szCs w:val="18"/>
              </w:rPr>
            </w:pPr>
            <w:r>
              <w:rPr>
                <w:rFonts w:hint="eastAsia" w:ascii="宋体" w:hAnsi="宋体" w:eastAsia="宋体" w:cs="宋体"/>
                <w:b/>
                <w:bCs/>
                <w:sz w:val="18"/>
                <w:szCs w:val="18"/>
              </w:rPr>
              <w:t>其他资金（万元）</w:t>
            </w:r>
          </w:p>
        </w:tc>
        <w:tc>
          <w:tcPr>
            <w:tcW w:w="1418" w:type="dxa"/>
            <w:tcBorders>
              <w:top w:val="nil"/>
              <w:left w:val="nil"/>
              <w:bottom w:val="single" w:color="auto" w:sz="4" w:space="0"/>
              <w:right w:val="single" w:color="auto" w:sz="4" w:space="0"/>
            </w:tcBorders>
            <w:vAlign w:val="center"/>
          </w:tcPr>
          <w:p w14:paraId="6C3E0AE9">
            <w:pPr>
              <w:jc w:val="center"/>
              <w:rPr>
                <w:rFonts w:hint="eastAsia" w:ascii="宋体" w:hAnsi="宋体" w:eastAsia="宋体" w:cs="宋体"/>
                <w:sz w:val="18"/>
                <w:szCs w:val="18"/>
              </w:rPr>
            </w:pPr>
            <w:r>
              <w:rPr>
                <w:rFonts w:hint="eastAsia" w:ascii="宋体" w:hAnsi="宋体" w:eastAsia="宋体" w:cs="宋体"/>
                <w:sz w:val="18"/>
                <w:szCs w:val="18"/>
              </w:rPr>
              <w:t>432.48</w:t>
            </w:r>
          </w:p>
        </w:tc>
        <w:tc>
          <w:tcPr>
            <w:tcW w:w="1276" w:type="dxa"/>
            <w:tcBorders>
              <w:top w:val="nil"/>
              <w:left w:val="nil"/>
              <w:bottom w:val="single" w:color="auto" w:sz="4" w:space="0"/>
              <w:right w:val="single" w:color="auto" w:sz="4" w:space="0"/>
            </w:tcBorders>
            <w:vAlign w:val="center"/>
          </w:tcPr>
          <w:p w14:paraId="23358176">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701" w:type="dxa"/>
            <w:tcBorders>
              <w:top w:val="nil"/>
              <w:left w:val="nil"/>
              <w:bottom w:val="single" w:color="auto" w:sz="4" w:space="0"/>
              <w:right w:val="single" w:color="auto" w:sz="4" w:space="0"/>
            </w:tcBorders>
            <w:vAlign w:val="center"/>
          </w:tcPr>
          <w:p w14:paraId="56B4463C">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134" w:type="dxa"/>
            <w:tcBorders>
              <w:top w:val="nil"/>
              <w:left w:val="nil"/>
              <w:bottom w:val="single" w:color="auto" w:sz="4" w:space="0"/>
              <w:right w:val="single" w:color="auto" w:sz="4" w:space="0"/>
            </w:tcBorders>
            <w:vAlign w:val="center"/>
          </w:tcPr>
          <w:p w14:paraId="5CF758BE">
            <w:pPr>
              <w:jc w:val="center"/>
              <w:rPr>
                <w:rFonts w:hint="eastAsia" w:ascii="宋体" w:hAnsi="宋体" w:eastAsia="宋体" w:cs="宋体"/>
                <w:sz w:val="18"/>
                <w:szCs w:val="18"/>
              </w:rPr>
            </w:pPr>
            <w:r>
              <w:rPr>
                <w:rFonts w:hint="eastAsia" w:ascii="宋体" w:hAnsi="宋体" w:eastAsia="宋体" w:cs="宋体"/>
                <w:sz w:val="18"/>
                <w:szCs w:val="18"/>
              </w:rPr>
              <w:t>-</w:t>
            </w:r>
          </w:p>
        </w:tc>
        <w:tc>
          <w:tcPr>
            <w:tcW w:w="992" w:type="dxa"/>
            <w:tcBorders>
              <w:top w:val="nil"/>
              <w:left w:val="nil"/>
              <w:bottom w:val="single" w:color="auto" w:sz="4" w:space="0"/>
              <w:right w:val="single" w:color="auto" w:sz="4" w:space="0"/>
            </w:tcBorders>
            <w:vAlign w:val="center"/>
          </w:tcPr>
          <w:p w14:paraId="18144EE9">
            <w:pPr>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14:paraId="5E240AF9">
            <w:pPr>
              <w:jc w:val="center"/>
              <w:rPr>
                <w:rFonts w:hint="eastAsia" w:ascii="宋体" w:hAnsi="宋体" w:eastAsia="宋体" w:cs="宋体"/>
                <w:sz w:val="18"/>
                <w:szCs w:val="18"/>
              </w:rPr>
            </w:pPr>
            <w:r>
              <w:rPr>
                <w:rFonts w:hint="eastAsia" w:ascii="宋体" w:hAnsi="宋体" w:eastAsia="宋体" w:cs="宋体"/>
                <w:sz w:val="18"/>
                <w:szCs w:val="18"/>
              </w:rPr>
              <w:t>-</w:t>
            </w:r>
          </w:p>
        </w:tc>
        <w:tc>
          <w:tcPr>
            <w:tcW w:w="284" w:type="dxa"/>
            <w:tcBorders>
              <w:top w:val="nil"/>
              <w:left w:val="nil"/>
              <w:bottom w:val="nil"/>
              <w:right w:val="nil"/>
            </w:tcBorders>
            <w:noWrap/>
            <w:vAlign w:val="center"/>
          </w:tcPr>
          <w:p w14:paraId="27C5D37E">
            <w:pPr>
              <w:jc w:val="center"/>
              <w:rPr>
                <w:rFonts w:hint="eastAsia" w:ascii="宋体" w:hAnsi="宋体" w:eastAsia="宋体" w:cs="宋体"/>
                <w:sz w:val="18"/>
                <w:szCs w:val="18"/>
              </w:rPr>
            </w:pPr>
          </w:p>
        </w:tc>
      </w:tr>
      <w:tr w14:paraId="22B21AC6">
        <w:tblPrEx>
          <w:tblCellMar>
            <w:top w:w="0" w:type="dxa"/>
            <w:left w:w="108" w:type="dxa"/>
            <w:bottom w:w="0" w:type="dxa"/>
            <w:right w:w="108" w:type="dxa"/>
          </w:tblCellMar>
        </w:tblPrEx>
        <w:trPr>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5B11C60C">
            <w:pPr>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111" w:type="dxa"/>
            <w:gridSpan w:val="3"/>
            <w:tcBorders>
              <w:top w:val="single" w:color="auto" w:sz="4" w:space="0"/>
              <w:left w:val="nil"/>
              <w:bottom w:val="single" w:color="auto" w:sz="4" w:space="0"/>
              <w:right w:val="single" w:color="auto" w:sz="4" w:space="0"/>
            </w:tcBorders>
            <w:noWrap/>
            <w:vAlign w:val="center"/>
          </w:tcPr>
          <w:p w14:paraId="53E7ACA0">
            <w:pPr>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47" w:type="dxa"/>
            <w:gridSpan w:val="4"/>
            <w:tcBorders>
              <w:top w:val="single" w:color="auto" w:sz="4" w:space="0"/>
              <w:left w:val="nil"/>
              <w:bottom w:val="single" w:color="auto" w:sz="4" w:space="0"/>
              <w:right w:val="single" w:color="auto" w:sz="4" w:space="0"/>
            </w:tcBorders>
            <w:noWrap/>
            <w:vAlign w:val="center"/>
          </w:tcPr>
          <w:p w14:paraId="79D65009">
            <w:pPr>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c>
          <w:tcPr>
            <w:tcW w:w="284" w:type="dxa"/>
            <w:tcBorders>
              <w:top w:val="nil"/>
              <w:left w:val="nil"/>
              <w:bottom w:val="nil"/>
              <w:right w:val="nil"/>
            </w:tcBorders>
            <w:noWrap/>
            <w:vAlign w:val="center"/>
          </w:tcPr>
          <w:p w14:paraId="2DC96846">
            <w:pPr>
              <w:rPr>
                <w:rFonts w:hint="eastAsia" w:ascii="宋体" w:hAnsi="宋体" w:eastAsia="宋体" w:cs="宋体"/>
                <w:b/>
                <w:bCs/>
                <w:sz w:val="18"/>
                <w:szCs w:val="18"/>
              </w:rPr>
            </w:pPr>
          </w:p>
        </w:tc>
      </w:tr>
      <w:tr w14:paraId="1927E580">
        <w:tblPrEx>
          <w:tblCellMar>
            <w:top w:w="0" w:type="dxa"/>
            <w:left w:w="108" w:type="dxa"/>
            <w:bottom w:w="0" w:type="dxa"/>
            <w:right w:w="108" w:type="dxa"/>
          </w:tblCellMar>
        </w:tblPrEx>
        <w:trPr>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5B9F380">
            <w:pPr>
              <w:rPr>
                <w:rFonts w:hint="eastAsia" w:ascii="宋体" w:hAnsi="宋体" w:eastAsia="宋体" w:cs="宋体"/>
                <w:b/>
                <w:bCs/>
                <w:sz w:val="18"/>
                <w:szCs w:val="18"/>
              </w:rPr>
            </w:pPr>
          </w:p>
        </w:tc>
        <w:tc>
          <w:tcPr>
            <w:tcW w:w="4111" w:type="dxa"/>
            <w:gridSpan w:val="3"/>
            <w:tcBorders>
              <w:top w:val="single" w:color="auto" w:sz="4" w:space="0"/>
              <w:left w:val="nil"/>
              <w:bottom w:val="single" w:color="auto" w:sz="4" w:space="0"/>
              <w:right w:val="single" w:color="auto" w:sz="4" w:space="0"/>
            </w:tcBorders>
          </w:tcPr>
          <w:p w14:paraId="69BF399C">
            <w:pPr>
              <w:rPr>
                <w:rFonts w:hint="eastAsia" w:ascii="宋体" w:hAnsi="宋体" w:eastAsia="宋体" w:cs="宋体"/>
                <w:sz w:val="18"/>
                <w:szCs w:val="18"/>
                <w:lang w:eastAsia="zh-CN"/>
              </w:rPr>
            </w:pPr>
            <w:r>
              <w:rPr>
                <w:rFonts w:hint="eastAsia" w:ascii="宋体" w:hAnsi="宋体" w:eastAsia="宋体" w:cs="宋体"/>
                <w:sz w:val="18"/>
                <w:szCs w:val="18"/>
                <w:lang w:eastAsia="zh-CN"/>
              </w:rPr>
              <w:t>一：单位主要职责。（一）贯彻执行国家、自治区和市关于机关事务管理工作的法律法规；负责区直机关事务的管理、保障、服务工作。（二）负责区直机关公务用车编制、配备、更新、处置工作；负责区公务用车服务平台的日常管理；指导乡镇和区直有关单位公务用车管理工作。（三）负责政府办公建筑及区直机关办公业务用房项目管理工作；负责文体活动中心、疫情指挥部等区域会务服务和办公用房的调配使用和修缮管理工作；负责中心国有资产管理工作。（四）负责来我区各级领导干部的接待工作；负责市级以上领导机关派出的巡视（巡察）、检查、考察、督查等各类团（组）和区县级党政代表团来我区考察的接待工作。（五）负责机关食堂监管、服务保障工作；负责集中办公区的秩序维护、安全保障工作；负责监督、协调集中办公区绿化和环境卫生工作。（六）协助做好区委、区政府大型会议和重要活动的服务保障工作。（七）负责指导、监督全区公共机构节能、降碳工作；负责组织区级公共机构单位节能创建工作。（八）负责区委、区政府明确的机关后勤保障及安全生产职责。（九）完成区委、区政府交办的其他任务。二：2024年工作计划2024年，机关事务管理中心以习近平新时代中国特色社会主义思想为指导，以学习贯彻党的二十大精神为主线，结合我中心工作实际，进一步加强和改进党支部建设，不断加强新时期党支部建设、干部队伍建设和党员队伍建设，积极推进五好党支部建设，充分发挥战斗堡垒作用，为全面实施快速发展提供坚实的组织保证。一、党建工作目标1、组织党员、干部深入学习党的二十大重要精神。要落实理论学习制度，提高学习效果。2、努力提高领导干部队伍的工作效率。根据中心干部队伍的特点，要进一步强化业务学习和培训，提高业务能力。3、进一步加强干部队伍的作风建设。加强干部队伍的思想作风建设，使干部队伍做讲大局、讲团结、讲稳定、讲发展的模范;加强民主集中制建设，按照“集体领导，民主集中，个别酝酿，共同决定”的原则，坚持集体领导和个人分工负责相结合，坚持集体决策，使管理工作更加民主和规范;加强党风廉政建设，加强廉政风险防控，强化《两个条例》的学习，严格执行中纪委提出的“四大纪律八项要求”及有关干部廉洁自律的各规</w:t>
            </w:r>
            <w:r>
              <w:rPr>
                <w:rFonts w:hint="eastAsia" w:ascii="宋体" w:hAnsi="宋体" w:eastAsia="宋体" w:cs="宋体"/>
                <w:sz w:val="18"/>
                <w:szCs w:val="18"/>
                <w:lang w:val="en-US" w:eastAsia="zh-CN"/>
              </w:rPr>
              <w:t>定</w:t>
            </w:r>
            <w:r>
              <w:rPr>
                <w:rFonts w:hint="eastAsia" w:ascii="宋体" w:hAnsi="宋体" w:eastAsia="宋体" w:cs="宋体"/>
                <w:sz w:val="18"/>
                <w:szCs w:val="18"/>
                <w:lang w:eastAsia="zh-CN"/>
              </w:rPr>
              <w:t>。4、落实“三会一课”制度。支部确保每月至少开展一次党的组织生活或党的活动。按规定开好民主生活会、党支部委员会和党支部大会。5、以创建“五好”党支部活动为载体，在班子建设、制度规范上做足文章。坚持以优质服务保障为抓手，品质至上，满意为止，不断提升机关干部职工的满意度和获得感，一是政务及会务保障能力进一步提升，实施会务人员轮岗值班工作机制，做到全天候快速反应，高效执行，做精，做实、做细会务服务的各个环节，确保24小时提供优质的服务。二是物业服务更加精细，综合科充分发挥职能作用，在水、电、暖、气等安全运行方面严格规范操作，制定完善的隐患排查制度，定期联系相关维保单位对电梯、消防、中央空调等大型设备进行日常维护及保养，做好每月两次的电梯维护，确保了各项工作的正常运行。（二）食堂餐饮服务更加优质。创新新管理模式，制定《米东区膳食委员会管理办法（试行）》，组织开展食堂开放日，月度菜单和新菜评审，参观交流，专项检查等活动。充分发挥膳食委员会管理监督和桥梁纽带作用。（三）切实提高安保水平，确保机关安全。完善了《保卫科岗位责任制》、《保安工作仪容仪表》、《监控室值班制度》等制度，确保安保工作有序开展。在认真做好机关安全防范宣传工作的同时，做好“节假日”值班和安全防火、防盗宣传工作，值班人员坚守岗位，认真履行职责，实行多方位、立体交叉的24小时值班巡逻。（四）公共机构节能减排稳步推进。深入开展节能宣传，以“节能宣传月”为抓手，开展“低碳日”、践行绿色出行等活动，大力宣传低碳生活方式，资源节约以及环境保护，进一步</w:t>
            </w:r>
            <w:r>
              <w:rPr>
                <w:rFonts w:hint="eastAsia" w:ascii="宋体" w:hAnsi="宋体" w:eastAsia="宋体" w:cs="宋体"/>
                <w:sz w:val="18"/>
                <w:szCs w:val="18"/>
                <w:lang w:val="en-US" w:eastAsia="zh-CN"/>
              </w:rPr>
              <w:t>增</w:t>
            </w:r>
            <w:r>
              <w:rPr>
                <w:rFonts w:hint="eastAsia" w:ascii="宋体" w:hAnsi="宋体" w:eastAsia="宋体" w:cs="宋体"/>
                <w:sz w:val="18"/>
                <w:szCs w:val="18"/>
                <w:lang w:eastAsia="zh-CN"/>
              </w:rPr>
              <w:t>强广大干部职工的节能意识。（五）积极推进机关单位办公用房管理工作。为落实区委、区政府办公用房优化配置专项会议精神，今年计划对全区各单位办公用房进行了摸底调查，整合资源，盘活国有资产。（六）公务用车不断规范管理。继续完善自治区公务用车管理平台，对全区1336辆公务用车建立一车一档台账，详细摸底，核查车辆安全性能及车况，建立健全车辆管理制度和对新增、调剂、报废处置的车辆都做了一车一档登记信息档案，实现全区公务用车的规范管理。（七）积极推行社会化服务。为进一步规范区机关后勤服务保障，从严控制机关运行经费支出，提高后勤服务保障标准化、专业化和均衡化水平。按照《中华人民共和国政府采购法》、国务院《机关事务管理条例》、《新疆维吾尔自治区区直机关购买后勤服务管理办法(试行)》(新管规[2022]2号)文件精神。</w:t>
            </w:r>
          </w:p>
        </w:tc>
        <w:tc>
          <w:tcPr>
            <w:tcW w:w="4547" w:type="dxa"/>
            <w:gridSpan w:val="4"/>
            <w:tcBorders>
              <w:top w:val="single" w:color="auto" w:sz="4" w:space="0"/>
              <w:left w:val="nil"/>
              <w:bottom w:val="single" w:color="auto" w:sz="4" w:space="0"/>
              <w:right w:val="single" w:color="auto" w:sz="4" w:space="0"/>
            </w:tcBorders>
          </w:tcPr>
          <w:p w14:paraId="6811F3C8">
            <w:pPr>
              <w:rPr>
                <w:rFonts w:hint="eastAsia" w:ascii="宋体" w:hAnsi="宋体" w:eastAsia="宋体" w:cs="宋体"/>
                <w:sz w:val="18"/>
                <w:szCs w:val="18"/>
                <w:lang w:eastAsia="zh-CN"/>
              </w:rPr>
            </w:pPr>
            <w:r>
              <w:rPr>
                <w:rFonts w:hint="eastAsia" w:ascii="宋体" w:hAnsi="宋体" w:eastAsia="宋体" w:cs="宋体"/>
                <w:sz w:val="18"/>
                <w:szCs w:val="18"/>
                <w:lang w:eastAsia="zh-CN"/>
              </w:rPr>
              <w:t>2024年，机关事务管理中心以习近平新时代中国特色社会主义思想为指导，以学习贯彻党的二十大精神</w:t>
            </w:r>
            <w:bookmarkStart w:id="14" w:name="_GoBack"/>
            <w:bookmarkEnd w:id="14"/>
            <w:r>
              <w:rPr>
                <w:rFonts w:hint="eastAsia" w:ascii="宋体" w:hAnsi="宋体" w:eastAsia="宋体" w:cs="宋体"/>
                <w:sz w:val="18"/>
                <w:szCs w:val="18"/>
                <w:lang w:eastAsia="zh-CN"/>
              </w:rPr>
              <w:t>为主线，结合我中心工作实际，进一步加强和改进党支部建设，不断加强新时期党支部建设、干部队伍建设和党员队伍建设，积极推进五好党支部建设，充分发挥战斗堡垒作用，为全面实施快速发展提供坚实的组织保证。落实理论学习制度，提高学习效果。根据中心干部队伍的特点，进一步强化业务学习和培训，提高业务能力。加强干部队伍的思想作风建设，使干部队伍做讲大局、讲团结、讲稳定、讲发展的模范;加强民主集中制建设，按照“集体领导，民主集中，个别酝酿，共同决定”的原则，坚持集体领导和个人分工负责相结合，坚持集体讨决策，使管理工作更加民主和规范;加强党风廉政建设，加强廉政风险防控，强化《两个条例》的学习，严格执行中纪委提出的“四大纪律八项要求”及有关干部廉洁自律的各规</w:t>
            </w:r>
            <w:r>
              <w:rPr>
                <w:rFonts w:hint="eastAsia" w:ascii="宋体" w:hAnsi="宋体" w:eastAsia="宋体" w:cs="宋体"/>
                <w:sz w:val="18"/>
                <w:szCs w:val="18"/>
                <w:lang w:val="en-US" w:eastAsia="zh-CN"/>
              </w:rPr>
              <w:t>定</w:t>
            </w:r>
            <w:r>
              <w:rPr>
                <w:rFonts w:hint="eastAsia" w:ascii="宋体" w:hAnsi="宋体" w:eastAsia="宋体" w:cs="宋体"/>
                <w:sz w:val="18"/>
                <w:szCs w:val="18"/>
                <w:lang w:eastAsia="zh-CN"/>
              </w:rPr>
              <w:t>。支部确保每月至少开展一次党的组织生活或党的活动，按规定开好民主生活会、党支部委员会和党支部大会。坚持以优质服务保障为抓手，品质至上，满意为止，不断提升机关干部职工的满意度和获得感，一是政务及会务保障能力进一步提升，实施会务人员轮岗值班工作机制，做到全天候快速反应，高效执行，做精，做实、做细会务服务的各个环节，确保24小时提供优质的服务。二是物业服务更加精细，综合科充分发挥职能作用，在水、电、暖、气等安全运行方面严格规范操作，制定完善的隐患排查制度，定期联系相关维保单位对电梯、消防、中央空调等大型设备进行日常维护及保养，做好每月两次的电梯维护，确保了各项工作的正常运行。创新管理模式，制定《米东区膳食委员会管理办法（试行）》，组织开展食堂开放日，月度菜单和新菜评审，参观交流，专项检查等活动。充分发挥膳食委员会管理监督和桥梁纽带作用。完善了《保卫科岗位责任制》、《保安工作仪容仪表》、《监控室值班制度》等制度，确保安保工作有序开展。在认真做好机关安全防范宣传工作的同时，做好“节假日”值班和安全防火、防盗宣传工作，值班人员坚守岗位，认真履行职责，实行多方位、立体交叉的24小时值班巡逻。深入开展节能宣传，以“节能宣传月”为抓手，开展“低碳日”、践行绿色出行等活动，大力宣传低碳生活方式，资源节约以及环境保护，进一步强广大干部职工的节能意识。落实区委、区政府办公用房优化配置专项会议精神，对全区各单位办公用房进行了摸底调查，整合资源，盘活国有资产。完善自治区公务用车管理平台，对全区1336辆公务用车建立一车一档台账，详细摸底，核查车辆安全性能及车况，建立健全车辆管理制度和对新增、调剂、报废处置的车辆都做了一车一档登记信息档案，实现全区公务用车的规范管理。规范区机关后勤服务保障，从严控制机关运行经费支出，提高后勤服务保障标准化、专业化和均衡化水平。按照《中华人民共和国政府采购法》、国务院《机关事务管理条例》、《新疆维吾尔自治区区直机关购买后勤服务管理办法(试行)》(新管规[2022]2号)文件精神。</w:t>
            </w:r>
          </w:p>
        </w:tc>
        <w:tc>
          <w:tcPr>
            <w:tcW w:w="284" w:type="dxa"/>
            <w:tcBorders>
              <w:top w:val="nil"/>
              <w:left w:val="nil"/>
              <w:bottom w:val="nil"/>
              <w:right w:val="nil"/>
            </w:tcBorders>
            <w:noWrap/>
            <w:vAlign w:val="center"/>
          </w:tcPr>
          <w:p w14:paraId="13C21EE5">
            <w:pPr>
              <w:rPr>
                <w:rFonts w:hint="eastAsia" w:ascii="宋体" w:hAnsi="宋体" w:eastAsia="宋体" w:cs="宋体"/>
                <w:sz w:val="18"/>
                <w:szCs w:val="18"/>
                <w:lang w:eastAsia="zh-CN"/>
              </w:rPr>
            </w:pPr>
          </w:p>
        </w:tc>
      </w:tr>
      <w:tr w14:paraId="1373DE8D">
        <w:tblPrEx>
          <w:tblCellMar>
            <w:top w:w="0" w:type="dxa"/>
            <w:left w:w="108" w:type="dxa"/>
            <w:bottom w:w="0" w:type="dxa"/>
            <w:right w:w="108" w:type="dxa"/>
          </w:tblCellMar>
        </w:tblPrEx>
        <w:trPr>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2A9C1CB8">
            <w:pPr>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14:paraId="420681AE">
            <w:pPr>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14:paraId="0EA9CAF4">
            <w:pPr>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76" w:type="dxa"/>
            <w:tcBorders>
              <w:top w:val="nil"/>
              <w:left w:val="nil"/>
              <w:bottom w:val="single" w:color="auto" w:sz="4" w:space="0"/>
              <w:right w:val="single" w:color="auto" w:sz="4" w:space="0"/>
            </w:tcBorders>
            <w:vAlign w:val="center"/>
          </w:tcPr>
          <w:p w14:paraId="22DBA4D8">
            <w:pPr>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701" w:type="dxa"/>
            <w:tcBorders>
              <w:top w:val="nil"/>
              <w:left w:val="nil"/>
              <w:bottom w:val="single" w:color="auto" w:sz="4" w:space="0"/>
              <w:right w:val="single" w:color="auto" w:sz="4" w:space="0"/>
            </w:tcBorders>
            <w:vAlign w:val="center"/>
          </w:tcPr>
          <w:p w14:paraId="5F4FC0C4">
            <w:pPr>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14:paraId="11A3184A">
            <w:pPr>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992" w:type="dxa"/>
            <w:tcBorders>
              <w:top w:val="nil"/>
              <w:left w:val="nil"/>
              <w:bottom w:val="single" w:color="auto" w:sz="4" w:space="0"/>
              <w:right w:val="single" w:color="auto" w:sz="4" w:space="0"/>
            </w:tcBorders>
            <w:vAlign w:val="center"/>
          </w:tcPr>
          <w:p w14:paraId="38E796BD">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720" w:type="dxa"/>
            <w:tcBorders>
              <w:top w:val="nil"/>
              <w:left w:val="nil"/>
              <w:bottom w:val="single" w:color="auto" w:sz="4" w:space="0"/>
              <w:right w:val="single" w:color="auto" w:sz="4" w:space="0"/>
            </w:tcBorders>
            <w:vAlign w:val="center"/>
          </w:tcPr>
          <w:p w14:paraId="278EB1EB">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c>
          <w:tcPr>
            <w:tcW w:w="284" w:type="dxa"/>
            <w:tcBorders>
              <w:top w:val="nil"/>
              <w:left w:val="nil"/>
              <w:bottom w:val="nil"/>
              <w:right w:val="nil"/>
            </w:tcBorders>
            <w:noWrap/>
            <w:vAlign w:val="center"/>
          </w:tcPr>
          <w:p w14:paraId="284C555F">
            <w:pPr>
              <w:rPr>
                <w:rFonts w:hint="eastAsia" w:ascii="宋体" w:hAnsi="宋体" w:eastAsia="宋体" w:cs="宋体"/>
                <w:b/>
                <w:bCs/>
                <w:sz w:val="18"/>
                <w:szCs w:val="18"/>
              </w:rPr>
            </w:pPr>
          </w:p>
        </w:tc>
      </w:tr>
      <w:tr w14:paraId="6A1ED7DF">
        <w:tblPrEx>
          <w:tblCellMar>
            <w:top w:w="0" w:type="dxa"/>
            <w:left w:w="108" w:type="dxa"/>
            <w:bottom w:w="0" w:type="dxa"/>
            <w:right w:w="108" w:type="dxa"/>
          </w:tblCellMar>
        </w:tblPrEx>
        <w:trPr>
          <w:trHeight w:val="740" w:hRule="atLeast"/>
        </w:trPr>
        <w:tc>
          <w:tcPr>
            <w:tcW w:w="993" w:type="dxa"/>
            <w:vMerge w:val="restart"/>
            <w:tcBorders>
              <w:top w:val="single" w:color="auto" w:sz="4" w:space="0"/>
              <w:left w:val="single" w:color="auto" w:sz="4" w:space="0"/>
              <w:right w:val="single" w:color="auto" w:sz="4" w:space="0"/>
            </w:tcBorders>
            <w:noWrap/>
            <w:vAlign w:val="center"/>
          </w:tcPr>
          <w:p w14:paraId="5F2D942C">
            <w:pPr>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vMerge w:val="restart"/>
            <w:tcBorders>
              <w:top w:val="nil"/>
              <w:left w:val="nil"/>
              <w:right w:val="single" w:color="auto" w:sz="4" w:space="0"/>
            </w:tcBorders>
            <w:noWrap/>
            <w:vAlign w:val="center"/>
          </w:tcPr>
          <w:p w14:paraId="729A4ABA">
            <w:pPr>
              <w:jc w:val="center"/>
              <w:rPr>
                <w:rFonts w:hint="eastAsia"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14:paraId="2431AD3F">
            <w:pPr>
              <w:jc w:val="center"/>
              <w:rPr>
                <w:rFonts w:hint="eastAsia" w:ascii="宋体" w:hAnsi="宋体" w:eastAsia="宋体" w:cs="宋体"/>
                <w:sz w:val="18"/>
                <w:szCs w:val="18"/>
              </w:rPr>
            </w:pPr>
            <w:r>
              <w:rPr>
                <w:rFonts w:hint="eastAsia" w:ascii="宋体" w:hAnsi="宋体" w:eastAsia="宋体" w:cs="宋体"/>
                <w:sz w:val="18"/>
                <w:szCs w:val="18"/>
              </w:rPr>
              <w:t>全区公务用车管理</w:t>
            </w:r>
          </w:p>
        </w:tc>
        <w:tc>
          <w:tcPr>
            <w:tcW w:w="1276" w:type="dxa"/>
            <w:tcBorders>
              <w:top w:val="nil"/>
              <w:left w:val="nil"/>
              <w:bottom w:val="single" w:color="auto" w:sz="4" w:space="0"/>
              <w:right w:val="single" w:color="auto" w:sz="4" w:space="0"/>
            </w:tcBorders>
            <w:noWrap/>
            <w:vAlign w:val="center"/>
          </w:tcPr>
          <w:p w14:paraId="20CFFE1D">
            <w:pPr>
              <w:jc w:val="center"/>
              <w:rPr>
                <w:rFonts w:hint="eastAsia" w:ascii="宋体" w:hAnsi="宋体" w:eastAsia="宋体" w:cs="宋体"/>
                <w:sz w:val="18"/>
                <w:szCs w:val="18"/>
              </w:rPr>
            </w:pPr>
            <w:r>
              <w:rPr>
                <w:rFonts w:hint="eastAsia" w:ascii="宋体" w:hAnsi="宋体" w:eastAsia="宋体" w:cs="宋体"/>
                <w:sz w:val="18"/>
                <w:szCs w:val="18"/>
              </w:rPr>
              <w:t>=1336辆</w:t>
            </w:r>
          </w:p>
        </w:tc>
        <w:tc>
          <w:tcPr>
            <w:tcW w:w="1701" w:type="dxa"/>
            <w:tcBorders>
              <w:top w:val="nil"/>
              <w:left w:val="nil"/>
              <w:bottom w:val="single" w:color="auto" w:sz="4" w:space="0"/>
              <w:right w:val="single" w:color="auto" w:sz="4" w:space="0"/>
            </w:tcBorders>
            <w:noWrap/>
            <w:vAlign w:val="center"/>
          </w:tcPr>
          <w:p w14:paraId="66546929">
            <w:pPr>
              <w:rPr>
                <w:rFonts w:hint="eastAsia" w:ascii="宋体" w:hAnsi="宋体" w:eastAsia="宋体" w:cs="宋体"/>
                <w:sz w:val="18"/>
                <w:szCs w:val="18"/>
                <w:lang w:eastAsia="zh-CN"/>
              </w:rPr>
            </w:pPr>
            <w:r>
              <w:rPr>
                <w:rFonts w:hint="eastAsia" w:ascii="宋体" w:hAnsi="宋体" w:eastAsia="宋体" w:cs="宋体"/>
                <w:sz w:val="18"/>
                <w:szCs w:val="18"/>
                <w:lang w:eastAsia="zh-CN"/>
              </w:rPr>
              <w:t>米东区机关事务管理中心2024年工作计划</w:t>
            </w:r>
          </w:p>
        </w:tc>
        <w:tc>
          <w:tcPr>
            <w:tcW w:w="1134" w:type="dxa"/>
            <w:tcBorders>
              <w:top w:val="nil"/>
              <w:left w:val="nil"/>
              <w:bottom w:val="single" w:color="auto" w:sz="4" w:space="0"/>
              <w:right w:val="single" w:color="auto" w:sz="4" w:space="0"/>
            </w:tcBorders>
            <w:noWrap/>
            <w:vAlign w:val="center"/>
          </w:tcPr>
          <w:p w14:paraId="4F5346CD">
            <w:pPr>
              <w:jc w:val="center"/>
              <w:rPr>
                <w:rFonts w:hint="eastAsia" w:ascii="宋体" w:hAnsi="宋体" w:eastAsia="宋体" w:cs="宋体"/>
                <w:sz w:val="18"/>
                <w:szCs w:val="18"/>
              </w:rPr>
            </w:pPr>
            <w:r>
              <w:rPr>
                <w:rFonts w:hint="eastAsia" w:ascii="宋体" w:hAnsi="宋体" w:eastAsia="宋体" w:cs="宋体"/>
                <w:sz w:val="18"/>
                <w:szCs w:val="18"/>
              </w:rPr>
              <w:t>1336辆</w:t>
            </w:r>
          </w:p>
        </w:tc>
        <w:tc>
          <w:tcPr>
            <w:tcW w:w="992" w:type="dxa"/>
            <w:tcBorders>
              <w:top w:val="nil"/>
              <w:left w:val="nil"/>
              <w:bottom w:val="single" w:color="auto" w:sz="4" w:space="0"/>
              <w:right w:val="single" w:color="auto" w:sz="4" w:space="0"/>
            </w:tcBorders>
            <w:noWrap/>
            <w:vAlign w:val="center"/>
          </w:tcPr>
          <w:p w14:paraId="48CFF872">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14:paraId="6D7AFC50">
            <w:pPr>
              <w:jc w:val="center"/>
              <w:rPr>
                <w:rFonts w:hint="eastAsia" w:ascii="宋体" w:hAnsi="宋体" w:eastAsia="宋体" w:cs="宋体"/>
                <w:sz w:val="18"/>
                <w:szCs w:val="18"/>
              </w:rPr>
            </w:pPr>
            <w:r>
              <w:rPr>
                <w:rFonts w:hint="eastAsia" w:ascii="宋体" w:hAnsi="宋体" w:eastAsia="宋体" w:cs="宋体"/>
                <w:sz w:val="18"/>
                <w:szCs w:val="18"/>
              </w:rPr>
              <w:t>30</w:t>
            </w:r>
          </w:p>
        </w:tc>
        <w:tc>
          <w:tcPr>
            <w:tcW w:w="284" w:type="dxa"/>
            <w:tcBorders>
              <w:top w:val="nil"/>
              <w:left w:val="nil"/>
              <w:bottom w:val="nil"/>
              <w:right w:val="nil"/>
            </w:tcBorders>
            <w:noWrap/>
            <w:vAlign w:val="center"/>
          </w:tcPr>
          <w:p w14:paraId="222E6D2B">
            <w:pPr>
              <w:jc w:val="center"/>
              <w:rPr>
                <w:rFonts w:hint="eastAsia" w:ascii="宋体" w:hAnsi="宋体" w:eastAsia="宋体" w:cs="宋体"/>
                <w:sz w:val="18"/>
                <w:szCs w:val="18"/>
              </w:rPr>
            </w:pPr>
          </w:p>
        </w:tc>
      </w:tr>
      <w:tr w14:paraId="7C8B7825">
        <w:tblPrEx>
          <w:tblCellMar>
            <w:top w:w="0" w:type="dxa"/>
            <w:left w:w="108" w:type="dxa"/>
            <w:bottom w:w="0" w:type="dxa"/>
            <w:right w:w="108" w:type="dxa"/>
          </w:tblCellMar>
        </w:tblPrEx>
        <w:trPr>
          <w:trHeight w:val="740" w:hRule="atLeast"/>
        </w:trPr>
        <w:tc>
          <w:tcPr>
            <w:tcW w:w="993" w:type="dxa"/>
            <w:vMerge w:val="continue"/>
            <w:tcBorders>
              <w:left w:val="single" w:color="auto" w:sz="4" w:space="0"/>
              <w:right w:val="single" w:color="auto" w:sz="4" w:space="0"/>
            </w:tcBorders>
            <w:noWrap/>
            <w:vAlign w:val="center"/>
          </w:tcPr>
          <w:p w14:paraId="3C4C6A44">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5A958DE4">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36713FD7">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办公楼的后勤保障服务</w:t>
            </w:r>
          </w:p>
        </w:tc>
        <w:tc>
          <w:tcPr>
            <w:tcW w:w="1276" w:type="dxa"/>
            <w:tcBorders>
              <w:top w:val="nil"/>
              <w:left w:val="nil"/>
              <w:bottom w:val="single" w:color="auto" w:sz="4" w:space="0"/>
              <w:right w:val="single" w:color="auto" w:sz="4" w:space="0"/>
            </w:tcBorders>
            <w:noWrap/>
            <w:vAlign w:val="center"/>
          </w:tcPr>
          <w:p w14:paraId="31AAF70B">
            <w:pPr>
              <w:jc w:val="center"/>
              <w:rPr>
                <w:rFonts w:hint="eastAsia" w:ascii="宋体" w:hAnsi="宋体" w:eastAsia="宋体" w:cs="宋体"/>
                <w:sz w:val="18"/>
                <w:szCs w:val="18"/>
              </w:rPr>
            </w:pPr>
            <w:r>
              <w:rPr>
                <w:rFonts w:hint="eastAsia" w:ascii="宋体" w:hAnsi="宋体" w:eastAsia="宋体" w:cs="宋体"/>
                <w:sz w:val="18"/>
                <w:szCs w:val="18"/>
              </w:rPr>
              <w:t>=5栋</w:t>
            </w:r>
          </w:p>
        </w:tc>
        <w:tc>
          <w:tcPr>
            <w:tcW w:w="1701" w:type="dxa"/>
            <w:tcBorders>
              <w:top w:val="nil"/>
              <w:left w:val="nil"/>
              <w:bottom w:val="single" w:color="auto" w:sz="4" w:space="0"/>
              <w:right w:val="single" w:color="auto" w:sz="4" w:space="0"/>
            </w:tcBorders>
            <w:noWrap/>
            <w:vAlign w:val="center"/>
          </w:tcPr>
          <w:p w14:paraId="06D435F8">
            <w:pPr>
              <w:rPr>
                <w:rFonts w:hint="eastAsia" w:ascii="宋体" w:hAnsi="宋体" w:eastAsia="宋体" w:cs="宋体"/>
                <w:sz w:val="18"/>
                <w:szCs w:val="18"/>
                <w:lang w:eastAsia="zh-CN"/>
              </w:rPr>
            </w:pPr>
            <w:r>
              <w:rPr>
                <w:rFonts w:hint="eastAsia" w:ascii="宋体" w:hAnsi="宋体" w:eastAsia="宋体" w:cs="宋体"/>
                <w:sz w:val="18"/>
                <w:szCs w:val="18"/>
                <w:lang w:eastAsia="zh-CN"/>
              </w:rPr>
              <w:t>米东区机关事务管理中心2024年工作计划</w:t>
            </w:r>
          </w:p>
        </w:tc>
        <w:tc>
          <w:tcPr>
            <w:tcW w:w="1134" w:type="dxa"/>
            <w:tcBorders>
              <w:top w:val="nil"/>
              <w:left w:val="nil"/>
              <w:bottom w:val="single" w:color="auto" w:sz="4" w:space="0"/>
              <w:right w:val="single" w:color="auto" w:sz="4" w:space="0"/>
            </w:tcBorders>
            <w:noWrap/>
            <w:vAlign w:val="center"/>
          </w:tcPr>
          <w:p w14:paraId="16271DD3">
            <w:pPr>
              <w:jc w:val="center"/>
              <w:rPr>
                <w:rFonts w:hint="eastAsia" w:ascii="宋体" w:hAnsi="宋体" w:eastAsia="宋体" w:cs="宋体"/>
                <w:sz w:val="18"/>
                <w:szCs w:val="18"/>
              </w:rPr>
            </w:pPr>
            <w:r>
              <w:rPr>
                <w:rFonts w:hint="eastAsia" w:ascii="宋体" w:hAnsi="宋体" w:eastAsia="宋体" w:cs="宋体"/>
                <w:sz w:val="18"/>
                <w:szCs w:val="18"/>
              </w:rPr>
              <w:t>5栋</w:t>
            </w:r>
          </w:p>
        </w:tc>
        <w:tc>
          <w:tcPr>
            <w:tcW w:w="992" w:type="dxa"/>
            <w:tcBorders>
              <w:top w:val="nil"/>
              <w:left w:val="nil"/>
              <w:bottom w:val="single" w:color="auto" w:sz="4" w:space="0"/>
              <w:right w:val="single" w:color="auto" w:sz="4" w:space="0"/>
            </w:tcBorders>
            <w:noWrap/>
            <w:vAlign w:val="center"/>
          </w:tcPr>
          <w:p w14:paraId="75AFDA00">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14:paraId="764B3499">
            <w:pPr>
              <w:jc w:val="center"/>
              <w:rPr>
                <w:rFonts w:hint="eastAsia" w:ascii="宋体" w:hAnsi="宋体" w:eastAsia="宋体" w:cs="宋体"/>
                <w:sz w:val="18"/>
                <w:szCs w:val="18"/>
              </w:rPr>
            </w:pPr>
            <w:r>
              <w:rPr>
                <w:rFonts w:hint="eastAsia" w:ascii="宋体" w:hAnsi="宋体" w:eastAsia="宋体" w:cs="宋体"/>
                <w:sz w:val="18"/>
                <w:szCs w:val="18"/>
              </w:rPr>
              <w:t>30</w:t>
            </w:r>
          </w:p>
        </w:tc>
        <w:tc>
          <w:tcPr>
            <w:tcW w:w="284" w:type="dxa"/>
            <w:tcBorders>
              <w:top w:val="nil"/>
              <w:left w:val="nil"/>
              <w:bottom w:val="nil"/>
              <w:right w:val="nil"/>
            </w:tcBorders>
            <w:noWrap/>
            <w:vAlign w:val="center"/>
          </w:tcPr>
          <w:p w14:paraId="3E2DC280">
            <w:pPr>
              <w:jc w:val="center"/>
              <w:rPr>
                <w:rFonts w:hint="eastAsia" w:ascii="宋体" w:hAnsi="宋体" w:eastAsia="宋体" w:cs="宋体"/>
                <w:sz w:val="18"/>
                <w:szCs w:val="18"/>
              </w:rPr>
            </w:pPr>
          </w:p>
        </w:tc>
      </w:tr>
      <w:tr w14:paraId="46DB3876">
        <w:tblPrEx>
          <w:tblCellMar>
            <w:top w:w="0" w:type="dxa"/>
            <w:left w:w="108" w:type="dxa"/>
            <w:bottom w:w="0" w:type="dxa"/>
            <w:right w:w="108" w:type="dxa"/>
          </w:tblCellMar>
        </w:tblPrEx>
        <w:trPr>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0D8D26DE">
            <w:pPr>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7B18DD33">
            <w:pPr>
              <w:jc w:val="center"/>
              <w:rPr>
                <w:rFonts w:hint="eastAsia" w:ascii="宋体" w:hAnsi="宋体" w:eastAsia="宋体" w:cs="宋体"/>
                <w:sz w:val="18"/>
                <w:szCs w:val="18"/>
              </w:rPr>
            </w:pPr>
          </w:p>
        </w:tc>
        <w:tc>
          <w:tcPr>
            <w:tcW w:w="1418" w:type="dxa"/>
            <w:tcBorders>
              <w:top w:val="single" w:color="auto" w:sz="4" w:space="0"/>
              <w:left w:val="nil"/>
              <w:bottom w:val="single" w:color="auto" w:sz="4" w:space="0"/>
              <w:right w:val="single" w:color="auto" w:sz="4" w:space="0"/>
            </w:tcBorders>
            <w:noWrap/>
            <w:vAlign w:val="center"/>
          </w:tcPr>
          <w:p w14:paraId="03EAE378">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落实“三会一课”制度开展党的活动</w:t>
            </w:r>
          </w:p>
        </w:tc>
        <w:tc>
          <w:tcPr>
            <w:tcW w:w="1276" w:type="dxa"/>
            <w:tcBorders>
              <w:top w:val="single" w:color="auto" w:sz="4" w:space="0"/>
              <w:left w:val="nil"/>
              <w:bottom w:val="single" w:color="auto" w:sz="4" w:space="0"/>
              <w:right w:val="single" w:color="auto" w:sz="4" w:space="0"/>
            </w:tcBorders>
            <w:noWrap/>
            <w:vAlign w:val="center"/>
          </w:tcPr>
          <w:p w14:paraId="65252279">
            <w:pPr>
              <w:jc w:val="center"/>
              <w:rPr>
                <w:rFonts w:hint="eastAsia" w:ascii="宋体" w:hAnsi="宋体" w:eastAsia="宋体" w:cs="宋体"/>
                <w:sz w:val="18"/>
                <w:szCs w:val="18"/>
              </w:rPr>
            </w:pPr>
            <w:r>
              <w:rPr>
                <w:rFonts w:hint="eastAsia" w:ascii="宋体" w:hAnsi="宋体" w:eastAsia="宋体" w:cs="宋体"/>
                <w:sz w:val="18"/>
                <w:szCs w:val="18"/>
              </w:rPr>
              <w:t>=12次</w:t>
            </w:r>
          </w:p>
        </w:tc>
        <w:tc>
          <w:tcPr>
            <w:tcW w:w="1701" w:type="dxa"/>
            <w:tcBorders>
              <w:top w:val="single" w:color="auto" w:sz="4" w:space="0"/>
              <w:left w:val="nil"/>
              <w:bottom w:val="single" w:color="auto" w:sz="4" w:space="0"/>
              <w:right w:val="single" w:color="auto" w:sz="4" w:space="0"/>
            </w:tcBorders>
            <w:noWrap/>
            <w:vAlign w:val="center"/>
          </w:tcPr>
          <w:p w14:paraId="5CA8586B">
            <w:pPr>
              <w:rPr>
                <w:rFonts w:hint="eastAsia" w:ascii="宋体" w:hAnsi="宋体" w:eastAsia="宋体" w:cs="宋体"/>
                <w:sz w:val="18"/>
                <w:szCs w:val="18"/>
                <w:lang w:eastAsia="zh-CN"/>
              </w:rPr>
            </w:pPr>
            <w:r>
              <w:rPr>
                <w:rFonts w:hint="eastAsia" w:ascii="宋体" w:hAnsi="宋体" w:eastAsia="宋体" w:cs="宋体"/>
                <w:sz w:val="18"/>
                <w:szCs w:val="18"/>
                <w:lang w:eastAsia="zh-CN"/>
              </w:rPr>
              <w:t>米东区机关事务管理中心2024年工作计划</w:t>
            </w:r>
          </w:p>
        </w:tc>
        <w:tc>
          <w:tcPr>
            <w:tcW w:w="1134" w:type="dxa"/>
            <w:tcBorders>
              <w:top w:val="single" w:color="auto" w:sz="4" w:space="0"/>
              <w:left w:val="nil"/>
              <w:bottom w:val="single" w:color="auto" w:sz="4" w:space="0"/>
              <w:right w:val="single" w:color="auto" w:sz="4" w:space="0"/>
            </w:tcBorders>
            <w:noWrap/>
            <w:vAlign w:val="center"/>
          </w:tcPr>
          <w:p w14:paraId="4154E041">
            <w:pPr>
              <w:jc w:val="center"/>
              <w:rPr>
                <w:rFonts w:hint="eastAsia" w:ascii="宋体" w:hAnsi="宋体" w:eastAsia="宋体" w:cs="宋体"/>
                <w:sz w:val="18"/>
                <w:szCs w:val="18"/>
              </w:rPr>
            </w:pPr>
            <w:r>
              <w:rPr>
                <w:rFonts w:hint="eastAsia" w:ascii="宋体" w:hAnsi="宋体" w:eastAsia="宋体" w:cs="宋体"/>
                <w:sz w:val="18"/>
                <w:szCs w:val="18"/>
              </w:rPr>
              <w:t>12次</w:t>
            </w:r>
          </w:p>
        </w:tc>
        <w:tc>
          <w:tcPr>
            <w:tcW w:w="992" w:type="dxa"/>
            <w:tcBorders>
              <w:top w:val="single" w:color="auto" w:sz="4" w:space="0"/>
              <w:left w:val="nil"/>
              <w:bottom w:val="single" w:color="auto" w:sz="4" w:space="0"/>
              <w:right w:val="single" w:color="auto" w:sz="4" w:space="0"/>
            </w:tcBorders>
            <w:noWrap/>
            <w:vAlign w:val="center"/>
          </w:tcPr>
          <w:p w14:paraId="702C0037">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single" w:color="auto" w:sz="4" w:space="0"/>
              <w:left w:val="nil"/>
              <w:bottom w:val="single" w:color="auto" w:sz="4" w:space="0"/>
              <w:right w:val="single" w:color="auto" w:sz="4" w:space="0"/>
            </w:tcBorders>
            <w:noWrap/>
            <w:vAlign w:val="center"/>
          </w:tcPr>
          <w:p w14:paraId="63113FAE">
            <w:pPr>
              <w:jc w:val="center"/>
              <w:rPr>
                <w:rFonts w:hint="eastAsia" w:ascii="宋体" w:hAnsi="宋体" w:eastAsia="宋体" w:cs="宋体"/>
                <w:sz w:val="18"/>
                <w:szCs w:val="18"/>
              </w:rPr>
            </w:pPr>
            <w:r>
              <w:rPr>
                <w:rFonts w:hint="eastAsia" w:ascii="宋体" w:hAnsi="宋体" w:eastAsia="宋体" w:cs="宋体"/>
                <w:sz w:val="18"/>
                <w:szCs w:val="18"/>
              </w:rPr>
              <w:t>30</w:t>
            </w:r>
          </w:p>
        </w:tc>
        <w:tc>
          <w:tcPr>
            <w:tcW w:w="284" w:type="dxa"/>
            <w:tcBorders>
              <w:top w:val="nil"/>
              <w:left w:val="nil"/>
              <w:bottom w:val="nil"/>
              <w:right w:val="nil"/>
            </w:tcBorders>
            <w:noWrap/>
            <w:vAlign w:val="center"/>
          </w:tcPr>
          <w:p w14:paraId="27C4E03C">
            <w:pPr>
              <w:jc w:val="center"/>
              <w:rPr>
                <w:rFonts w:hint="eastAsia" w:ascii="宋体" w:hAnsi="宋体" w:eastAsia="宋体" w:cs="宋体"/>
                <w:sz w:val="18"/>
                <w:szCs w:val="18"/>
              </w:rPr>
            </w:pPr>
          </w:p>
        </w:tc>
      </w:tr>
      <w:tr w14:paraId="43590AE1">
        <w:tblPrEx>
          <w:tblCellMar>
            <w:top w:w="0" w:type="dxa"/>
            <w:left w:w="108" w:type="dxa"/>
            <w:bottom w:w="0" w:type="dxa"/>
            <w:right w:w="108" w:type="dxa"/>
          </w:tblCellMar>
        </w:tblPrEx>
        <w:trPr>
          <w:trHeight w:val="740" w:hRule="atLeast"/>
        </w:trPr>
        <w:tc>
          <w:tcPr>
            <w:tcW w:w="7939" w:type="dxa"/>
            <w:gridSpan w:val="6"/>
            <w:tcBorders>
              <w:top w:val="single" w:color="auto" w:sz="4" w:space="0"/>
              <w:left w:val="single" w:color="auto" w:sz="4" w:space="0"/>
              <w:bottom w:val="single" w:color="auto" w:sz="4" w:space="0"/>
              <w:right w:val="single" w:color="auto" w:sz="4" w:space="0"/>
            </w:tcBorders>
            <w:noWrap/>
            <w:vAlign w:val="center"/>
          </w:tcPr>
          <w:p w14:paraId="6311D876">
            <w:pPr>
              <w:jc w:val="center"/>
              <w:rPr>
                <w:rFonts w:hint="eastAsia" w:ascii="宋体" w:hAnsi="宋体" w:eastAsia="宋体" w:cs="宋体"/>
                <w:sz w:val="18"/>
                <w:szCs w:val="18"/>
              </w:rPr>
            </w:pPr>
            <w:r>
              <w:rPr>
                <w:rFonts w:hint="eastAsia" w:ascii="宋体" w:hAnsi="宋体" w:eastAsia="宋体" w:cs="宋体"/>
                <w:sz w:val="18"/>
                <w:szCs w:val="18"/>
              </w:rPr>
              <w:t>总分</w:t>
            </w:r>
          </w:p>
        </w:tc>
        <w:tc>
          <w:tcPr>
            <w:tcW w:w="992" w:type="dxa"/>
            <w:tcBorders>
              <w:top w:val="single" w:color="auto" w:sz="4" w:space="0"/>
              <w:left w:val="nil"/>
              <w:bottom w:val="single" w:color="auto" w:sz="4" w:space="0"/>
              <w:right w:val="single" w:color="auto" w:sz="4" w:space="0"/>
            </w:tcBorders>
            <w:noWrap/>
            <w:vAlign w:val="center"/>
          </w:tcPr>
          <w:p w14:paraId="3EAA1FA7">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single" w:color="auto" w:sz="4" w:space="0"/>
              <w:left w:val="nil"/>
              <w:bottom w:val="single" w:color="auto" w:sz="4" w:space="0"/>
              <w:right w:val="single" w:color="auto" w:sz="4" w:space="0"/>
            </w:tcBorders>
            <w:noWrap/>
            <w:vAlign w:val="center"/>
          </w:tcPr>
          <w:p w14:paraId="1F8D1C04">
            <w:pPr>
              <w:jc w:val="center"/>
              <w:rPr>
                <w:rFonts w:hint="eastAsia" w:ascii="宋体" w:hAnsi="宋体" w:eastAsia="宋体" w:cs="宋体"/>
                <w:sz w:val="18"/>
                <w:szCs w:val="18"/>
              </w:rPr>
            </w:pPr>
            <w:r>
              <w:rPr>
                <w:rFonts w:hint="eastAsia" w:ascii="宋体" w:hAnsi="宋体" w:eastAsia="宋体" w:cs="宋体"/>
                <w:sz w:val="18"/>
                <w:szCs w:val="18"/>
              </w:rPr>
              <w:t>99.76</w:t>
            </w:r>
          </w:p>
        </w:tc>
        <w:tc>
          <w:tcPr>
            <w:tcW w:w="284" w:type="dxa"/>
            <w:tcBorders>
              <w:top w:val="nil"/>
              <w:left w:val="nil"/>
              <w:bottom w:val="nil"/>
              <w:right w:val="nil"/>
            </w:tcBorders>
            <w:noWrap/>
            <w:vAlign w:val="center"/>
          </w:tcPr>
          <w:p w14:paraId="037890D6">
            <w:pPr>
              <w:jc w:val="center"/>
              <w:rPr>
                <w:rFonts w:hint="eastAsia" w:ascii="宋体" w:hAnsi="宋体" w:eastAsia="宋体" w:cs="宋体"/>
                <w:sz w:val="18"/>
                <w:szCs w:val="18"/>
              </w:rPr>
            </w:pPr>
          </w:p>
        </w:tc>
      </w:tr>
      <w:bookmarkEnd w:id="13"/>
    </w:tbl>
    <w:p w14:paraId="6C78DB21">
      <w:pPr>
        <w:rPr>
          <w:rFonts w:hint="eastAsia" w:ascii="仿宋_GB2312" w:eastAsia="仿宋_GB2312"/>
          <w:sz w:val="32"/>
          <w:szCs w:val="32"/>
          <w:lang w:eastAsia="zh-CN"/>
        </w:rPr>
      </w:pPr>
      <w:r>
        <w:rPr>
          <w:sz w:val="0"/>
          <w:szCs w:val="0"/>
          <w:lang w:eastAsia="zh-CN"/>
        </w:rPr>
        <w:br w:type="page"/>
      </w:r>
    </w:p>
    <w:p w14:paraId="1F9DC2FA">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十二、其他需说明的事项</w:t>
      </w:r>
    </w:p>
    <w:p w14:paraId="024DC24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本单位无其他需说明事项。</w:t>
      </w:r>
    </w:p>
    <w:p w14:paraId="7C22958C">
      <w:pPr>
        <w:spacing w:after="0" w:line="240" w:lineRule="auto"/>
        <w:ind w:firstLine="640" w:firstLineChars="200"/>
        <w:rPr>
          <w:rFonts w:hint="eastAsia" w:ascii="仿宋_GB2312" w:eastAsia="仿宋_GB2312"/>
          <w:sz w:val="32"/>
          <w:szCs w:val="32"/>
          <w:lang w:eastAsia="zh-CN"/>
        </w:rPr>
      </w:pPr>
    </w:p>
    <w:p w14:paraId="55D01CD0">
      <w:pPr>
        <w:rPr>
          <w:rFonts w:hint="eastAsia"/>
          <w:lang w:eastAsia="zh-CN"/>
        </w:rPr>
      </w:pPr>
      <w:r>
        <w:rPr>
          <w:sz w:val="0"/>
          <w:szCs w:val="0"/>
          <w:lang w:eastAsia="zh-CN"/>
        </w:rPr>
        <w:br w:type="page"/>
      </w:r>
    </w:p>
    <w:p w14:paraId="2BEE3932">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第三部分 专业名词解释</w:t>
      </w:r>
    </w:p>
    <w:p w14:paraId="6D1500A3">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59C6665F">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2B523FC7">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0D65730A">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07FAED86">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4076EB92">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2D381B3A">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5C795C15">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6CE6D91">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284E28A5">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597A1B08">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3C6BDA9F">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10AEE200">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020E47B">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28EA0B4A">
      <w:pPr>
        <w:rPr>
          <w:rFonts w:hint="eastAsia"/>
          <w:lang w:eastAsia="zh-CN"/>
        </w:rPr>
      </w:pPr>
      <w:r>
        <w:rPr>
          <w:sz w:val="0"/>
          <w:szCs w:val="0"/>
          <w:lang w:eastAsia="zh-CN"/>
        </w:rPr>
        <w:br w:type="page"/>
      </w:r>
    </w:p>
    <w:p w14:paraId="35BFF019">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第四部分 部门决算报表（见附表）</w:t>
      </w:r>
    </w:p>
    <w:p w14:paraId="1F6ABD3C">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5CEA6B94">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二、《收入决算表》</w:t>
      </w:r>
    </w:p>
    <w:p w14:paraId="282E033B">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三、《支出决算表》</w:t>
      </w:r>
    </w:p>
    <w:p w14:paraId="083EA895">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66D60DCE">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3CDC8216">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72774F32">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66261CC2">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5F2A3862">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rsids>
    <w:rsidRoot w:val="00164477"/>
    <w:rsid w:val="00005E9D"/>
    <w:rsid w:val="00077169"/>
    <w:rsid w:val="000E7661"/>
    <w:rsid w:val="00164477"/>
    <w:rsid w:val="001C5A19"/>
    <w:rsid w:val="00431C05"/>
    <w:rsid w:val="007A73DE"/>
    <w:rsid w:val="00EB6916"/>
    <w:rsid w:val="00F24CC1"/>
    <w:rsid w:val="00F723A4"/>
    <w:rsid w:val="00F929A7"/>
    <w:rsid w:val="24885CFD"/>
    <w:rsid w:val="375E2D06"/>
    <w:rsid w:val="70446FAE"/>
    <w:rsid w:val="72F312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F5496"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472C4"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472C4"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472C4" w:themeColor="accent1"/>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4472C4" w:themeColor="accent1"/>
      <w:sz w:val="18"/>
      <w:szCs w:val="18"/>
    </w:rPr>
  </w:style>
  <w:style w:type="paragraph" w:styleId="8">
    <w:name w:val="footer"/>
    <w:basedOn w:val="1"/>
    <w:link w:val="24"/>
    <w:unhideWhenUsed/>
    <w:qFormat/>
    <w:uiPriority w:val="99"/>
    <w:pPr>
      <w:tabs>
        <w:tab w:val="center" w:pos="4153"/>
        <w:tab w:val="right" w:pos="8306"/>
      </w:tabs>
      <w:snapToGrid w:val="0"/>
      <w:spacing w:line="240" w:lineRule="auto"/>
    </w:pPr>
    <w:rPr>
      <w:sz w:val="18"/>
      <w:szCs w:val="18"/>
    </w:rPr>
  </w:style>
  <w:style w:type="paragraph" w:styleId="9">
    <w:name w:val="header"/>
    <w:basedOn w:val="1"/>
    <w:link w:val="17"/>
    <w:unhideWhenUsed/>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4472C4" w:themeColor="accent1"/>
      <w:spacing w:val="15"/>
      <w:sz w:val="24"/>
      <w:szCs w:val="24"/>
    </w:rPr>
  </w:style>
  <w:style w:type="paragraph" w:styleId="11">
    <w:name w:val="Title"/>
    <w:basedOn w:val="1"/>
    <w:next w:val="1"/>
    <w:link w:val="23"/>
    <w:qFormat/>
    <w:uiPriority w:val="10"/>
    <w:pPr>
      <w:pBdr>
        <w:bottom w:val="single" w:color="4472C4"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3">
    <w:name w:val="Table Grid"/>
    <w:basedOn w:val="12"/>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qFormat/>
    <w:uiPriority w:val="99"/>
    <w:rPr>
      <w:color w:val="0563C1" w:themeColor="hyperlink"/>
      <w:u w:val="single"/>
    </w:rPr>
  </w:style>
  <w:style w:type="character" w:customStyle="1" w:styleId="17">
    <w:name w:val="页眉 字符"/>
    <w:basedOn w:val="14"/>
    <w:link w:val="9"/>
    <w:qFormat/>
    <w:uiPriority w:val="99"/>
  </w:style>
  <w:style w:type="character" w:customStyle="1" w:styleId="18">
    <w:name w:val="标题 1 字符"/>
    <w:basedOn w:val="14"/>
    <w:link w:val="2"/>
    <w:qFormat/>
    <w:uiPriority w:val="9"/>
    <w:rPr>
      <w:rFonts w:asciiTheme="majorHAnsi" w:hAnsiTheme="majorHAnsi" w:eastAsiaTheme="majorEastAsia" w:cstheme="majorBidi"/>
      <w:b/>
      <w:bCs/>
      <w:color w:val="2F5496" w:themeColor="accent1" w:themeShade="BF"/>
      <w:sz w:val="28"/>
      <w:szCs w:val="28"/>
    </w:rPr>
  </w:style>
  <w:style w:type="character" w:customStyle="1" w:styleId="19">
    <w:name w:val="标题 2 字符"/>
    <w:basedOn w:val="14"/>
    <w:link w:val="3"/>
    <w:qFormat/>
    <w:uiPriority w:val="9"/>
    <w:rPr>
      <w:rFonts w:asciiTheme="majorHAnsi" w:hAnsiTheme="majorHAnsi" w:eastAsiaTheme="majorEastAsia" w:cstheme="majorBidi"/>
      <w:b/>
      <w:bCs/>
      <w:color w:val="4472C4" w:themeColor="accent1"/>
      <w:sz w:val="26"/>
      <w:szCs w:val="26"/>
    </w:rPr>
  </w:style>
  <w:style w:type="character" w:customStyle="1" w:styleId="20">
    <w:name w:val="标题 3 字符"/>
    <w:basedOn w:val="14"/>
    <w:link w:val="4"/>
    <w:qFormat/>
    <w:uiPriority w:val="9"/>
    <w:rPr>
      <w:rFonts w:asciiTheme="majorHAnsi" w:hAnsiTheme="majorHAnsi" w:eastAsiaTheme="majorEastAsia" w:cstheme="majorBidi"/>
      <w:b/>
      <w:bCs/>
      <w:color w:val="4472C4" w:themeColor="accent1"/>
    </w:rPr>
  </w:style>
  <w:style w:type="character" w:customStyle="1" w:styleId="21">
    <w:name w:val="标题 4 字符"/>
    <w:basedOn w:val="14"/>
    <w:link w:val="5"/>
    <w:qFormat/>
    <w:uiPriority w:val="9"/>
    <w:rPr>
      <w:rFonts w:asciiTheme="majorHAnsi" w:hAnsiTheme="majorHAnsi" w:eastAsiaTheme="majorEastAsia" w:cstheme="majorBidi"/>
      <w:b/>
      <w:bCs/>
      <w:i/>
      <w:iCs/>
      <w:color w:val="4472C4" w:themeColor="accent1"/>
    </w:rPr>
  </w:style>
  <w:style w:type="character" w:customStyle="1" w:styleId="22">
    <w:name w:val="副标题 字符"/>
    <w:basedOn w:val="14"/>
    <w:link w:val="10"/>
    <w:qFormat/>
    <w:uiPriority w:val="11"/>
    <w:rPr>
      <w:rFonts w:asciiTheme="majorHAnsi" w:hAnsiTheme="majorHAnsi" w:eastAsiaTheme="majorEastAsia" w:cstheme="majorBidi"/>
      <w:i/>
      <w:iCs/>
      <w:color w:val="4472C4" w:themeColor="accent1"/>
      <w:spacing w:val="15"/>
      <w:sz w:val="24"/>
      <w:szCs w:val="24"/>
    </w:rPr>
  </w:style>
  <w:style w:type="character" w:customStyle="1" w:styleId="23">
    <w:name w:val="标题 字符"/>
    <w:basedOn w:val="14"/>
    <w:link w:val="11"/>
    <w:qFormat/>
    <w:uiPriority w:val="10"/>
    <w:rPr>
      <w:rFonts w:asciiTheme="majorHAnsi" w:hAnsiTheme="majorHAnsi" w:eastAsiaTheme="majorEastAsia" w:cstheme="majorBidi"/>
      <w:color w:val="323E4F" w:themeColor="text2" w:themeShade="BF"/>
      <w:spacing w:val="5"/>
      <w:kern w:val="28"/>
      <w:sz w:val="52"/>
      <w:szCs w:val="52"/>
    </w:rPr>
  </w:style>
  <w:style w:type="character" w:customStyle="1" w:styleId="24">
    <w:name w:val="页脚 字符"/>
    <w:basedOn w:val="14"/>
    <w:link w:val="8"/>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8632</Words>
  <Characters>9366</Characters>
  <Lines>393</Lines>
  <Paragraphs>214</Paragraphs>
  <TotalTime>10</TotalTime>
  <ScaleCrop>false</ScaleCrop>
  <LinksUpToDate>false</LinksUpToDate>
  <CharactersWithSpaces>9375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2025-10-07T10:15:00Z</dcterms:created>
  <dc:creator>华为</dc:creator>
  <cp:lastModifiedBy>谢凤</cp:lastModifiedBy>
  <dcterms:modified xsi:type="dcterms:W3CDTF">2025-11-17T10:05:17Z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eyJoZGlkIjoiMWExYjI5YmI4NTg2YzA1MWY0Y2ZkOGYyMDM2NmExMGEiLCJ1c2VySWQiOiIxMTk3MDAxNzMxIn0=</vt:lpwstr>
  </property>
  <property fmtid="{D5CDD505-2E9C-101B-9397-08002B2CF9AE}" pid="3" name="KSOProductBuildVer">
    <vt:lpwstr>2052-12.1.0.23542</vt:lpwstr>
  </property>
  <property fmtid="{D5CDD505-2E9C-101B-9397-08002B2CF9AE}" pid="4" name="ICV">
    <vt:lpwstr>19FF1FC429124F60B41B1707A5E43B04_12</vt:lpwstr>
  </property>
</Properties>
</file>