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400D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406DA462">
      <w:pPr>
        <w:spacing w:line="540" w:lineRule="exact"/>
        <w:jc w:val="center"/>
        <w:rPr>
          <w:rFonts w:ascii="华文中宋" w:hAnsi="华文中宋" w:eastAsia="华文中宋" w:cs="宋体"/>
          <w:b/>
          <w:kern w:val="0"/>
          <w:sz w:val="52"/>
          <w:szCs w:val="52"/>
        </w:rPr>
      </w:pPr>
    </w:p>
    <w:p w14:paraId="04A4C4DD">
      <w:pPr>
        <w:spacing w:line="540" w:lineRule="exact"/>
        <w:jc w:val="center"/>
        <w:rPr>
          <w:rFonts w:ascii="华文中宋" w:hAnsi="华文中宋" w:eastAsia="华文中宋" w:cs="宋体"/>
          <w:b/>
          <w:kern w:val="0"/>
          <w:sz w:val="52"/>
          <w:szCs w:val="52"/>
        </w:rPr>
      </w:pPr>
    </w:p>
    <w:p w14:paraId="7FA89E77">
      <w:pPr>
        <w:spacing w:line="540" w:lineRule="exact"/>
        <w:jc w:val="center"/>
        <w:rPr>
          <w:rFonts w:ascii="华文中宋" w:hAnsi="华文中宋" w:eastAsia="华文中宋" w:cs="宋体"/>
          <w:b/>
          <w:kern w:val="0"/>
          <w:sz w:val="52"/>
          <w:szCs w:val="52"/>
        </w:rPr>
      </w:pPr>
    </w:p>
    <w:p w14:paraId="56203CB9">
      <w:pPr>
        <w:spacing w:line="540" w:lineRule="exact"/>
        <w:jc w:val="center"/>
        <w:rPr>
          <w:rFonts w:ascii="华文中宋" w:hAnsi="华文中宋" w:eastAsia="华文中宋" w:cs="宋体"/>
          <w:b/>
          <w:kern w:val="0"/>
          <w:sz w:val="52"/>
          <w:szCs w:val="52"/>
        </w:rPr>
      </w:pPr>
    </w:p>
    <w:p w14:paraId="7F19F647">
      <w:pPr>
        <w:spacing w:line="540" w:lineRule="exact"/>
        <w:jc w:val="center"/>
        <w:rPr>
          <w:rFonts w:ascii="华文中宋" w:hAnsi="华文中宋" w:eastAsia="华文中宋" w:cs="宋体"/>
          <w:b/>
          <w:kern w:val="0"/>
          <w:sz w:val="52"/>
          <w:szCs w:val="52"/>
        </w:rPr>
      </w:pPr>
    </w:p>
    <w:p w14:paraId="759CF2AC">
      <w:pPr>
        <w:spacing w:line="540" w:lineRule="exact"/>
        <w:jc w:val="center"/>
        <w:rPr>
          <w:rFonts w:ascii="华文中宋" w:hAnsi="华文中宋" w:eastAsia="华文中宋" w:cs="宋体"/>
          <w:b/>
          <w:kern w:val="0"/>
          <w:sz w:val="52"/>
          <w:szCs w:val="52"/>
        </w:rPr>
      </w:pPr>
    </w:p>
    <w:p w14:paraId="0197E9FE">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6E5EEAD7">
      <w:pPr>
        <w:spacing w:line="540" w:lineRule="exact"/>
        <w:jc w:val="center"/>
        <w:rPr>
          <w:rFonts w:ascii="华文中宋" w:hAnsi="华文中宋" w:eastAsia="华文中宋" w:cs="宋体"/>
          <w:b/>
          <w:kern w:val="0"/>
          <w:sz w:val="52"/>
          <w:szCs w:val="52"/>
        </w:rPr>
      </w:pPr>
    </w:p>
    <w:p w14:paraId="3872FD0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14:paraId="7B557BB1">
      <w:pPr>
        <w:spacing w:line="540" w:lineRule="exact"/>
        <w:jc w:val="center"/>
        <w:rPr>
          <w:rFonts w:hAnsi="宋体" w:eastAsia="仿宋_GB2312" w:cs="宋体"/>
          <w:kern w:val="0"/>
          <w:sz w:val="30"/>
          <w:szCs w:val="30"/>
        </w:rPr>
      </w:pPr>
    </w:p>
    <w:p w14:paraId="7F583A24">
      <w:pPr>
        <w:spacing w:line="540" w:lineRule="exact"/>
        <w:jc w:val="center"/>
        <w:rPr>
          <w:rFonts w:hAnsi="宋体" w:eastAsia="仿宋_GB2312" w:cs="宋体"/>
          <w:kern w:val="0"/>
          <w:sz w:val="30"/>
          <w:szCs w:val="30"/>
        </w:rPr>
      </w:pPr>
    </w:p>
    <w:p w14:paraId="6A0039DB">
      <w:pPr>
        <w:spacing w:line="540" w:lineRule="exact"/>
        <w:jc w:val="center"/>
        <w:rPr>
          <w:rFonts w:hAnsi="宋体" w:eastAsia="仿宋_GB2312" w:cs="宋体"/>
          <w:kern w:val="0"/>
          <w:sz w:val="30"/>
          <w:szCs w:val="30"/>
        </w:rPr>
      </w:pPr>
    </w:p>
    <w:p w14:paraId="1E33E707">
      <w:pPr>
        <w:spacing w:line="540" w:lineRule="exact"/>
        <w:jc w:val="center"/>
        <w:rPr>
          <w:rFonts w:hAnsi="宋体" w:eastAsia="仿宋_GB2312" w:cs="宋体"/>
          <w:kern w:val="0"/>
          <w:sz w:val="30"/>
          <w:szCs w:val="30"/>
        </w:rPr>
      </w:pPr>
    </w:p>
    <w:p w14:paraId="0A8410DC">
      <w:pPr>
        <w:spacing w:line="540" w:lineRule="exact"/>
        <w:jc w:val="center"/>
        <w:rPr>
          <w:rFonts w:hAnsi="宋体" w:eastAsia="仿宋_GB2312" w:cs="宋体"/>
          <w:kern w:val="0"/>
          <w:sz w:val="30"/>
          <w:szCs w:val="30"/>
        </w:rPr>
      </w:pPr>
    </w:p>
    <w:p w14:paraId="69A2CC09">
      <w:pPr>
        <w:spacing w:line="540" w:lineRule="exact"/>
        <w:jc w:val="center"/>
        <w:rPr>
          <w:rFonts w:hAnsi="宋体" w:eastAsia="仿宋_GB2312" w:cs="宋体"/>
          <w:kern w:val="0"/>
          <w:sz w:val="30"/>
          <w:szCs w:val="30"/>
        </w:rPr>
      </w:pPr>
    </w:p>
    <w:p w14:paraId="34B6A840">
      <w:pPr>
        <w:spacing w:line="540" w:lineRule="exact"/>
        <w:rPr>
          <w:rFonts w:hAnsi="宋体" w:eastAsia="仿宋_GB2312" w:cs="宋体"/>
          <w:kern w:val="0"/>
          <w:sz w:val="30"/>
          <w:szCs w:val="30"/>
        </w:rPr>
      </w:pPr>
    </w:p>
    <w:p w14:paraId="47389F3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6F7FCD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疫情防控支出(上年结转资金)</w:t>
      </w:r>
    </w:p>
    <w:p w14:paraId="4018363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乌鲁木齐市米东区柏杨河哈萨克民族乡人民政府</w:t>
      </w:r>
    </w:p>
    <w:p w14:paraId="3446EB3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乌鲁木齐市米东区柏杨河哈萨克民族乡人民政府</w:t>
      </w:r>
    </w:p>
    <w:p w14:paraId="79251EB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书瓦克</w:t>
      </w:r>
    </w:p>
    <w:p w14:paraId="61012A7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2025年05月09日</w:t>
      </w:r>
    </w:p>
    <w:p w14:paraId="09531A7A">
      <w:pPr>
        <w:spacing w:line="700" w:lineRule="exact"/>
        <w:ind w:firstLine="708" w:firstLineChars="236"/>
        <w:jc w:val="left"/>
        <w:rPr>
          <w:rFonts w:hAnsi="宋体" w:eastAsia="仿宋_GB2312" w:cs="宋体"/>
          <w:kern w:val="0"/>
          <w:sz w:val="30"/>
          <w:szCs w:val="30"/>
        </w:rPr>
      </w:pPr>
    </w:p>
    <w:p w14:paraId="0484E5DD">
      <w:pPr>
        <w:spacing w:line="540" w:lineRule="exact"/>
        <w:rPr>
          <w:rStyle w:val="18"/>
          <w:rFonts w:ascii="黑体" w:hAnsi="黑体" w:eastAsia="黑体"/>
          <w:b w:val="0"/>
          <w:spacing w:val="-4"/>
          <w:sz w:val="32"/>
          <w:szCs w:val="32"/>
        </w:rPr>
      </w:pPr>
    </w:p>
    <w:p w14:paraId="38651330">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0D0CF08">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06F0DF74">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1．项目背景、主要内容及实施情况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该项目实施背景：</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根据自治区财政厅《关于下达中央疫情防控财力补助预算的通知》（新财预〔2023〕29号）和乌财预〔2023〕15号《关于下达中央疫情防控财力补助预算的通知》，我单位实施了疫情防控支出项目。</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一是突发公共卫生事件应急响应的资金需求。疫情防控转运需求及保障隔离人员基本生活需求的现实需要，国家迅速启动应急响应机制，受疫情影响，公共交通暂停运营，常规运力难以满足大规模、高频次、高要求的人员转运任务。为实现感染者“应转尽转”、密接者“应隔尽隔”，阻断病毒传播链条，亟需通过租赁社会车辆组建专业化转运车队，保障疫情防控人员转运工作高效运转，这成为疫情防控体系中不可或缺的关键环节。在疫情防控工作中，隔离点作为阻断病毒传播的关键场所，需为大量隔离人员提供安全、稳定的生活环境。尤其在寒冷季节，有效的供暖设施，隔离人员的基本生活舒适度将受到严重影响，安装锅炉能够为隔离点集中供暖，满足基本生活需求，体现人文关怀，提升隔离人员的配合度与抗疫信心。这些应急防控措施的落地实施，必须以充足的资金保障为前提，疫情防控支出资金项目成为支撑防控体系运转的关键要素。</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二是保障民生与社会稳定的资金支撑。疫情期间，保障居民基本生活、维护社会稳定成为重要任务。为落实封控管理期间群众生活物资供应，需投入资金用于米面粮油等物资采购、运输与配送；孕产妇、急重症患者等特殊群体就医需求刻不容缓，而医护人员、防疫物资配送人员等需频繁往返于医院、隔离点、社区等重点区域。为避免交叉感染，保障特殊群体就医安全和防疫人员工作安全，需建立独立、闭环的运输通道。集中式锅炉供暖能够实现稳定、高效供热，还可通过独立管道设计，避免不同隔离区域间的空气流通交叉污染，同时满足公共区域消杀热水需求，进一步提升隔离点整体防疫水平，降低病毒传播风险，确保隔离点安全运行。</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三是破解区域运力不足难题的关键支撑与应对极端天气与突发状况的应急保障需求。部分地区受地理环境、交通基础设施限制，自身运力资源有限，难以应对疫情期间的大规模人员转运需求。此外，随着疫情防控政策动态调整，如重点区域全员核酸检测、集中隔离点紧急启用等工作，对区域间、城乡间的人员运输能力提出更高要求。通过疫情防控专项资金租赁外部车辆，能够快速补充区域运力缺口，优化资源配置，确保人员转运工作覆盖全域、及时响应，为疫情防控工作筑牢运力保障防线。极端天气（如寒潮、暴雪）可能导致常规供暖设施故障或电力供应中断，影响隔离点正常运转。安装锅炉作为备用供热系统，可在极端情况下为隔离点提供稳定热源，保障隔离人员和工作人员的基本生活秩序。此外，疫情防控形势复杂多变，隔离点可能因突发疫情快速启用，安装锅炉能够确保隔离点快速达到可使用状态，增强隔离点应急响应能力，为疫情防控工作提供坚实的后勤保障基础 。</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项目2024年的主要实施内容：①解决2022年疫情防控时租赁车的应付账款；②解决2022年疫情防控时隔离点安装锅炉及购买办公用品的应付账款;</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实际完成情况为：①疫情防控支出项目中，租赁货车的应付账款已完成结算，资金于2024年2月拨付到位，相关财务手续已全部办妥；②隔离点安装锅炉及购买办公用品的应付账款，目前已完成财务审核流程，2024年2月和12月完成款项支付。</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2.资金投入和使用情况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该项目资金投入情况：经【2023】15号号文件批准，项目系2023结转项目，共安排预算23.51万元，于2024年初部分预算批复项目，年初预算数23.51万元，全年预算数23.51万元，全年执行23.51万元。</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使用情况：该项目资金使用情况：①总预算情况：23.51万元；；②预算投入安排23.51万元，全部用于疫情防控支出项目，具体用于疫情期间隔离点安装锅炉，购买办公用品，转运人员租车费用，实际资金投入共计43.31万元（其中：2023年投入19.8万元，2024年投入23.51万元），用于项目疫情期间应急支出，因财政资金紧张，未能足额拨付；③预算执行率：100%。</w:t>
      </w:r>
    </w:p>
    <w:p w14:paraId="2A414D4F">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3CC2708">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该项目为跨年项目。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总体绩效目标：租赁车通过专项资金租赁符合防疫标准的车辆，在规定时间内完成专业转运车辆调配，确保密接人员、患者及防疫人员转运任务按时完成，实现转运流程闭环管理，降低交叉感染风险，提升疫情防控应急响应效率，保障疫情防控工作高效运转。安装锅炉在隔离点完成一台供暖锅炉及配套设施安装，确保供热系统全面覆盖隔离区域，实现隔离点室内温度达标，有效改善隔离人员及工作人员生活条件，提升隔离点防疫安全等级，为疫情防控提供稳定后勤保障。？购买办公用品按防疫工作需求采购口罩、消毒液、文件柜、电脑等办公用品，确保防疫工作点位物资及时、足量供应，保障防疫信息记录、数据统计、物资调配等工作顺利开展，助力疫情防控工作有序推进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阶段性目标为：①解决2022年疫情防控时租赁车的应付账款；②解决2022年疫情防控时隔离点安装锅炉及购买办公用品的应付账款;通过上述项目的协同实施，全面提升疫情防控综合保障能力，降低病毒传播风险，保障人民群众生命健康安全，维护社会秩序稳定，为打赢疫情防控阻击战提供坚实支撑，实现良好的社会效益与疫情防控长期效益。</w:t>
      </w:r>
    </w:p>
    <w:p w14:paraId="754FBE87">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ACC4D0E">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3BE20E7">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1.绩效评价完整性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首先，项目目标与资金投入的完整性。项目严格遵循国家疫情防控政策要求，围绕“阻断病毒传播、保障民生安全、恢复社会经济”核心目标，系统规划资金使用方向。在资金投入方面，全面覆盖防疫物资采购、隔离点建设运维、人员转运、医疗救治等关键领域，确保防控措施无遗漏。例如，针对隔离点安装锅炉项目，不仅包含设备采购与施工费用，还统筹考虑后期运维资金，避免因资金缺口导致项目中断；租赁车项目同步规划车辆租赁、消杀维护、驾驶员培训等全流程支出，实现资金使用与防控需求的完整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其次，项目实施过程的完整性。项目全流程管理，确保各环节规范有序。选定供应商，保障物资设备质量；执行过程中，建立进度跟踪机制，对锅炉安装、车辆租赁等重点任务设置阶段性验收节点，及时纠偏补漏；项目完成后，由第三方机构开展综合验收，涵盖工程质量、设备性能、资金合规性等多维度评估，确保项目实施闭环管理。此外，针对办公用品采购等高频次支出，建立动态物资台账，实时监控领用、消耗情况，避免资源浪费或供应脱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最后，绩效成果与社会效益的完整性。项目绩效评价不仅关注资金使用效率，更全面考量疫情防控综合效益。在直接成果方面，锅炉安装项目实现隔离点供暖覆盖率100%、租赁车项目完成转运任务、办公用品保障隔离点位高效运转，量化指标完成度达标。在社会效益层面，通过保障隔离人员基本生活、降低交叉感染风险、维持防疫工作秩序，间接推动民生稳定与社会信心恢复；同时，部分项目（如锅炉节能改造）产生长期经济效益，为后续应急保障积累经验，实现疫情防控短期成效与长期价值的完整统一。</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数据来源完整：资金支出根据《行政事业单位财务管理制度》、《行政事业单位经费支出范围》，通过米东区柏杨河哈萨克民族乡人民政府讨论，再通过国库集中支付一体化2.0平台进行申请资金。所有评价数据均来源于柏杨河乡相关部门和财务室，票据签字全部完整准确，收集了拨款凭证及相关疫情防控支出台账，评价数据准确、真实、完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2.评价目的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疫情防控项目的实施情况，并考察项目实施过程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3.评价对象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（1）绩效评价的对象：疫情防控支出项目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4.绩效评价范围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1.时间范围：2024年1月1日至2024年12月31日。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范围：疫情防控支出项目根据自治区财政厅《关于下达中央疫情防控财力补助预算的通知》（新财预〔2023〕29号）和乌财预〔2023〕15号文件实施，主要实施内容是使用疫情防控支出资金来解决2022年疫情防控时的应付账款。</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工作的开展情况：结合项目特点，制定符合项目实际的绩效评价指标体系及评分标准，通过数据采集、依据《财政支出绩效评价管理办法》等政策文件，结合疫情防控项目特点，细化评价指标体系，明确评价范围（资金、项目、时间、空间等）、评价方法（成本效益分析、对比分析法、公众满意度调查等）及工作流程等形式，对2024年疫情防控支出项目进行客观评价，单位在此次评价期间内，有序完成设定目标的全部工作任务及及时解决应付账款，最终评分结果为：绩效评级为“优”。</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项目实现的产出情况：该项目完成了2022年疫情期间的应付账款。</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取得的效益情况：该项目建成后，？保障群众生命健康安全通过租赁车辆完成密接人员、转运及时，有效阻断病毒传播链条；隔离点锅炉安装后，室内平均温度稳定，显著改善隔离人员生活条件，降低因寒冷引发的健康风险。同时，办公用品的充足供应确保隔离点位信息登记、物资调配等工作高效运转，保障防疫工作有序开展。？提升社会稳定与公众满意度，项目实施期间，未发生因转运延迟、供暖不足导致的群体性事件，群众对防疫服务的满意度调查达95%以上。隔离点环境的改善和防疫工作的高效推进，有效缓解公众恐慌情绪，增强社会对疫情防控工作的信任与支持。</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主要经验及做法：在保障防疫效果的同时，优先满足群众基本生活需求。如通过锅炉安装确保隔离点供暖稳定，配备充足办公用品保障信息登记与服务质量，提升隔离人员与防疫工作者的满意度，为疫情防控凝聚社会共识，应及时处理应付账款。</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存在的问题及原因分析：一是预算编制合理性有待提高。预算编制未能充分考虑单位实际情况，与中长期规划衔接不紧密，缺乏足够的科学性和前瞻性。二是部门整体绩效指标设置不合理，指标设定过于笼统或具体，缺乏可量化的关键指标，未能全面反映单位工作的实际效果和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项目构成：疫情防控支出覆盖全链条、多领域。前端涉及大规模核酸检测、流调溯源，中端聚焦医疗救治、防疫物资保供，后端包括隔离点运维、疫苗接种，同时涵盖公共卫生体系升级、防疫知识宣传等长期投入。资金用途以“生命至上”为核心，优先保障患者免费救治，确保确诊和疑似病例“应治尽治”；通过大规模采购口罩、防护服等物资和建设方舱医院、隔离点，快速构建防疫屏障；通过全民免费接种疫苗，构筑免疫防线。社会意义疫情防控支出为遏制疫情蔓延、降低重症与死亡率、保障社会经济秩序提供了坚实支撑，展现出政府在危机时刻的应急能力和民生担当。同时，这些投入也推动了医疗科技研发、公共卫生体系完善，为未来应对公共卫生事件积累了宝贵经验和资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结合项目特点，制定符合项目实际的绩效评价指标体系及评分标准，通过数据采集、问卷调查及访谈等形式，对2024年疫情防控支出进行客观评价，最终评分结果为：总分为100分，绩效评级为“优”。</w:t>
      </w:r>
    </w:p>
    <w:p w14:paraId="6761001D">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47A9E0C">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1.评价原则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（一）科学公正。绩效评价应当运用科学合理的方法，按照规范的程序，对项目绩效进行客观、公正的反映。</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（四）公开透明。绩效评价结果应依法依规公开，并自觉接受社会监督。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绩效评价指标体系作为衡量绩效目标实现程度的考核工具，一般遵循以下原则：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（1）相关性原则：绩效评价指标应当与绩效目标有直接的联系，能够恰当反映目标的实现程度。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（2）重要性原则：应当优先使用最具评价对象代表性、最能反映评价要求的核心指标。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（3）可比性原则：对同类评价对象要设定共性的绩效评价指标，以便于评价结果可以相互比较。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本项目的评价指标体系建立如下表所示。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项目支出绩效评价指标体系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指标解释</w:t>
      </w:r>
      <w:r>
        <w:rPr>
          <w:rStyle w:val="18"/>
          <w:rFonts w:hint="eastAsia" w:eastAsia="楷体"/>
          <w:b w:val="0"/>
          <w:bCs w:val="0"/>
          <w:spacing w:val="-4"/>
          <w:sz w:val="32"/>
          <w:szCs w:val="32"/>
        </w:rPr>
        <w:tab/>
        <w:t>指标说明</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充分性</w:t>
      </w:r>
      <w:r>
        <w:rPr>
          <w:rStyle w:val="18"/>
          <w:rFonts w:hint="eastAsia" w:eastAsia="楷体"/>
          <w:b w:val="0"/>
          <w:bCs w:val="0"/>
          <w:spacing w:val="-4"/>
          <w:sz w:val="32"/>
          <w:szCs w:val="32"/>
        </w:rPr>
        <w:tab/>
        <w:t>项目立项是否符合法律法规、相关政策、发展规划以及部门职责，用以反映和考核项目立项依据情况。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①项目立项是否符合国家法律法规、国民经济发展规划和相关政策；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②项目立项是否符合行业发展规划和政策要求；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③项目立项是否与部门职责范围相符，属于部门履职所需；</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④项目是否属于公共财政支持范围，是否符合中央、地方事权支出责任划分原则；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⑤项目是否与相关部门同类项目或部门内部相关项目重复。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规范性</w:t>
      </w:r>
      <w:r>
        <w:rPr>
          <w:rStyle w:val="18"/>
          <w:rFonts w:hint="eastAsia" w:eastAsia="楷体"/>
          <w:b w:val="0"/>
          <w:bCs w:val="0"/>
          <w:spacing w:val="-4"/>
          <w:sz w:val="32"/>
          <w:szCs w:val="32"/>
        </w:rPr>
        <w:tab/>
        <w:t>项目申请、设立过程是否符合相关要求，用以反映和考核项目立项的规范情况。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①项目是否按照规定的程序申请设立；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②审批文件、材料是否符合相关要求；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③事前是否已经过必要的可行性研究、专家论证、风险评估、绩效评估、集体决策。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（如未设定预算绩效目标，也可考核其他工作任务目标）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①项目是否有绩效目标；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②项目绩效目标与实际工作内容是否具有相关性；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③项目预期产出效益和效果是否符合正常的业绩水平；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④是否与预算确定的项目投资额或资金量相匹配。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明确性</w:t>
      </w:r>
      <w:r>
        <w:rPr>
          <w:rStyle w:val="18"/>
          <w:rFonts w:hint="eastAsia" w:eastAsia="楷体"/>
          <w:b w:val="0"/>
          <w:bCs w:val="0"/>
          <w:spacing w:val="-4"/>
          <w:sz w:val="32"/>
          <w:szCs w:val="32"/>
        </w:rPr>
        <w:tab/>
        <w:t>依据绩效目标设定的绩效指标是否清晰、细化、可衡量等，用以反映和考核项目绩效目标的明细化情况。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①是否将项目绩效目标细化分解为具体的绩效指标；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②是否通过清晰、可衡量的指标值予以体现；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③是否与项目目标任务数或计划数相对应。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科学性</w:t>
      </w:r>
      <w:r>
        <w:rPr>
          <w:rStyle w:val="18"/>
          <w:rFonts w:hint="eastAsia"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①预算编制是否经过科学论证；</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②预算内容与项目内容是否匹配；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③预算额度测算依据是否充分，是否按照标准编制；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④预算确定的项目投资额或资金量是否与工作任务相匹配。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①预算资金分配依据是否充分；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②资金分配额度是否合理，与项目单位或地方实际是否相适应。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实际到位资金与预算资金的比率，用以反映和考核资金落实情况对项目实施的总体保障程度。</w:t>
      </w:r>
      <w:r>
        <w:rPr>
          <w:rStyle w:val="18"/>
          <w:rFonts w:hint="eastAsia" w:eastAsia="楷体"/>
          <w:b w:val="0"/>
          <w:bCs w:val="0"/>
          <w:spacing w:val="-4"/>
          <w:sz w:val="32"/>
          <w:szCs w:val="32"/>
        </w:rPr>
        <w:tab/>
        <w:t>资金到位率=（实际到位资金/预算资金）×100%。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实际到位资金：一定时期（本年度或项目期）内落实到具体项目的资金。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预算资金：一定时期（本年度或项目期）内预算安排到具体项目的资金。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项目预算资金是否按照计划执行，用以反映或考核项目预算执行情况。</w:t>
      </w:r>
      <w:r>
        <w:rPr>
          <w:rStyle w:val="18"/>
          <w:rFonts w:hint="eastAsia" w:eastAsia="楷体"/>
          <w:b w:val="0"/>
          <w:bCs w:val="0"/>
          <w:spacing w:val="-4"/>
          <w:sz w:val="32"/>
          <w:szCs w:val="32"/>
        </w:rPr>
        <w:tab/>
        <w:t>预算执行率=（实际支出资金/实际到位资金）×100%。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实际支出资金：一定时期（本年度或项目期）内项目实际拨付的资金。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资金使用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合规性</w:t>
      </w:r>
      <w:r>
        <w:rPr>
          <w:rStyle w:val="18"/>
          <w:rFonts w:hint="eastAsia" w:eastAsia="楷体"/>
          <w:b w:val="0"/>
          <w:bCs w:val="0"/>
          <w:spacing w:val="-4"/>
          <w:sz w:val="32"/>
          <w:szCs w:val="32"/>
        </w:rPr>
        <w:tab/>
        <w:t>项目资金使用是否符合相关的财务管理制度规定，用以反映和考核项目资金的规范运行情况。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①是否符合国家财经法规和财务管理制度以及有关专项资金管理办法的规定；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②资金的拨付是否有完整的审批程序和手续；</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③是否符合项目预算批复或合同规定的用途；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④是否存在截留、挤占、挪用、虚列支出等情况。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健全性</w:t>
      </w:r>
      <w:r>
        <w:rPr>
          <w:rStyle w:val="18"/>
          <w:rFonts w:hint="eastAsia"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①是否已制定或具有相应的财务和业务管理制度；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②财务和业务管理制度是否合法、合规、完整。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有效性</w:t>
      </w:r>
      <w:r>
        <w:rPr>
          <w:rStyle w:val="18"/>
          <w:rFonts w:hint="eastAsia" w:eastAsia="楷体"/>
          <w:b w:val="0"/>
          <w:bCs w:val="0"/>
          <w:spacing w:val="-4"/>
          <w:sz w:val="32"/>
          <w:szCs w:val="32"/>
        </w:rPr>
        <w:tab/>
        <w:t>项目实施是否符合相关管理规定，用以反映和考核相关管理制度的有效执行情况。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①是否遵守相关法律法规和相关管理规定；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②项目调整及支出调整手续是否完备；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③项目合同书、验收报告、技术鉴定等资料是否齐全并及时归档；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④项目实施的人员条件、场地设备、信息支撑等是否落实到位。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产出数量</w:t>
      </w:r>
      <w:r>
        <w:rPr>
          <w:rStyle w:val="18"/>
          <w:rFonts w:hint="eastAsia" w:eastAsia="楷体"/>
          <w:b w:val="0"/>
          <w:bCs w:val="0"/>
          <w:spacing w:val="-4"/>
          <w:sz w:val="32"/>
          <w:szCs w:val="32"/>
        </w:rPr>
        <w:tab/>
        <w:t>疫情防控应付账款笔数</w:t>
      </w:r>
      <w:r>
        <w:rPr>
          <w:rStyle w:val="18"/>
          <w:rFonts w:hint="eastAsia" w:eastAsia="楷体"/>
          <w:b w:val="0"/>
          <w:bCs w:val="0"/>
          <w:spacing w:val="-4"/>
          <w:sz w:val="32"/>
          <w:szCs w:val="32"/>
        </w:rPr>
        <w:tab/>
        <w:t>疫情防控相关工作及项目开展过程中，产生的应付账款数量统计</w:t>
      </w:r>
      <w:r>
        <w:rPr>
          <w:rStyle w:val="18"/>
          <w:rFonts w:hint="eastAsia" w:eastAsia="楷体"/>
          <w:b w:val="0"/>
          <w:bCs w:val="0"/>
          <w:spacing w:val="-4"/>
          <w:sz w:val="32"/>
          <w:szCs w:val="32"/>
        </w:rPr>
        <w:tab/>
        <w:t>实际完成率=（实际产出数/计划产出数）×100%。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实际产出数：一定时期（本年度或项目期）内项目实际产出的产品或提供的服务数量。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计划产出数：项目绩效目标确定的在一定时期（本年度或项目期）内计划产出的产品或提供的服务数量。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资金拨付准确率</w:t>
      </w:r>
      <w:r>
        <w:rPr>
          <w:rStyle w:val="18"/>
          <w:rFonts w:hint="eastAsia" w:eastAsia="楷体"/>
          <w:b w:val="0"/>
          <w:bCs w:val="0"/>
          <w:spacing w:val="-4"/>
          <w:sz w:val="32"/>
          <w:szCs w:val="32"/>
        </w:rPr>
        <w:tab/>
        <w:t>疫情防控支出项目资金按时拨付</w:t>
      </w:r>
      <w:r>
        <w:rPr>
          <w:rStyle w:val="18"/>
          <w:rFonts w:hint="eastAsia" w:eastAsia="楷体"/>
          <w:b w:val="0"/>
          <w:bCs w:val="0"/>
          <w:spacing w:val="-4"/>
          <w:sz w:val="32"/>
          <w:szCs w:val="32"/>
        </w:rPr>
        <w:tab/>
        <w:t>资金拨付准确率=（实际及时拨付资金额/应拨付资金额）×100%。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资金使用合格率=（合格资金使用额/资金使用总额）×100%。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资金使用合格率</w:t>
      </w:r>
      <w:r>
        <w:rPr>
          <w:rStyle w:val="18"/>
          <w:rFonts w:hint="eastAsia" w:eastAsia="楷体"/>
          <w:b w:val="0"/>
          <w:bCs w:val="0"/>
          <w:spacing w:val="-4"/>
          <w:sz w:val="32"/>
          <w:szCs w:val="32"/>
        </w:rPr>
        <w:tab/>
        <w:t>疫情防控支出项目资金使用合格</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资金拨付及时率（%）</w:t>
      </w:r>
      <w:r>
        <w:rPr>
          <w:rStyle w:val="18"/>
          <w:rFonts w:hint="eastAsia" w:eastAsia="楷体"/>
          <w:b w:val="0"/>
          <w:bCs w:val="0"/>
          <w:spacing w:val="-4"/>
          <w:sz w:val="32"/>
          <w:szCs w:val="32"/>
        </w:rPr>
        <w:tab/>
        <w:t>2024年完成疫情防控支出资金按时拨付</w:t>
      </w:r>
      <w:r>
        <w:rPr>
          <w:rStyle w:val="18"/>
          <w:rFonts w:hint="eastAsia" w:eastAsia="楷体"/>
          <w:b w:val="0"/>
          <w:bCs w:val="0"/>
          <w:spacing w:val="-4"/>
          <w:sz w:val="32"/>
          <w:szCs w:val="32"/>
        </w:rPr>
        <w:tab/>
        <w:t>实际完成时间：项目实施单位完成该项目实际所耗用的时间。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计划完成时间：按照项目实施计划或相关规定完成该项目所需的时间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预算控制率</w:t>
      </w:r>
      <w:r>
        <w:rPr>
          <w:rStyle w:val="18"/>
          <w:rFonts w:hint="eastAsia" w:eastAsia="楷体"/>
          <w:b w:val="0"/>
          <w:bCs w:val="0"/>
          <w:spacing w:val="-4"/>
          <w:sz w:val="32"/>
          <w:szCs w:val="32"/>
        </w:rPr>
        <w:tab/>
        <w:t>2024年项目支出预算控制</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成本节约率=100%。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实际成本：项目实施单位如期、保质、保量完成既定工作目标实际所耗费的支出。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计划成本：项目预算为23.51万元，2024年单位完成目标计划支出23.51万元。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w:t>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保障社会稳定</w:t>
      </w:r>
      <w:r>
        <w:rPr>
          <w:rStyle w:val="18"/>
          <w:rFonts w:hint="eastAsia" w:eastAsia="楷体"/>
          <w:b w:val="0"/>
          <w:bCs w:val="0"/>
          <w:spacing w:val="-4"/>
          <w:sz w:val="32"/>
          <w:szCs w:val="32"/>
        </w:rPr>
        <w:tab/>
        <w:t>项目实施所产生的效益。</w:t>
      </w:r>
      <w:r>
        <w:rPr>
          <w:rStyle w:val="18"/>
          <w:rFonts w:hint="eastAsia" w:eastAsia="楷体"/>
          <w:b w:val="0"/>
          <w:bCs w:val="0"/>
          <w:spacing w:val="-4"/>
          <w:sz w:val="32"/>
          <w:szCs w:val="32"/>
        </w:rPr>
        <w:tab/>
        <w:t>项目实施所产生的社会效益，完成了设定目标的全部工作任务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保障项目顺利实施</w:t>
      </w:r>
      <w:r>
        <w:rPr>
          <w:rStyle w:val="18"/>
          <w:rFonts w:hint="eastAsia" w:eastAsia="楷体"/>
          <w:b w:val="0"/>
          <w:bCs w:val="0"/>
          <w:spacing w:val="-4"/>
          <w:sz w:val="32"/>
          <w:szCs w:val="32"/>
        </w:rPr>
        <w:tab/>
        <w:t/>
      </w:r>
      <w:r>
        <w:rPr>
          <w:rStyle w:val="18"/>
          <w:rFonts w:hint="eastAsia" w:eastAsia="楷体"/>
          <w:b w:val="0"/>
          <w:bCs w:val="0"/>
          <w:spacing w:val="-4"/>
          <w:sz w:val="32"/>
          <w:szCs w:val="32"/>
        </w:rPr>
        <w:tab/>
        <w:t>项目实施所产生的社会效益，及时处理应付账款</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群众满意度</w:t>
      </w:r>
      <w:r>
        <w:rPr>
          <w:rStyle w:val="18"/>
          <w:rFonts w:hint="eastAsia" w:eastAsia="楷体"/>
          <w:b w:val="0"/>
          <w:bCs w:val="0"/>
          <w:spacing w:val="-4"/>
          <w:sz w:val="32"/>
          <w:szCs w:val="32"/>
        </w:rPr>
        <w:tab/>
        <w:t>社会公众或服务对象对项目实施效果的满意程度。</w:t>
      </w:r>
      <w:r>
        <w:rPr>
          <w:rStyle w:val="18"/>
          <w:rFonts w:hint="eastAsia" w:eastAsia="楷体"/>
          <w:b w:val="0"/>
          <w:bCs w:val="0"/>
          <w:spacing w:val="-4"/>
          <w:sz w:val="32"/>
          <w:szCs w:val="32"/>
        </w:rPr>
        <w:tab/>
        <w:t>社会公众或服务对象是指因该项目实施而受到影响的部门（单位）、群体或个人。一般采取社会调查的方式。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（1）成本效益分析法。是指将投入与产出、效益进行关联性分析的方法。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（2）比较法。是指将实施情况与绩效目标、历史情况、不同部门和地区同类支出情况进行比较的方法。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（3）因素分析法。是指综合分析影响绩效目标实现、实施效果的内外部因素的方法。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（4）最低成本法。是指在绩效目标确定的前提下，成本最小者为优的方法。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（5）公众评判法。是指通过专家评估、公众问卷及抽样调查等方式进行评判的方法。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（6）标杆管理法。是指以国内外同行业中较高的绩效水平为标杆进行评判的方法。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（7）其他评价方法。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根据本项目（疫情防控支出项目）特点，本次评价主要采用成本效益分析法和公众评判法，对项目总预算和明细预算的内容、标准、计划是否经济合理进行深入分析，以考察实际产出和效益是否达到预期。</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绩效评价标准主要包括计划标准、行业标准、历史标准等，用于对绩效指标完成情况进行比较。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（1）计划标准。指以预先制定的目标、计划、预算、定额等作为评价标准。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（2）行业标准。指参照国家公布的行业指标数据制定的评价标准。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在上述评价标准的基础上，本次评价依据以下文件为重要指导和准绳：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·《中共中央国务院关于全面实施预算绩效管理的意见》（中发〔2018〕34号）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·《关于印发&lt;乌鲁木齐市本级部门预算绩效目标管理暂行办法&gt;的通知》（乌财预〔2018〕56号）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·《关于做好2019年部门预算项目支出绩效目标管理有关事宜的通知》（乌财预〔2018〕76号）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·《项目支出绩效评价管理办法》（财预〔2020〕10号）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自治区财政厅《关于下达中央疫情防控财力补助预算的通知》（新财预〔2023〕29号）；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乌财预〔2023〕15号《关于下达中央疫情防控财力补助预算的通知》；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柏杨河乡党委2022年第39次党委扩大会会议纪要。</w:t>
      </w:r>
    </w:p>
    <w:p w14:paraId="699C4941">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196B70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EDE58FC">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33EC456">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制定符合项目实际的绩效评价指标体系及评分标准，通过数据采集、问卷调查及访谈等形式，对2024年疫情防控支出进行客观评价，最终评分结果为：总分为100分，绩效评级为“优”[本次绩效评价结果实施百分制和四级分类，其中90（含）-100分为优、80（含）-90分为良、70（含）-80分为中、70分以下为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疫情防控支出项目各部分权重和绩效分值如附表所示：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项目各部分权重和绩效分值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分值</w:t>
      </w:r>
      <w:r>
        <w:rPr>
          <w:rStyle w:val="18"/>
          <w:rFonts w:hint="eastAsia" w:eastAsia="楷体"/>
          <w:b w:val="0"/>
          <w:bCs w:val="0"/>
          <w:spacing w:val="-4"/>
          <w:sz w:val="32"/>
          <w:szCs w:val="32"/>
        </w:rPr>
        <w:tab/>
        <w:t>得分</w:t>
      </w:r>
      <w:r>
        <w:rPr>
          <w:rStyle w:val="18"/>
          <w:rFonts w:hint="eastAsia" w:eastAsia="楷体"/>
          <w:b w:val="0"/>
          <w:bCs w:val="0"/>
          <w:spacing w:val="-4"/>
          <w:sz w:val="32"/>
          <w:szCs w:val="32"/>
        </w:rPr>
        <w:tab/>
        <w:t>得分率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立项依据充分性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立项程序规范性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绩效指标明确性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预算编制科学性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资金使用合规性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管理制度健全性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制度执行有效性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产出数量</w:t>
      </w:r>
      <w:r>
        <w:rPr>
          <w:rStyle w:val="18"/>
          <w:rFonts w:hint="eastAsia" w:eastAsia="楷体"/>
          <w:b w:val="0"/>
          <w:bCs w:val="0"/>
          <w:spacing w:val="-4"/>
          <w:sz w:val="32"/>
          <w:szCs w:val="32"/>
        </w:rPr>
        <w:tab/>
        <w:t>疫情防控应付账款笔数</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资金拨付准确率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资金使用合格率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资金拨付及时率（%）</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预算控制率</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w:t>
      </w:r>
      <w:r>
        <w:rPr>
          <w:rStyle w:val="18"/>
          <w:rFonts w:hint="eastAsia" w:eastAsia="楷体"/>
          <w:b w:val="0"/>
          <w:bCs w:val="0"/>
          <w:spacing w:val="-4"/>
          <w:sz w:val="32"/>
          <w:szCs w:val="32"/>
        </w:rPr>
        <w:tab/>
        <w:t>项目效益</w:t>
      </w:r>
      <w:r>
        <w:rPr>
          <w:rStyle w:val="18"/>
          <w:rFonts w:hint="eastAsia" w:eastAsia="楷体"/>
          <w:b w:val="0"/>
          <w:bCs w:val="0"/>
          <w:spacing w:val="-4"/>
          <w:sz w:val="32"/>
          <w:szCs w:val="32"/>
        </w:rPr>
        <w:tab/>
        <w:t>保障社会稳定</w:t>
      </w:r>
      <w:r>
        <w:rPr>
          <w:rStyle w:val="18"/>
          <w:rFonts w:hint="eastAsia" w:eastAsia="楷体"/>
          <w:b w:val="0"/>
          <w:bCs w:val="0"/>
          <w:spacing w:val="-4"/>
          <w:sz w:val="32"/>
          <w:szCs w:val="32"/>
        </w:rPr>
        <w:tab/>
        <w:t>8</w:t>
      </w:r>
      <w:r>
        <w:rPr>
          <w:rStyle w:val="18"/>
          <w:rFonts w:hint="eastAsia" w:eastAsia="楷体"/>
          <w:b w:val="0"/>
          <w:bCs w:val="0"/>
          <w:spacing w:val="-4"/>
          <w:sz w:val="32"/>
          <w:szCs w:val="32"/>
        </w:rPr>
        <w:tab/>
        <w:t>8</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保障项目顺利实施</w:t>
      </w:r>
      <w:r>
        <w:rPr>
          <w:rStyle w:val="18"/>
          <w:rFonts w:hint="eastAsia" w:eastAsia="楷体"/>
          <w:b w:val="0"/>
          <w:bCs w:val="0"/>
          <w:spacing w:val="-4"/>
          <w:sz w:val="32"/>
          <w:szCs w:val="32"/>
        </w:rPr>
        <w:tab/>
        <w:t>7</w:t>
      </w:r>
      <w:r>
        <w:rPr>
          <w:rStyle w:val="18"/>
          <w:rFonts w:hint="eastAsia" w:eastAsia="楷体"/>
          <w:b w:val="0"/>
          <w:bCs w:val="0"/>
          <w:spacing w:val="-4"/>
          <w:sz w:val="32"/>
          <w:szCs w:val="32"/>
        </w:rPr>
        <w:tab/>
        <w:t>7</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群众满意度</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（二）主要绩效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资金区财政未能及时拨付，但设定目标的全部工作任务均已完成，①解决2022年疫情防控时租赁车的应付账款；②解决2022年疫情防控时隔离点安装锅炉及购买办公用品的应付账款;完成了设定目标的全部工作任务，解决了2022年疫情防控租赁车的应付账款，保障了疫情防控期间运输等工作的资金支付，确保相关防控工作的正常运转，还解决了隔离点安装锅炉及购买办公用品的应付账款，为隔离点基本生活保障和办公秩序提供了资金支持，保障隔离点的有效运作，助力疫情防控工作开展。及时处理应付账款，避免因账款拖欠可能带来的财务风险和纠纷，有助于维持良好的财务秩序和合作关系。</w:t>
      </w:r>
    </w:p>
    <w:p w14:paraId="6B4C52A6">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FA577D1">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D689EB5">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项目决策指标由3个二级指标和6个三级指标构成，权重为20分，实际得分20分。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1.项目立项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依据充分性：自治区财政厅《关于下达中央疫情防控财力补助预算的通知》（新财预〔2023〕29号）乌财预〔2023〕15号文件项目立项符合国家法律法规、政策要求。同时，项目与部门职责范围相符，属于部门履职所需。此外，本项目属于公共财政支持范围，符合中央、地方事权支出责任划分原则。因此，立项依据充分，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 项目按照规定的程序申请设立，审批文件、材料符合相关要求，故立项程序规范，得4分。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综上，该指标满分8分，得分8分。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明确性：项目的实施在解决2022年疫情期间的应付款。其中，目标已细化为具体的绩效指标，可通过数量指标、质量指标、时效指标、经济成本指标、社会效益指标以量化，并具有确切的评价标准，且指标设定均与目标相关。各项指标均能在现实条件下收集到相关数据进行佐证材料，并与跨年项目年度计划相对应，故绩效目标明确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3.资金投入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编制科学性：本项目的预算编制主要依据自治区财政厅《关于下达中央疫情防控财力补助预算的通知》（新财预〔2023〕29号）乌财预〔2023〕15号文件，且根据该项目疫情期间的应付款，经过科学论证，预算内容与项目内容完全匹配，预算额度测算依据合理充分，按照标准编制，预算确定的项目投资和资金量与工作任务相匹配，合理预算了工程造价，并申请了中央财政农村综合改革的专项资金。故预算编制科学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 该项目预算资金分配有测算依据，与疫情防控支出实际情况相适应，该项目资金由财政拨付43.31万，在2023年12月到位19.8万，在2024年2月到位23.5万，在2024年12月到位,0.00092万，资金直接支付到工程承包方，项目预算资金分配的科学合理，确保项目的每项内容都能够顺利完成。故资金分配合理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tab/>
      </w:r>
    </w:p>
    <w:p w14:paraId="45E41315">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E599BE3">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项目过程指标由2个二级指标和5个三级指标构成，权重为20分，实际得分20分。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1.资金管理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资金到位率： 依据本单位预算2.0系统内的项目库信息，该项目资金由财政拨付23.51万，在2024年2月，12月到位，资金直接支付到工程承包方，资金到位率为100%，故资金到位率指标得分5分。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预算执行率：本项目资金支付方式为国库集中支付，由财政直接拨付23.51万，于2024年2月，12月全额支付给工程承包方新疆通汇建设集团有限公司，预算执行率100%，故预算执行率得分为5分。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本项目资金的使用符合《新疆维吾尔自治区预算内投资项目管理办法》和《乌鲁木齐市财政专项资金使用跟踪反馈管理办法》的管理制度以及《关于提前下达2023年自治区农村综合改革转移支付预算资金的通知》的规定。同时，资金的拨付有规范的审批程序，需要我镇召开党委会议研究决定，符合项目预算批复和合同规定的用途，不存在截留、挤占、挪用、虚列支出等情况。故资金使用合规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综上，该指标满分13分，得分13分。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2.组织实施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管理制度健全性：我乡制定的《米东区柏杨河乡合同档案及纠纷管理制度》、《米东区柏杨河乡绩效管理评价流程图》、《米东区柏杨河乡收入管理领域流程图》、《米东区柏杨河乡资金支付程序》</w:t>
      </w:r>
      <w:bookmarkStart w:id="0" w:name="_GoBack"/>
      <w:bookmarkEnd w:id="0"/>
      <w:r>
        <w:rPr>
          <w:rStyle w:val="18"/>
          <w:rFonts w:hint="eastAsia" w:eastAsia="楷体"/>
          <w:b w:val="0"/>
          <w:bCs w:val="0"/>
          <w:spacing w:val="-4"/>
          <w:sz w:val="32"/>
          <w:szCs w:val="32"/>
        </w:rPr>
        <w:t>以及《乌鲁木齐市财政专项资金使用跟踪反馈管理办法》的管理制度，且制度合法、合规、完整，为项目顺利实施提供重要保障。故管理制度健全性得分为3分。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根据评价小组核查情况，我镇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综上，该指标满分7分，得分7分。</w:t>
      </w:r>
    </w:p>
    <w:p w14:paraId="560B7DC6">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37CFB4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项目产出指标由4个二级指标和5个三级指标构成，权重为40分，实际得分40分。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1.产出数量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数量指标“疫情防控应付账款笔数”的目标值是=10笔，2024年度我单位实际完成10笔，原因是该项目较好的完成了所有应付款，实际完成率：100%，故实际完成率得分为10分。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综上，数量指标得分为10分。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2.产出质量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质量指标“资金拨付准确率”的目标值为&gt;=100%。项目完工后，财政局项目资金按时拨款，及时处理2022年疫情期间的应付款，该项目所有资金符合标准，及时拨付。故项目资金拨付准确率得分为5 分。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质量指标“资金使用合格率”的目标值为&gt;=100%。本单位严格落实专款专用制度，资金使用的合规及及时处理2022年疫情期间的应付款，该项目所有资金使用合规。故项目资金使用合格率得分为5分。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综上，质量指标得分为10分。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3.产出时效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时效指标“资金拨付及时率（%）”的目标值为&lt;=100%。该项目严格按照实施方案、资金及时拨付按时完成账面应付款。故项目资金拨付及时率（%）得分为10分。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4.产出成本</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经济成本指标“预算控制率”的目标值是&lt;=100%，2024年度我单位实际支付23.51万元，原因是该项目预算控制率100%，实际完成率：100%，故得分为10分。综上，经济成本指标得分为10分。</w:t>
      </w:r>
    </w:p>
    <w:p w14:paraId="1709D22A">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B34E21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项目效益指标由1个二级指标和2个三级指标构成，权重为15分，实际得分15分。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1.实施效益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经济效益指标：不适用。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社会效益指标：评价指标“保障社会稳定”，指标值：有效保障，实际完成值：完全达到预期效果。本项目的实施解决了2022年疫情期间应付账款，故得分为8分。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评价指标“保障项目顺利实施”指标值：有效保障，实际完成值：完全达到预期效果。本项目的实施解决了2022年疫情期间应付账款顺利完成这项项目，故得分为7分。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生态效益指标：不适用。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综上，该指标满分15分，得分15分。</w:t>
      </w:r>
    </w:p>
    <w:p w14:paraId="41BE471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1.满意度指标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群众满意度：评价指标“群众满意度”，指标值：≥95%，实际完成值：100%。通过设置问卷调查的方式进行考评评价，共计调查样本总量为20个样本，有效调查问卷20份。其中，统计“第6题-您对该项目实施的整体满意度如何”答案，均为“非常满意”。故满意度指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综上，该指标满分5分，得分5分。</w:t>
      </w:r>
    </w:p>
    <w:p w14:paraId="028BFD64">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071D96F1">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我乡定期不定期地对项目实施情况和经费使用情况进和经费使用情况进行跟踪检查，对能实现预期绩效目标的项目予以充分肯定，对进展缓，预期绩效目标较差的项目，及时进行协调和提出整改措施，确保项目实施工作正常运行，达到预期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建立健全规章制度，为加强我乡疫情防控支出项目的管理、规范资金使用管理等提供了较好的制度保障，工作做到有章可循，规范运作，基本实现了管理的科学化、规范化、制度化。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疫情防控支出项目，结合项目特点，制定符合项目实际的绩效评价指标体系及评分标准，通过数据采集、依据《财政支出绩效评价管理办法》等政策文件，结合疫情防控项目特点，细化评价指标体系，明确评价范围（资金、项目、时间、空间等）、评价方法（成本效益分析、对比分析法、公众满意度调查等）及工作流程等形式，对2024年疫情防控支出项目进行客观评价，单位在此次评价期间内，有序完成设定目标的全部工作任务及及时解决应付账款。</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（二）存在的问题及原因分析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1.预算编制合理性有待提高。预算编制未能充分考虑单位实际情况，与中长期规划衔接不紧密，缺乏足够的科学性和前瞻性。建立长效管护机制，巩固建设成果。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2.部门整体绩效指标设置不合理，指标设定过于笼统或具体，缺乏可量化的关键指标，未能全面反映单位工作的实际效果和效益。加强组织领导，强化工作责任。</w:t>
      </w:r>
    </w:p>
    <w:p w14:paraId="348CC8B3">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7C86E85F">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六、有关建议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优化预算编制和执行。充分考虑单位实际情况和发展需求，提高预算编制的科学性和前瞻性，确保预算分配合理、均衡。加强预算执行监督，确保资金使用的合规性和效益性。建议项目的主管部门督促美丽中心村加强对项目后期的管护，加大宣传领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完善绩效评价体系。结合单位工作实际和群众需求，明确绩效目标，合理设置绩效指标，建立科学、全面的绩效评估指标体系。根据相关会议精神及政策文件要求不折不扣抓好落实，实行整村、整镇连片整体推进，并需加大督促检查力度，组织相关人员对各农村“美丽乡村建设”任务完成情况进行一次督查回访，抓住重点，攻克难点。</w:t>
      </w:r>
    </w:p>
    <w:p w14:paraId="1D444FDF">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48DA79B">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七、其他需要说明的问题</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1.项目的申报、审核机制完善；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申报环节，制定了详尽且规范的申报指南，对申报条件、材料要求、格式规范等作出细致说明，方便申报者准确准备。审核阶段，组建专业审核团队，运用多维度审核标准，涵盖项目可行性、预算合理性、预期效益等方面。通过初审、复审、终审多轮次严格把关，确保申报项目质量，让优质项目脱颖而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2.未发现虚假行为和骗取财政资金的问题。</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项目实施全程，构建了严密的监督体系。从资金申请源头开始，对申报材料真实性进行核查，运用大数据比对、实地调研等手段。项目执行中，实时监控资金流向与使用情况，定期审计。一旦发现异常，迅速启动调查程序。经全面监督检查，未出现虚假申报、骗取财政资金等违规违法行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3.项目安排准确，未发现背离项目立项初衷的情况；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从立项开始，就对目标、任务和预期成果进行了明确界定。在实施过程中，严格依据规划推进，通过定期检查与阶段性评估，紧密把控项目方向。各环节工作均围绕立项初衷展开，人员分工明确、任务落实到位，有效避免执行偏差，确保项目始终朝着既定目标稳步前行。</w:t>
      </w:r>
    </w:p>
    <w:p w14:paraId="0A551912">
      <w:pPr>
        <w:spacing w:line="540" w:lineRule="exact"/>
        <w:ind w:firstLine="624" w:firstLineChars="200"/>
        <w:rPr>
          <w:rStyle w:val="18"/>
          <w:rFonts w:ascii="仿宋" w:hAnsi="仿宋" w:eastAsia="仿宋"/>
          <w:b w:val="0"/>
          <w:spacing w:val="-4"/>
          <w:sz w:val="32"/>
          <w:szCs w:val="32"/>
        </w:rPr>
      </w:pPr>
    </w:p>
    <w:p w14:paraId="3A7BB2A5">
      <w:pPr>
        <w:spacing w:line="540" w:lineRule="exact"/>
        <w:ind w:firstLine="624" w:firstLineChars="200"/>
        <w:rPr>
          <w:rStyle w:val="18"/>
          <w:rFonts w:ascii="仿宋" w:hAnsi="仿宋" w:eastAsia="仿宋"/>
          <w:b w:val="0"/>
          <w:spacing w:val="-4"/>
          <w:sz w:val="32"/>
          <w:szCs w:val="32"/>
        </w:rPr>
      </w:pPr>
    </w:p>
    <w:p w14:paraId="2EDF7831">
      <w:pPr>
        <w:spacing w:line="540" w:lineRule="exact"/>
        <w:ind w:firstLine="624" w:firstLineChars="200"/>
        <w:rPr>
          <w:rStyle w:val="18"/>
          <w:rFonts w:ascii="仿宋" w:hAnsi="仿宋" w:eastAsia="仿宋"/>
          <w:b w:val="0"/>
          <w:spacing w:val="-4"/>
          <w:sz w:val="32"/>
          <w:szCs w:val="32"/>
        </w:rPr>
      </w:pPr>
    </w:p>
    <w:p w14:paraId="7BDA8E90">
      <w:pPr>
        <w:spacing w:line="540" w:lineRule="exact"/>
        <w:ind w:firstLine="624" w:firstLineChars="200"/>
        <w:rPr>
          <w:rStyle w:val="18"/>
          <w:rFonts w:ascii="仿宋" w:hAnsi="仿宋" w:eastAsia="仿宋"/>
          <w:b w:val="0"/>
          <w:spacing w:val="-4"/>
          <w:sz w:val="32"/>
          <w:szCs w:val="32"/>
        </w:rPr>
      </w:pPr>
    </w:p>
    <w:p w14:paraId="49A695F6">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F24DC77">
        <w:pPr>
          <w:pStyle w:val="12"/>
          <w:jc w:val="center"/>
        </w:pPr>
        <w:r>
          <w:fldChar w:fldCharType="begin"/>
        </w:r>
        <w:r>
          <w:instrText xml:space="preserve">PAGE   \* MERGEFORMAT</w:instrText>
        </w:r>
        <w:r>
          <w:fldChar w:fldCharType="separate"/>
        </w:r>
        <w:r>
          <w:rPr>
            <w:lang w:val="zh-CN"/>
          </w:rPr>
          <w:t>2</w:t>
        </w:r>
        <w:r>
          <w:fldChar w:fldCharType="end"/>
        </w:r>
      </w:p>
    </w:sdtContent>
  </w:sdt>
  <w:p w14:paraId="7C6E04B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71814A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38</Pages>
  <Words>9594</Words>
  <Characters>9914</Characters>
  <Lines>4</Lines>
  <Paragraphs>1</Paragraphs>
  <TotalTime>0</TotalTime>
  <ScaleCrop>false</ScaleCrop>
  <LinksUpToDate>false</LinksUpToDate>
  <CharactersWithSpaces>10120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2025-11-17T07:42:42Z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