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469CE">
      <w:pPr>
        <w:spacing w:after="0" w:line="240" w:lineRule="auto"/>
        <w:rPr>
          <w:rFonts w:hint="eastAsia" w:ascii="宋体" w:eastAsia="宋体"/>
          <w:sz w:val="32"/>
          <w:szCs w:val="32"/>
        </w:rPr>
      </w:pPr>
    </w:p>
    <w:p w14:paraId="4A4BE252">
      <w:pPr>
        <w:spacing w:after="0" w:line="240" w:lineRule="auto"/>
        <w:rPr>
          <w:rFonts w:hint="eastAsia" w:ascii="宋体" w:eastAsia="宋体"/>
          <w:sz w:val="44"/>
          <w:szCs w:val="44"/>
        </w:rPr>
      </w:pPr>
    </w:p>
    <w:p w14:paraId="5C364AF7">
      <w:pPr>
        <w:spacing w:after="0" w:line="240" w:lineRule="auto"/>
        <w:rPr>
          <w:rFonts w:hint="eastAsia" w:ascii="宋体" w:eastAsia="宋体"/>
          <w:sz w:val="44"/>
          <w:szCs w:val="44"/>
        </w:rPr>
      </w:pPr>
    </w:p>
    <w:p w14:paraId="29E6C424">
      <w:pPr>
        <w:spacing w:after="0" w:line="240" w:lineRule="auto"/>
        <w:rPr>
          <w:rFonts w:hint="eastAsia" w:ascii="宋体" w:eastAsia="宋体"/>
          <w:sz w:val="44"/>
          <w:szCs w:val="44"/>
        </w:rPr>
      </w:pPr>
    </w:p>
    <w:p w14:paraId="14FF6DD3">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乌鲁木齐市米东区档案馆</w:t>
      </w:r>
    </w:p>
    <w:p w14:paraId="2624FBD7">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73DE25D1">
      <w:pPr>
        <w:rPr>
          <w:rFonts w:hint="eastAsia"/>
          <w:lang w:eastAsia="zh-CN"/>
        </w:rPr>
      </w:pPr>
      <w:r>
        <w:rPr>
          <w:sz w:val="0"/>
          <w:szCs w:val="0"/>
          <w:lang w:eastAsia="zh-CN"/>
        </w:rPr>
        <w:br w:type="page"/>
      </w:r>
    </w:p>
    <w:p w14:paraId="2C5DC467">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444787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71CE26E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CB826B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FB130F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BB127D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65212F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5AF2A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BEB6E4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1F1CA8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3F3238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1A81D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983C8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F9E7C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E129CA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B10FC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5BA47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64E0F4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BAC89A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52ABA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336C0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367C082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F5203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186E998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6604D3D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23FCC5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48F6C1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D328E9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7940CD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5BD8E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41D95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E091F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F1BDA3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A8F2C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19D822C">
      <w:pPr>
        <w:rPr>
          <w:rFonts w:hint="eastAsia"/>
          <w:lang w:eastAsia="zh-CN"/>
        </w:rPr>
      </w:pPr>
      <w:r>
        <w:rPr>
          <w:sz w:val="0"/>
          <w:szCs w:val="0"/>
          <w:lang w:eastAsia="zh-CN"/>
        </w:rPr>
        <w:br w:type="page"/>
      </w:r>
    </w:p>
    <w:p w14:paraId="2297C00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2AFAC6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875EB0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贯彻执行《中华人民共和国档案法》及党和国家有关方针、政策，贯彻落实自治区、乌鲁木齐市关于档案工作的方针、政策、法律和法规；依照《中华人民共和国档案法》和《自治区实施〈中华人民共和国档案法〉办法》开展本行政区域内档案工作；拟定本行政区域内档案事业发展规划和档案工作的章程、制度，并对全区档案事业的发展进行统筹规划、宏观管理；集中统一管理米东新区党政机关的重要档案资料，保守党和国家机密、维护档案的完整、确保档案资料的安全；负责整理、征集、接收全区本行政区域内单位及个人重要的档案资料；推进档案工作的科学化管理和现代化建设，做好档案史料的编研、出版工作，为全区的经济建设和社会发展提供利用；收集散失的档案文件和史料；负责全区档案的宣传工作；组织并指导全区档案理论及科学技术研究、档案保护，专业技术人员的培训、职称推荐以及档案资料的审定工作；负责对馆藏档案和资料进行科学系统的管理和开发、利用工作，确保档案资料的完整与安全；完成米东区委交办的有关工作。</w:t>
      </w:r>
    </w:p>
    <w:p w14:paraId="7EC605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DCCA0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乌鲁木齐市米东区档案馆2024年度，实有人数17人，其中：在职人员9人，增加1人；离休人员0人，较上年无变化；退休人员8人，较上年无变化</w:t>
      </w:r>
      <w:r>
        <w:rPr>
          <w:rFonts w:hint="eastAsia" w:ascii="仿宋_GB2312" w:eastAsia="仿宋_GB2312"/>
          <w:sz w:val="32"/>
          <w:szCs w:val="32"/>
          <w:lang w:eastAsia="zh-CN"/>
        </w:rPr>
        <w:t>。</w:t>
      </w:r>
    </w:p>
    <w:p w14:paraId="7E398C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乌鲁木齐市米东区档案馆无下属预算单位，下设2个科室，分别是：综合科、业务科。</w:t>
      </w:r>
    </w:p>
    <w:p w14:paraId="00C2C96E">
      <w:pPr>
        <w:rPr>
          <w:rFonts w:hint="eastAsia"/>
          <w:lang w:eastAsia="zh-CN"/>
        </w:rPr>
      </w:pPr>
      <w:r>
        <w:rPr>
          <w:sz w:val="0"/>
          <w:szCs w:val="0"/>
          <w:lang w:eastAsia="zh-CN"/>
        </w:rPr>
        <w:br w:type="page"/>
      </w:r>
    </w:p>
    <w:p w14:paraId="4BB62DD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270989B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33F60DE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2024年度收入总计130.98万元，其中：本年收入合计130.98万元，使用非财政拨款结余（含专用结余）0.00万元，年初结转和结余0.00万元。</w:t>
      </w:r>
    </w:p>
    <w:p w14:paraId="017FFC2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2024年度支出总计130.98万元，其中：本年支出合计127.97万元，结余分配0.00万元，年末结转和结余3.00万元。</w:t>
      </w:r>
    </w:p>
    <w:p w14:paraId="25F96EF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收入支出总体与上年相比，减少19.54万元，下降12.98%，主要原因是：</w:t>
      </w:r>
      <w:r>
        <w:rPr>
          <w:rFonts w:hint="eastAsia" w:ascii="仿宋_GB2312" w:eastAsia="仿宋_GB2312"/>
          <w:sz w:val="32"/>
          <w:szCs w:val="32"/>
          <w:lang w:eastAsia="zh-CN"/>
        </w:rPr>
        <w:t>上年补发部分人员奖金、绩效工资等，本年正常发放，导致相关经费较上年减少</w:t>
      </w:r>
      <w:r>
        <w:rPr>
          <w:rFonts w:ascii="仿宋_GB2312" w:eastAsia="仿宋_GB2312"/>
          <w:sz w:val="32"/>
          <w:szCs w:val="32"/>
          <w:lang w:eastAsia="zh-CN"/>
        </w:rPr>
        <w:t>。</w:t>
      </w:r>
    </w:p>
    <w:p w14:paraId="6D21AFF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067DC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本年收入130.98万元，其中：财政拨款收入130.98万元,占100.00%；上级补助收入0.00万元,占0.00%；事业收入0.00万元，占0.00%；经营收入0.00万元,占0.00%；附属单位上缴收入0.00万元，占0.00%；其他收入0.00万元，占0.00%。</w:t>
      </w:r>
    </w:p>
    <w:p w14:paraId="6B84D2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618206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本年支出127.97万元，其中：基本支出127.97万元，占100.00%；项目支出0.00万元，占0.00%；上缴上级支出0.00万元，占0.00%；经营支出0.00万元，占0.00%；对附属单位补助支出0.00万元，占0.00%。</w:t>
      </w:r>
    </w:p>
    <w:p w14:paraId="543DCAD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19B26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2024年度财政拨款收入总计130.98万元，其中：年初财政拨款结转和结余0.00万元，本年财政拨款收入130.98万元。财政拨款支出总计130.98万元，其中：年末财政拨款结转和结余3.00万元，本年财政拨款支出127.97万元。</w:t>
      </w:r>
    </w:p>
    <w:p w14:paraId="182282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财政拨款收入支出总体与上年相比，减少19.54万元，下降12.98%，主要原因是：</w:t>
      </w:r>
      <w:r>
        <w:rPr>
          <w:rFonts w:hint="eastAsia" w:ascii="仿宋_GB2312" w:eastAsia="仿宋_GB2312"/>
          <w:sz w:val="32"/>
          <w:szCs w:val="32"/>
          <w:lang w:eastAsia="zh-CN"/>
        </w:rPr>
        <w:t>上年补发部分人员奖金、绩效工资等，本年正常发放，导致相关经费较上年减少</w:t>
      </w:r>
      <w:r>
        <w:rPr>
          <w:rFonts w:ascii="仿宋_GB2312" w:eastAsia="仿宋_GB2312"/>
          <w:sz w:val="32"/>
          <w:szCs w:val="32"/>
          <w:lang w:eastAsia="zh-CN"/>
        </w:rPr>
        <w:t>。与年初预算相比，年初预算数132.51万元，决算数130.98万元，预决算差异率-1.15%，主要原因是：</w:t>
      </w:r>
      <w:r>
        <w:rPr>
          <w:rFonts w:hint="eastAsia" w:ascii="仿宋_GB2312" w:eastAsia="仿宋_GB2312"/>
          <w:sz w:val="32"/>
          <w:szCs w:val="32"/>
          <w:lang w:eastAsia="zh-CN"/>
        </w:rPr>
        <w:t>本年单位实际发放人员工资、津补贴等人员经费小于年初预算安排金额</w:t>
      </w:r>
      <w:r>
        <w:rPr>
          <w:rFonts w:ascii="仿宋_GB2312" w:eastAsia="仿宋_GB2312"/>
          <w:sz w:val="32"/>
          <w:szCs w:val="32"/>
          <w:lang w:eastAsia="zh-CN"/>
        </w:rPr>
        <w:t>。</w:t>
      </w:r>
    </w:p>
    <w:p w14:paraId="7EE8F6D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4A51EDD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41F492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2024年度一般公共预算财政拨款支出127.97万元，占本年支出合计的100.00%。与上年相比，减少6.63万元，下降4.93%，主要原因是：</w:t>
      </w:r>
      <w:r>
        <w:rPr>
          <w:rFonts w:hint="eastAsia" w:ascii="仿宋_GB2312" w:eastAsia="仿宋_GB2312"/>
          <w:sz w:val="32"/>
          <w:szCs w:val="32"/>
          <w:lang w:eastAsia="zh-CN"/>
        </w:rPr>
        <w:t>上年补发部分人员奖金、绩效工资等，本年正常发放，导致相关经费较上年减少</w:t>
      </w:r>
      <w:r>
        <w:rPr>
          <w:rFonts w:ascii="仿宋_GB2312" w:eastAsia="仿宋_GB2312"/>
          <w:sz w:val="32"/>
          <w:szCs w:val="32"/>
          <w:lang w:eastAsia="zh-CN"/>
        </w:rPr>
        <w:t>。与年初预算相比，年初预算数132.51万元，决算数127.97万元，预决算差异率-3.43%，主要原因是：</w:t>
      </w:r>
      <w:r>
        <w:rPr>
          <w:rFonts w:hint="eastAsia" w:ascii="仿宋_GB2312" w:eastAsia="仿宋_GB2312"/>
          <w:sz w:val="32"/>
          <w:szCs w:val="32"/>
          <w:lang w:eastAsia="zh-CN"/>
        </w:rPr>
        <w:t>本年单位实际发放人员工资、津补贴等人员经费小于年初预算安排金额</w:t>
      </w:r>
      <w:r>
        <w:rPr>
          <w:rFonts w:ascii="仿宋_GB2312" w:eastAsia="仿宋_GB2312"/>
          <w:sz w:val="32"/>
          <w:szCs w:val="32"/>
          <w:lang w:eastAsia="zh-CN"/>
        </w:rPr>
        <w:t>。</w:t>
      </w:r>
    </w:p>
    <w:p w14:paraId="7F46E98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E7B053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一般公共服务支出（类）115.37万元，占90.15%。</w:t>
      </w:r>
    </w:p>
    <w:p w14:paraId="3083E8F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社会保障和就业支出（类）12.60万元，占9.85%。</w:t>
      </w:r>
    </w:p>
    <w:p w14:paraId="4F8D51B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B84378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1、一般公共服务支出（类）档案事务（款）行政运行（项）：支出决算数为0.00万元，比上年决算减少123.15万元，下降100.00%，主要原因是：</w:t>
      </w:r>
      <w:r>
        <w:rPr>
          <w:rFonts w:hint="eastAsia" w:ascii="仿宋_GB2312" w:eastAsia="仿宋_GB2312"/>
          <w:sz w:val="32"/>
          <w:szCs w:val="32"/>
          <w:lang w:eastAsia="zh-CN"/>
        </w:rPr>
        <w:t>单位科目调整，本年将人员工资、津补贴等人员经费从本科目调整至机关服务科目反映</w:t>
      </w:r>
      <w:r>
        <w:rPr>
          <w:rFonts w:ascii="仿宋_GB2312" w:eastAsia="仿宋_GB2312"/>
          <w:sz w:val="32"/>
          <w:szCs w:val="32"/>
          <w:lang w:eastAsia="zh-CN"/>
        </w:rPr>
        <w:t>。</w:t>
      </w:r>
    </w:p>
    <w:p w14:paraId="1A53781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2、一般公共服务支出（类）档案事务（款）机关服务（项）：支出决算数为115.37万元，比上年决算增加115.37万元，增长100.00%，主要原因是：</w:t>
      </w:r>
      <w:r>
        <w:rPr>
          <w:rFonts w:hint="eastAsia" w:ascii="仿宋_GB2312" w:eastAsia="仿宋_GB2312"/>
          <w:sz w:val="32"/>
          <w:szCs w:val="32"/>
          <w:lang w:eastAsia="zh-CN"/>
        </w:rPr>
        <w:t>单位科目调整，本年将人员工资、津补贴等人员经费从行政运行科目调整至本科目</w:t>
      </w:r>
      <w:r>
        <w:rPr>
          <w:rFonts w:ascii="仿宋_GB2312" w:eastAsia="仿宋_GB2312"/>
          <w:sz w:val="32"/>
          <w:szCs w:val="32"/>
          <w:lang w:eastAsia="zh-CN"/>
        </w:rPr>
        <w:t>。</w:t>
      </w:r>
    </w:p>
    <w:p w14:paraId="0F338F0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3、社会保障和就业支出（类）行政事业单位养老支出（款）机关事业单位基本养老保险缴费支出（项）：支出决算数为12.60万元，比上年决算增加1.16万元，增长10.14%，主要原因是：</w:t>
      </w:r>
      <w:bookmarkStart w:id="0" w:name="_Hlk208414579"/>
      <w:r>
        <w:rPr>
          <w:rFonts w:hint="eastAsia" w:ascii="仿宋_GB2312" w:eastAsia="仿宋_GB2312"/>
          <w:sz w:val="32"/>
          <w:szCs w:val="32"/>
          <w:lang w:eastAsia="zh-CN"/>
        </w:rPr>
        <w:t>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bookmarkEnd w:id="0"/>
      <w:r>
        <w:rPr>
          <w:rFonts w:ascii="仿宋_GB2312" w:eastAsia="仿宋_GB2312"/>
          <w:sz w:val="32"/>
          <w:szCs w:val="32"/>
          <w:lang w:eastAsia="zh-CN"/>
        </w:rPr>
        <w:t>。</w:t>
      </w:r>
    </w:p>
    <w:p w14:paraId="4802FCF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5AFB8D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127.97万元，其中：人员经费124.07万元，包括：基本工资、津贴补贴、奖金、绩效工资、机关事业单位基本养老保险缴费、职工基本医疗保险缴费、公务员医疗补助缴费、其他社会保障缴费和住房公积金。</w:t>
      </w:r>
    </w:p>
    <w:p w14:paraId="31530E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公用经费3.90万元，包括：办公费、手续费、邮电费、差旅费、维修（护）费、培训费、工会经费和福利费。</w:t>
      </w:r>
    </w:p>
    <w:p w14:paraId="5A6EDAD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69CDD1F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7FD514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C246C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C571AE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4B08D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1" w:name="_Hlk207143847"/>
      <w:r>
        <w:rPr>
          <w:rFonts w:hint="eastAsia" w:ascii="仿宋_GB2312" w:eastAsia="仿宋_GB2312"/>
          <w:sz w:val="32"/>
          <w:szCs w:val="32"/>
          <w:lang w:eastAsia="zh-CN"/>
        </w:rPr>
        <w:t>我</w:t>
      </w:r>
      <w:bookmarkStart w:id="2" w:name="_Hlk209026967"/>
      <w:r>
        <w:rPr>
          <w:rFonts w:hint="eastAsia" w:ascii="仿宋_GB2312" w:eastAsia="仿宋_GB2312"/>
          <w:sz w:val="32"/>
          <w:szCs w:val="32"/>
          <w:lang w:eastAsia="zh-CN"/>
        </w:rPr>
        <w:t>单位上年度与本年度均无此项经费</w:t>
      </w:r>
      <w:bookmarkEnd w:id="1"/>
      <w:bookmarkEnd w:id="2"/>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421EF3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4E309D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3"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3"/>
      <w:r>
        <w:rPr>
          <w:rFonts w:ascii="仿宋_GB2312" w:eastAsia="仿宋_GB2312"/>
          <w:sz w:val="32"/>
          <w:szCs w:val="32"/>
          <w:lang w:eastAsia="zh-CN"/>
        </w:rPr>
        <w:t>。单位全年安排的因公出国（境）团组0个，因公出国（境）0人次。</w:t>
      </w:r>
    </w:p>
    <w:p w14:paraId="74FD56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4"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4"/>
      <w:r>
        <w:rPr>
          <w:rFonts w:ascii="仿宋_GB2312" w:eastAsia="仿宋_GB2312"/>
          <w:sz w:val="32"/>
          <w:szCs w:val="32"/>
          <w:lang w:eastAsia="zh-CN"/>
        </w:rPr>
        <w:t>。公务用车购置数0辆，公务用车保有量0辆。国有资产占用情况中固定资产车辆1辆，与公务用车保有量差异原因是：</w:t>
      </w:r>
      <w:bookmarkStart w:id="5" w:name="_Hlk208411546"/>
      <w:r>
        <w:rPr>
          <w:rFonts w:hint="eastAsia" w:ascii="仿宋_GB2312" w:eastAsia="仿宋_GB2312"/>
          <w:sz w:val="32"/>
          <w:szCs w:val="32"/>
          <w:lang w:eastAsia="zh-CN"/>
        </w:rPr>
        <w:t>差异车辆为一般业务用车1辆，车辆费用未使用财政拨款公务用车运行维护费支付</w:t>
      </w:r>
      <w:bookmarkEnd w:id="5"/>
      <w:r>
        <w:rPr>
          <w:rFonts w:ascii="仿宋_GB2312" w:eastAsia="仿宋_GB2312"/>
          <w:sz w:val="32"/>
          <w:szCs w:val="32"/>
          <w:lang w:eastAsia="zh-CN"/>
        </w:rPr>
        <w:t>。</w:t>
      </w:r>
    </w:p>
    <w:p w14:paraId="35E9347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6" w:name="_Hlk207140433"/>
      <w:r>
        <w:rPr>
          <w:rFonts w:hint="eastAsia" w:ascii="仿宋_GB2312" w:eastAsia="仿宋_GB2312"/>
          <w:sz w:val="32"/>
          <w:szCs w:val="32"/>
          <w:lang w:eastAsia="zh-CN"/>
        </w:rPr>
        <w:t>单</w:t>
      </w:r>
      <w:bookmarkStart w:id="7"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6"/>
      <w:bookmarkEnd w:id="7"/>
      <w:r>
        <w:rPr>
          <w:rFonts w:ascii="仿宋_GB2312" w:eastAsia="仿宋_GB2312"/>
          <w:sz w:val="32"/>
          <w:szCs w:val="32"/>
          <w:lang w:eastAsia="zh-CN"/>
        </w:rPr>
        <w:t>。单位全年安排的国内公务接待0批次，0人次。</w:t>
      </w:r>
    </w:p>
    <w:p w14:paraId="4E8F95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8" w:name="_Hlk207142995"/>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56FACC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8442E9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4ABBA6F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2024年度乌鲁木齐市米东区档案馆单位（事业单位）公用经费支出3.90万元，比上年减少2.98万元，下降43.31%，主要原因是：</w:t>
      </w:r>
      <w:r>
        <w:rPr>
          <w:rFonts w:hint="eastAsia" w:ascii="仿宋_GB2312" w:eastAsia="仿宋_GB2312"/>
          <w:sz w:val="32"/>
          <w:szCs w:val="32"/>
          <w:lang w:eastAsia="zh-CN"/>
        </w:rPr>
        <w:t>本年单位办公费、邮电费、维修（护）费等较上年减少</w:t>
      </w:r>
      <w:r>
        <w:rPr>
          <w:rFonts w:ascii="仿宋_GB2312" w:eastAsia="仿宋_GB2312"/>
          <w:sz w:val="32"/>
          <w:szCs w:val="32"/>
          <w:lang w:eastAsia="zh-CN"/>
        </w:rPr>
        <w:t>。</w:t>
      </w:r>
    </w:p>
    <w:p w14:paraId="1C019C0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04CBEF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2024年度政府采购支出总额1.34万元，其中：政府采购货物支出1.25万元、政府采购工程支出0.00万元、政府采购服务支出0.08万元。</w:t>
      </w:r>
    </w:p>
    <w:p w14:paraId="1EB36A6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授予中小企业合同金额1.34万元，占政府采购支出总额的100.00%，其中：授予小微企业合同金额1.34万元，占政府采购支出总额的100.00%。</w:t>
      </w:r>
    </w:p>
    <w:p w14:paraId="640565C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E1F63C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15.52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5542CDB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EDB915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130.97</w:t>
      </w:r>
      <w:r>
        <w:rPr>
          <w:rFonts w:ascii="仿宋_GB2312" w:eastAsia="仿宋_GB2312"/>
          <w:sz w:val="32"/>
          <w:szCs w:val="32"/>
          <w:lang w:eastAsia="zh-CN"/>
        </w:rPr>
        <w:t>万元，实际执行总额</w:t>
      </w:r>
      <w:r>
        <w:rPr>
          <w:rFonts w:hint="eastAsia" w:ascii="仿宋_GB2312" w:eastAsia="仿宋_GB2312"/>
          <w:sz w:val="32"/>
          <w:szCs w:val="32"/>
          <w:lang w:eastAsia="zh-CN"/>
        </w:rPr>
        <w:t>127.97</w:t>
      </w:r>
      <w:r>
        <w:rPr>
          <w:rFonts w:ascii="仿宋_GB2312" w:eastAsia="仿宋_GB2312"/>
          <w:sz w:val="32"/>
          <w:szCs w:val="32"/>
          <w:lang w:eastAsia="zh-CN"/>
        </w:rPr>
        <w:t>万元；预算绩效评价项目0个，全年预算数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w:t>
      </w:r>
    </w:p>
    <w:p w14:paraId="67C0289F">
      <w:pPr>
        <w:rPr>
          <w:rFonts w:hint="eastAsia" w:ascii="宋体" w:hAnsi="宋体" w:eastAsia="宋体" w:cs="宋体"/>
          <w:b/>
          <w:bCs/>
          <w:sz w:val="18"/>
          <w:szCs w:val="18"/>
        </w:rPr>
      </w:pPr>
      <w:bookmarkStart w:id="9" w:name="_Hlk174962300"/>
    </w:p>
    <w:p w14:paraId="51E35871">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9C4CA7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127D3413">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D98ABF3">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50945E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乌鲁木齐市米东区档案馆</w:t>
            </w:r>
          </w:p>
        </w:tc>
        <w:tc>
          <w:tcPr>
            <w:tcW w:w="284" w:type="dxa"/>
            <w:tcBorders>
              <w:top w:val="nil"/>
              <w:left w:val="nil"/>
              <w:bottom w:val="nil"/>
              <w:right w:val="nil"/>
            </w:tcBorders>
            <w:noWrap/>
            <w:vAlign w:val="center"/>
          </w:tcPr>
          <w:p w14:paraId="5FCB3A01">
            <w:pPr>
              <w:rPr>
                <w:rFonts w:hint="eastAsia" w:ascii="宋体" w:hAnsi="宋体" w:eastAsia="宋体" w:cs="宋体"/>
                <w:b/>
                <w:bCs/>
                <w:sz w:val="18"/>
                <w:szCs w:val="18"/>
                <w:lang w:eastAsia="zh-CN"/>
              </w:rPr>
            </w:pPr>
          </w:p>
        </w:tc>
      </w:tr>
      <w:tr w14:paraId="6904D38C">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8436C1B">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D97324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C70D24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F3F59E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C6A20DB">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E7B554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C83C8A7">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6B5A78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1E8BF6F">
            <w:pPr>
              <w:jc w:val="center"/>
              <w:rPr>
                <w:rFonts w:hint="eastAsia" w:ascii="宋体" w:hAnsi="宋体" w:eastAsia="宋体" w:cs="宋体"/>
                <w:b/>
                <w:bCs/>
                <w:sz w:val="18"/>
                <w:szCs w:val="18"/>
              </w:rPr>
            </w:pPr>
          </w:p>
        </w:tc>
      </w:tr>
      <w:tr w14:paraId="6B84E71C">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93493F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11DA9CC">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1A07D825">
            <w:pPr>
              <w:jc w:val="center"/>
              <w:rPr>
                <w:rFonts w:hint="eastAsia" w:ascii="宋体" w:hAnsi="宋体" w:eastAsia="宋体" w:cs="宋体"/>
                <w:sz w:val="18"/>
                <w:szCs w:val="18"/>
              </w:rPr>
            </w:pPr>
            <w:r>
              <w:rPr>
                <w:rFonts w:hint="eastAsia" w:ascii="宋体" w:hAnsi="宋体" w:eastAsia="宋体" w:cs="宋体"/>
                <w:sz w:val="18"/>
                <w:szCs w:val="18"/>
              </w:rPr>
              <w:t>132.51</w:t>
            </w:r>
          </w:p>
        </w:tc>
        <w:tc>
          <w:tcPr>
            <w:tcW w:w="1276" w:type="dxa"/>
            <w:tcBorders>
              <w:top w:val="nil"/>
              <w:left w:val="nil"/>
              <w:bottom w:val="single" w:color="auto" w:sz="4" w:space="0"/>
              <w:right w:val="single" w:color="auto" w:sz="4" w:space="0"/>
            </w:tcBorders>
            <w:vAlign w:val="center"/>
          </w:tcPr>
          <w:p w14:paraId="39FBBF9C">
            <w:pPr>
              <w:jc w:val="center"/>
              <w:rPr>
                <w:rFonts w:hint="eastAsia" w:ascii="宋体" w:hAnsi="宋体" w:eastAsia="宋体" w:cs="宋体"/>
                <w:sz w:val="18"/>
                <w:szCs w:val="18"/>
              </w:rPr>
            </w:pPr>
            <w:r>
              <w:rPr>
                <w:rFonts w:hint="eastAsia" w:ascii="宋体" w:hAnsi="宋体" w:eastAsia="宋体" w:cs="宋体"/>
                <w:sz w:val="18"/>
                <w:szCs w:val="18"/>
              </w:rPr>
              <w:t>130.97</w:t>
            </w:r>
          </w:p>
        </w:tc>
        <w:tc>
          <w:tcPr>
            <w:tcW w:w="1701" w:type="dxa"/>
            <w:tcBorders>
              <w:top w:val="nil"/>
              <w:left w:val="nil"/>
              <w:bottom w:val="single" w:color="auto" w:sz="4" w:space="0"/>
              <w:right w:val="single" w:color="auto" w:sz="4" w:space="0"/>
            </w:tcBorders>
            <w:vAlign w:val="center"/>
          </w:tcPr>
          <w:p w14:paraId="09F2980B">
            <w:pPr>
              <w:jc w:val="center"/>
              <w:rPr>
                <w:rFonts w:hint="eastAsia" w:ascii="宋体" w:hAnsi="宋体" w:eastAsia="宋体" w:cs="宋体"/>
                <w:sz w:val="18"/>
                <w:szCs w:val="18"/>
              </w:rPr>
            </w:pPr>
            <w:r>
              <w:rPr>
                <w:rFonts w:hint="eastAsia" w:ascii="宋体" w:hAnsi="宋体" w:eastAsia="宋体" w:cs="宋体"/>
                <w:sz w:val="18"/>
                <w:szCs w:val="18"/>
              </w:rPr>
              <w:t>127.97</w:t>
            </w:r>
          </w:p>
        </w:tc>
        <w:tc>
          <w:tcPr>
            <w:tcW w:w="1134" w:type="dxa"/>
            <w:tcBorders>
              <w:top w:val="nil"/>
              <w:left w:val="nil"/>
              <w:bottom w:val="single" w:color="auto" w:sz="4" w:space="0"/>
              <w:right w:val="single" w:color="auto" w:sz="4" w:space="0"/>
            </w:tcBorders>
            <w:vAlign w:val="center"/>
          </w:tcPr>
          <w:p w14:paraId="3ABFA5B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544BDB5">
            <w:pPr>
              <w:jc w:val="center"/>
              <w:rPr>
                <w:rFonts w:hint="eastAsia" w:ascii="宋体" w:hAnsi="宋体" w:eastAsia="宋体" w:cs="宋体"/>
                <w:sz w:val="18"/>
                <w:szCs w:val="18"/>
              </w:rPr>
            </w:pPr>
            <w:r>
              <w:rPr>
                <w:rFonts w:hint="eastAsia" w:ascii="宋体" w:hAnsi="宋体" w:eastAsia="宋体" w:cs="宋体"/>
                <w:sz w:val="18"/>
                <w:szCs w:val="18"/>
              </w:rPr>
              <w:t>97.71%</w:t>
            </w:r>
          </w:p>
        </w:tc>
        <w:tc>
          <w:tcPr>
            <w:tcW w:w="720" w:type="dxa"/>
            <w:tcBorders>
              <w:top w:val="nil"/>
              <w:left w:val="nil"/>
              <w:bottom w:val="single" w:color="auto" w:sz="4" w:space="0"/>
              <w:right w:val="single" w:color="auto" w:sz="4" w:space="0"/>
            </w:tcBorders>
            <w:vAlign w:val="center"/>
          </w:tcPr>
          <w:p w14:paraId="192EC85C">
            <w:pPr>
              <w:jc w:val="center"/>
              <w:rPr>
                <w:rFonts w:hint="eastAsia" w:ascii="宋体" w:hAnsi="宋体" w:eastAsia="宋体" w:cs="宋体"/>
                <w:sz w:val="18"/>
                <w:szCs w:val="18"/>
              </w:rPr>
            </w:pPr>
            <w:r>
              <w:rPr>
                <w:rFonts w:hint="eastAsia" w:ascii="宋体" w:hAnsi="宋体" w:eastAsia="宋体" w:cs="宋体"/>
                <w:sz w:val="18"/>
                <w:szCs w:val="18"/>
              </w:rPr>
              <w:t>9.77</w:t>
            </w:r>
          </w:p>
        </w:tc>
        <w:tc>
          <w:tcPr>
            <w:tcW w:w="284" w:type="dxa"/>
            <w:tcBorders>
              <w:top w:val="nil"/>
              <w:left w:val="nil"/>
              <w:bottom w:val="nil"/>
              <w:right w:val="nil"/>
            </w:tcBorders>
            <w:noWrap/>
            <w:vAlign w:val="center"/>
          </w:tcPr>
          <w:p w14:paraId="32C931B6">
            <w:pPr>
              <w:jc w:val="center"/>
              <w:rPr>
                <w:rFonts w:hint="eastAsia" w:ascii="宋体" w:hAnsi="宋体" w:eastAsia="宋体" w:cs="宋体"/>
                <w:b/>
                <w:bCs/>
                <w:sz w:val="18"/>
                <w:szCs w:val="18"/>
              </w:rPr>
            </w:pPr>
          </w:p>
        </w:tc>
      </w:tr>
      <w:tr w14:paraId="095A0822">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A30EC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E7A36C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193D49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6F4EB6E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9CCDD1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34BB02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9B0888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4717E47">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1064A38">
            <w:pPr>
              <w:jc w:val="center"/>
              <w:rPr>
                <w:rFonts w:hint="eastAsia" w:ascii="宋体" w:hAnsi="宋体" w:eastAsia="宋体" w:cs="宋体"/>
                <w:sz w:val="18"/>
                <w:szCs w:val="18"/>
              </w:rPr>
            </w:pPr>
          </w:p>
        </w:tc>
      </w:tr>
      <w:tr w14:paraId="4CB23FE2">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F6C64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F20BDDF">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0621036F">
            <w:pPr>
              <w:jc w:val="center"/>
              <w:rPr>
                <w:rFonts w:hint="eastAsia" w:ascii="宋体" w:hAnsi="宋体" w:eastAsia="宋体" w:cs="宋体"/>
                <w:sz w:val="18"/>
                <w:szCs w:val="18"/>
              </w:rPr>
            </w:pPr>
            <w:r>
              <w:rPr>
                <w:rFonts w:hint="eastAsia" w:ascii="宋体" w:hAnsi="宋体" w:eastAsia="宋体" w:cs="宋体"/>
                <w:sz w:val="18"/>
                <w:szCs w:val="18"/>
              </w:rPr>
              <w:t>132.51</w:t>
            </w:r>
          </w:p>
        </w:tc>
        <w:tc>
          <w:tcPr>
            <w:tcW w:w="1276" w:type="dxa"/>
            <w:tcBorders>
              <w:top w:val="nil"/>
              <w:left w:val="nil"/>
              <w:bottom w:val="single" w:color="auto" w:sz="4" w:space="0"/>
              <w:right w:val="single" w:color="auto" w:sz="4" w:space="0"/>
            </w:tcBorders>
            <w:vAlign w:val="center"/>
          </w:tcPr>
          <w:p w14:paraId="3B8D709F">
            <w:pPr>
              <w:jc w:val="center"/>
              <w:rPr>
                <w:rFonts w:hint="eastAsia" w:ascii="宋体" w:hAnsi="宋体" w:eastAsia="宋体" w:cs="宋体"/>
                <w:sz w:val="18"/>
                <w:szCs w:val="18"/>
              </w:rPr>
            </w:pPr>
            <w:r>
              <w:rPr>
                <w:rFonts w:hint="eastAsia" w:ascii="宋体" w:hAnsi="宋体" w:eastAsia="宋体" w:cs="宋体"/>
                <w:sz w:val="18"/>
                <w:szCs w:val="18"/>
              </w:rPr>
              <w:t>130.97</w:t>
            </w:r>
          </w:p>
        </w:tc>
        <w:tc>
          <w:tcPr>
            <w:tcW w:w="1701" w:type="dxa"/>
            <w:tcBorders>
              <w:top w:val="nil"/>
              <w:left w:val="nil"/>
              <w:bottom w:val="single" w:color="auto" w:sz="4" w:space="0"/>
              <w:right w:val="single" w:color="auto" w:sz="4" w:space="0"/>
            </w:tcBorders>
            <w:vAlign w:val="center"/>
          </w:tcPr>
          <w:p w14:paraId="3C265F8D">
            <w:pPr>
              <w:jc w:val="center"/>
              <w:rPr>
                <w:rFonts w:hint="eastAsia" w:ascii="宋体" w:hAnsi="宋体" w:eastAsia="宋体" w:cs="宋体"/>
                <w:sz w:val="18"/>
                <w:szCs w:val="18"/>
              </w:rPr>
            </w:pPr>
            <w:r>
              <w:rPr>
                <w:rFonts w:hint="eastAsia" w:ascii="宋体" w:hAnsi="宋体" w:eastAsia="宋体" w:cs="宋体"/>
                <w:sz w:val="18"/>
                <w:szCs w:val="18"/>
              </w:rPr>
              <w:t>127.97</w:t>
            </w:r>
          </w:p>
        </w:tc>
        <w:tc>
          <w:tcPr>
            <w:tcW w:w="1134" w:type="dxa"/>
            <w:tcBorders>
              <w:top w:val="nil"/>
              <w:left w:val="nil"/>
              <w:bottom w:val="single" w:color="auto" w:sz="4" w:space="0"/>
              <w:right w:val="single" w:color="auto" w:sz="4" w:space="0"/>
            </w:tcBorders>
            <w:vAlign w:val="center"/>
          </w:tcPr>
          <w:p w14:paraId="272C6B4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E1B7DF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FBB84E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7E58F2B">
            <w:pPr>
              <w:jc w:val="center"/>
              <w:rPr>
                <w:rFonts w:hint="eastAsia" w:ascii="宋体" w:hAnsi="宋体" w:eastAsia="宋体" w:cs="宋体"/>
                <w:sz w:val="18"/>
                <w:szCs w:val="18"/>
              </w:rPr>
            </w:pPr>
          </w:p>
        </w:tc>
      </w:tr>
      <w:tr w14:paraId="5BE8865A">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49A41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D28917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86097C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0CAAC30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E09677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9D344B5">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58FF8CA0">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EC2AACB">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D1F1153">
            <w:pPr>
              <w:jc w:val="center"/>
              <w:rPr>
                <w:rFonts w:hint="eastAsia" w:ascii="宋体" w:hAnsi="宋体" w:eastAsia="宋体" w:cs="宋体"/>
                <w:sz w:val="18"/>
                <w:szCs w:val="18"/>
              </w:rPr>
            </w:pPr>
          </w:p>
        </w:tc>
      </w:tr>
      <w:tr w14:paraId="06EEB246">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2770570">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B184BE4">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E243821">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2E8A33B7">
            <w:pPr>
              <w:rPr>
                <w:rFonts w:hint="eastAsia" w:ascii="宋体" w:hAnsi="宋体" w:eastAsia="宋体" w:cs="宋体"/>
                <w:b/>
                <w:bCs/>
                <w:sz w:val="18"/>
                <w:szCs w:val="18"/>
              </w:rPr>
            </w:pPr>
          </w:p>
        </w:tc>
      </w:tr>
      <w:tr w14:paraId="6EBFE8D7">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39E327">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DCBF9BA">
            <w:pPr>
              <w:rPr>
                <w:rFonts w:hint="eastAsia" w:ascii="宋体" w:hAnsi="宋体" w:eastAsia="宋体" w:cs="宋体"/>
                <w:sz w:val="18"/>
                <w:szCs w:val="18"/>
                <w:lang w:eastAsia="zh-CN"/>
              </w:rPr>
            </w:pPr>
            <w:r>
              <w:rPr>
                <w:rFonts w:hint="eastAsia" w:ascii="宋体" w:hAnsi="宋体" w:eastAsia="宋体" w:cs="宋体"/>
                <w:sz w:val="18"/>
                <w:szCs w:val="18"/>
                <w:lang w:eastAsia="zh-CN"/>
              </w:rPr>
              <w:t>集中统一管理全区党政机关的重要档案资料，确保档案完整、安全；负责接收、征集、保管全区党政机关、社会团体、企事业单位及撤销单位的档案资料，做好档案的规范化和信息化管理；负责档案信息开发和提供利用工作；负责重点档案的抢救和保护工作。重点工作1：、档案信息化工作分步推进；2、机关、社区、村档案业务培训；3、档案事业“十四五”规划迎检准备工作</w:t>
            </w:r>
          </w:p>
        </w:tc>
        <w:tc>
          <w:tcPr>
            <w:tcW w:w="4547" w:type="dxa"/>
            <w:gridSpan w:val="4"/>
            <w:tcBorders>
              <w:top w:val="single" w:color="auto" w:sz="4" w:space="0"/>
              <w:left w:val="nil"/>
              <w:bottom w:val="single" w:color="auto" w:sz="4" w:space="0"/>
              <w:right w:val="single" w:color="auto" w:sz="4" w:space="0"/>
            </w:tcBorders>
          </w:tcPr>
          <w:p w14:paraId="75383500">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档案馆根据部门职能《乌鲁木齐市档案事业“十四五”发展规划》，2024年度工作重点，绩效目标完成情况如下：1.提升档案管理质效，档案治理工作体系不断提高。细化考核指标，推动档案绩效考核，推动行政执法实效，促进全区档案事业发展稳步前行。档案执法检查作为推动档案事业发展的重要区委将档案工作纳入全区年度绩效考核内容，档案工作与机关业务工作同部署。今年在全区范围内开展档案安全专项行政执法检查活动，对区应急管理局、建设局、城管局、西路街道等10余家单位进行了重点检查，对全区70家立档单位开展年度业务安全检查，问题开展“回头看”，坚持以检查促业务，强力推动全区档案事业发展稳步前行，推动行政执法取得实效；全面推行“三合一”制度，推进规范机关档案基础业务、优化档案资源、提升档案信息化建设质效的主要抓手，纳入了我区档案年度工作重点并制定了审批计划，目前已完成66家立档单位“三合一”制度审核审批；加快档案信息化建设。区档案馆积极推进国产化替代和数字档案馆建设，目前正在对接第三方公司修改数字档案馆平台建设项目可研报告。馆藏档案自2020年已全部完成数字化工作，馆藏卷级档案数字化率达98.2%，件级档案数字化率达93%，进行重点领域档案专题数据库建设，已累计接收米东区扶贫开发领导小组办公室、挂接了米东区疫情防控指挥部、米东区党史学习教育领导小组办公室等11家单位405卷14407件档案。2.档案开发利用成效不断加强，持续做好档案开放审核、档案服务民生。积极筹备米东区荣誉室建设，发征集公告，累计征集自2007年起各类荣誉奖状、牌匾、奖杯等实物档案164件，其中集体奖项117件，个人奖项47件，国家级奖项17件，自治区一级奖项51件。已筛选部分实物档案在我区荣誉室进行对外展览；持续做好档案开放审核，对馆藏满25年到期档案进行全面盘点，建立台账，明确了每个阶段的起止时间、工作重点和验收时间。严格落实开放审核三审责任制。今年已在米东区政府官网公布3批开放档案目录，累计开放档案481卷（件）；提升档案为民服务质效，区档案馆始终把档案服务于民生作为一项重点工作，今年累计为259人次提供公众查阅利用、档案复制件302件1014页。同时，深化米东区历史陈列馆爱国主义教育基地作用，累计接待参观71场2484人次；联合区团委、政法团工委举办了“石榴花开？青春守护”铸牢中华民族共同体意识活动，80名西部计划志愿者和中小学生参加了活动。3.加强档案安全体系，提升档案管库建设，加速档案人才培养，筑牢档案安全防线。区档案馆库房配有防盗监控设备、消防设备等设施，安装有66列密集架，24套资料图书柜，馆库内安装有红外线报警器，所有库房安装了监控设施、防盗门窗和温控设施。每周对档案库房安全及温湿度进行检查，定期开展安全隐患大排查，及时发现和消除安全隐患并进行整改。研究制定《米东区档案馆档案安全责任制》，不断完善《米东区档案馆安全管理制度》《米东区档案馆应急管理制度》等安全管理制度，进一步提升了应对突发事件的处置能力；档案业务队伍建设不断增强，2024年被定为“档案业务培训年”，结合全区档案队伍存在的人员变动频繁、业务能力薄弱等难点痛点，积极组织各类专题培训，进一步提高全区档案业务队伍综合素质。今年开展各类业务培训5场次，参与人数达400余人次。其中3月开展了为期两天的米东区档案业务培训班，参加培训单位70余家，参加人员208人，发放结业证书100余张。10月组织全区7个乡镇81个行政村档案员开展米东区村级档案培训暨档案学会交流活动，以业务培训+实地参观+交流研讨的方式，进一步提升基层档案员档案业务水平。同时，米东区档案馆选派优秀干部进行外出培训交流，进一步提高干部专业素质，今年安排干部外出培训2次。</w:t>
            </w:r>
          </w:p>
        </w:tc>
        <w:tc>
          <w:tcPr>
            <w:tcW w:w="284" w:type="dxa"/>
            <w:tcBorders>
              <w:top w:val="nil"/>
              <w:left w:val="nil"/>
              <w:bottom w:val="nil"/>
              <w:right w:val="nil"/>
            </w:tcBorders>
            <w:noWrap/>
            <w:vAlign w:val="center"/>
          </w:tcPr>
          <w:p w14:paraId="08563870">
            <w:pPr>
              <w:rPr>
                <w:rFonts w:hint="eastAsia" w:ascii="宋体" w:hAnsi="宋体" w:eastAsia="宋体" w:cs="宋体"/>
                <w:sz w:val="18"/>
                <w:szCs w:val="18"/>
                <w:lang w:eastAsia="zh-CN"/>
              </w:rPr>
            </w:pPr>
          </w:p>
        </w:tc>
      </w:tr>
      <w:tr w14:paraId="48E74F89">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3547D3C">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B554DD2">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297682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58270C3">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82CBA3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6F08D80">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5711FD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0FDF921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EF43022">
            <w:pPr>
              <w:rPr>
                <w:rFonts w:hint="eastAsia" w:ascii="宋体" w:hAnsi="宋体" w:eastAsia="宋体" w:cs="宋体"/>
                <w:b/>
                <w:bCs/>
                <w:sz w:val="18"/>
                <w:szCs w:val="18"/>
              </w:rPr>
            </w:pPr>
          </w:p>
        </w:tc>
      </w:tr>
      <w:tr w14:paraId="18E58168">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CE303AC">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C10D392">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C916C1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建设档案专题数据库个数</w:t>
            </w:r>
          </w:p>
        </w:tc>
        <w:tc>
          <w:tcPr>
            <w:tcW w:w="1276" w:type="dxa"/>
            <w:tcBorders>
              <w:top w:val="nil"/>
              <w:left w:val="nil"/>
              <w:bottom w:val="single" w:color="auto" w:sz="4" w:space="0"/>
              <w:right w:val="single" w:color="auto" w:sz="4" w:space="0"/>
            </w:tcBorders>
            <w:noWrap/>
            <w:vAlign w:val="center"/>
          </w:tcPr>
          <w:p w14:paraId="41EBB4D2">
            <w:pPr>
              <w:jc w:val="center"/>
              <w:rPr>
                <w:rFonts w:hint="eastAsia" w:ascii="宋体" w:hAnsi="宋体" w:eastAsia="宋体" w:cs="宋体"/>
                <w:sz w:val="18"/>
                <w:szCs w:val="18"/>
              </w:rPr>
            </w:pPr>
            <w:r>
              <w:rPr>
                <w:rFonts w:hint="eastAsia" w:ascii="宋体" w:hAnsi="宋体" w:eastAsia="宋体" w:cs="宋体"/>
                <w:sz w:val="18"/>
                <w:szCs w:val="18"/>
              </w:rPr>
              <w:t>&gt;=3个</w:t>
            </w:r>
          </w:p>
        </w:tc>
        <w:tc>
          <w:tcPr>
            <w:tcW w:w="1701" w:type="dxa"/>
            <w:tcBorders>
              <w:top w:val="nil"/>
              <w:left w:val="nil"/>
              <w:bottom w:val="single" w:color="auto" w:sz="4" w:space="0"/>
              <w:right w:val="single" w:color="auto" w:sz="4" w:space="0"/>
            </w:tcBorders>
            <w:noWrap/>
            <w:vAlign w:val="center"/>
          </w:tcPr>
          <w:p w14:paraId="0A84C4AB">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新疆维吾尔自治区地县级综合档案馆业务建设评价标准</w:t>
            </w:r>
          </w:p>
        </w:tc>
        <w:tc>
          <w:tcPr>
            <w:tcW w:w="1134" w:type="dxa"/>
            <w:tcBorders>
              <w:top w:val="nil"/>
              <w:left w:val="nil"/>
              <w:bottom w:val="single" w:color="auto" w:sz="4" w:space="0"/>
              <w:right w:val="single" w:color="auto" w:sz="4" w:space="0"/>
            </w:tcBorders>
            <w:noWrap/>
            <w:vAlign w:val="center"/>
          </w:tcPr>
          <w:p w14:paraId="22798893">
            <w:pPr>
              <w:jc w:val="center"/>
              <w:rPr>
                <w:rFonts w:hint="eastAsia" w:ascii="宋体" w:hAnsi="宋体" w:eastAsia="宋体" w:cs="宋体"/>
                <w:sz w:val="18"/>
                <w:szCs w:val="18"/>
              </w:rPr>
            </w:pPr>
            <w:r>
              <w:rPr>
                <w:rFonts w:hint="eastAsia" w:ascii="宋体" w:hAnsi="宋体" w:eastAsia="宋体" w:cs="宋体"/>
                <w:sz w:val="18"/>
                <w:szCs w:val="18"/>
              </w:rPr>
              <w:t>3</w:t>
            </w:r>
          </w:p>
        </w:tc>
        <w:tc>
          <w:tcPr>
            <w:tcW w:w="992" w:type="dxa"/>
            <w:tcBorders>
              <w:top w:val="nil"/>
              <w:left w:val="nil"/>
              <w:bottom w:val="single" w:color="auto" w:sz="4" w:space="0"/>
              <w:right w:val="single" w:color="auto" w:sz="4" w:space="0"/>
            </w:tcBorders>
            <w:noWrap/>
            <w:vAlign w:val="center"/>
          </w:tcPr>
          <w:p w14:paraId="2B79289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216599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E777C3A">
            <w:pPr>
              <w:jc w:val="center"/>
              <w:rPr>
                <w:rFonts w:hint="eastAsia" w:ascii="宋体" w:hAnsi="宋体" w:eastAsia="宋体" w:cs="宋体"/>
                <w:sz w:val="18"/>
                <w:szCs w:val="18"/>
              </w:rPr>
            </w:pPr>
          </w:p>
        </w:tc>
      </w:tr>
      <w:tr w14:paraId="37D492A4">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7A23F6F">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668583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C0C4BF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档案馆库全面检查次数</w:t>
            </w:r>
          </w:p>
        </w:tc>
        <w:tc>
          <w:tcPr>
            <w:tcW w:w="1276" w:type="dxa"/>
            <w:tcBorders>
              <w:top w:val="nil"/>
              <w:left w:val="nil"/>
              <w:bottom w:val="single" w:color="auto" w:sz="4" w:space="0"/>
              <w:right w:val="single" w:color="auto" w:sz="4" w:space="0"/>
            </w:tcBorders>
            <w:noWrap/>
            <w:vAlign w:val="center"/>
          </w:tcPr>
          <w:p w14:paraId="0ECACF06">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1574C491">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新疆维吾尔自治区地县级综合档案馆业务建设评价标准</w:t>
            </w:r>
          </w:p>
        </w:tc>
        <w:tc>
          <w:tcPr>
            <w:tcW w:w="1134" w:type="dxa"/>
            <w:tcBorders>
              <w:top w:val="nil"/>
              <w:left w:val="nil"/>
              <w:bottom w:val="single" w:color="auto" w:sz="4" w:space="0"/>
              <w:right w:val="single" w:color="auto" w:sz="4" w:space="0"/>
            </w:tcBorders>
            <w:noWrap/>
            <w:vAlign w:val="center"/>
          </w:tcPr>
          <w:p w14:paraId="3BA5A8AC">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5D44989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B9EA4F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02C2002">
            <w:pPr>
              <w:jc w:val="center"/>
              <w:rPr>
                <w:rFonts w:hint="eastAsia" w:ascii="宋体" w:hAnsi="宋体" w:eastAsia="宋体" w:cs="宋体"/>
                <w:sz w:val="18"/>
                <w:szCs w:val="18"/>
              </w:rPr>
            </w:pPr>
          </w:p>
        </w:tc>
      </w:tr>
      <w:tr w14:paraId="5E6F3120">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10A73F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90FE9E1">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328C2F16">
            <w:pPr>
              <w:jc w:val="center"/>
              <w:rPr>
                <w:rFonts w:hint="eastAsia" w:ascii="宋体" w:hAnsi="宋体" w:eastAsia="宋体" w:cs="宋体"/>
                <w:sz w:val="18"/>
                <w:szCs w:val="18"/>
              </w:rPr>
            </w:pPr>
            <w:r>
              <w:rPr>
                <w:rFonts w:hint="eastAsia" w:ascii="宋体" w:hAnsi="宋体" w:eastAsia="宋体" w:cs="宋体"/>
                <w:sz w:val="18"/>
                <w:szCs w:val="18"/>
              </w:rPr>
              <w:t>安全保密培训次数</w:t>
            </w:r>
          </w:p>
        </w:tc>
        <w:tc>
          <w:tcPr>
            <w:tcW w:w="1276" w:type="dxa"/>
            <w:tcBorders>
              <w:top w:val="single" w:color="auto" w:sz="4" w:space="0"/>
              <w:left w:val="nil"/>
              <w:bottom w:val="single" w:color="auto" w:sz="4" w:space="0"/>
              <w:right w:val="single" w:color="auto" w:sz="4" w:space="0"/>
            </w:tcBorders>
            <w:noWrap/>
            <w:vAlign w:val="center"/>
          </w:tcPr>
          <w:p w14:paraId="46F72A5F">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13214E04">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新疆维吾尔自治区地县级综合档案馆业务建设评价标准</w:t>
            </w:r>
          </w:p>
        </w:tc>
        <w:tc>
          <w:tcPr>
            <w:tcW w:w="1134" w:type="dxa"/>
            <w:tcBorders>
              <w:top w:val="single" w:color="auto" w:sz="4" w:space="0"/>
              <w:left w:val="nil"/>
              <w:bottom w:val="single" w:color="auto" w:sz="4" w:space="0"/>
              <w:right w:val="single" w:color="auto" w:sz="4" w:space="0"/>
            </w:tcBorders>
            <w:noWrap/>
            <w:vAlign w:val="center"/>
          </w:tcPr>
          <w:p w14:paraId="7FBA9836">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346E48A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5E5097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EA86D20">
            <w:pPr>
              <w:jc w:val="center"/>
              <w:rPr>
                <w:rFonts w:hint="eastAsia" w:ascii="宋体" w:hAnsi="宋体" w:eastAsia="宋体" w:cs="宋体"/>
                <w:sz w:val="18"/>
                <w:szCs w:val="18"/>
              </w:rPr>
            </w:pPr>
          </w:p>
        </w:tc>
      </w:tr>
      <w:tr w14:paraId="50FFA7D3">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ABC83EC">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D1DD2C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5C2BA7D5">
            <w:pPr>
              <w:jc w:val="center"/>
              <w:rPr>
                <w:rFonts w:hint="eastAsia" w:ascii="宋体" w:hAnsi="宋体" w:eastAsia="宋体" w:cs="宋体"/>
                <w:sz w:val="18"/>
                <w:szCs w:val="18"/>
              </w:rPr>
            </w:pPr>
            <w:r>
              <w:rPr>
                <w:rFonts w:hint="eastAsia" w:ascii="宋体" w:hAnsi="宋体" w:eastAsia="宋体" w:cs="宋体"/>
                <w:sz w:val="18"/>
                <w:szCs w:val="18"/>
              </w:rPr>
              <w:t>99.77</w:t>
            </w:r>
          </w:p>
        </w:tc>
        <w:tc>
          <w:tcPr>
            <w:tcW w:w="284" w:type="dxa"/>
            <w:tcBorders>
              <w:top w:val="nil"/>
              <w:left w:val="nil"/>
              <w:bottom w:val="nil"/>
              <w:right w:val="nil"/>
            </w:tcBorders>
            <w:noWrap/>
            <w:vAlign w:val="center"/>
          </w:tcPr>
          <w:p w14:paraId="11D26F2C">
            <w:pPr>
              <w:jc w:val="center"/>
              <w:rPr>
                <w:rFonts w:hint="eastAsia" w:ascii="宋体" w:hAnsi="宋体" w:eastAsia="宋体" w:cs="宋体"/>
                <w:sz w:val="18"/>
                <w:szCs w:val="18"/>
              </w:rPr>
            </w:pPr>
          </w:p>
        </w:tc>
      </w:tr>
      <w:bookmarkEnd w:id="9"/>
    </w:tbl>
    <w:p w14:paraId="2A048E82">
      <w:pPr>
        <w:rPr>
          <w:rFonts w:hint="eastAsia" w:ascii="仿宋_GB2312" w:eastAsia="仿宋_GB2312"/>
          <w:sz w:val="32"/>
          <w:szCs w:val="32"/>
          <w:lang w:eastAsia="zh-CN"/>
        </w:rPr>
      </w:pPr>
      <w:r>
        <w:rPr>
          <w:rFonts w:hint="eastAsia" w:ascii="仿宋_GB2312" w:eastAsia="仿宋_GB2312"/>
          <w:sz w:val="32"/>
          <w:szCs w:val="32"/>
          <w:lang w:eastAsia="zh-CN"/>
        </w:rPr>
        <w:br w:type="page"/>
      </w:r>
      <w:bookmarkStart w:id="10" w:name="_GoBack"/>
      <w:bookmarkEnd w:id="10"/>
    </w:p>
    <w:p w14:paraId="4863B3F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3FBB9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5B16106D">
      <w:pPr>
        <w:spacing w:after="0" w:line="240" w:lineRule="auto"/>
        <w:ind w:firstLine="640" w:firstLineChars="200"/>
        <w:rPr>
          <w:rFonts w:hint="eastAsia" w:ascii="仿宋_GB2312" w:eastAsia="仿宋_GB2312"/>
          <w:sz w:val="32"/>
          <w:szCs w:val="32"/>
          <w:lang w:eastAsia="zh-CN"/>
        </w:rPr>
      </w:pPr>
    </w:p>
    <w:p w14:paraId="788107D3">
      <w:pPr>
        <w:rPr>
          <w:rFonts w:hint="eastAsia"/>
          <w:lang w:eastAsia="zh-CN"/>
        </w:rPr>
      </w:pPr>
      <w:r>
        <w:rPr>
          <w:sz w:val="0"/>
          <w:szCs w:val="0"/>
          <w:lang w:eastAsia="zh-CN"/>
        </w:rPr>
        <w:br w:type="page"/>
      </w:r>
    </w:p>
    <w:p w14:paraId="09162EE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3111FB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2FA8F3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155F63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9D4959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B7CBA3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B00DEC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B6FF38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0DE5D7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B41C0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1A53B0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AD62B4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546EAF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CB07A4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4F648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5D1A455">
      <w:pPr>
        <w:rPr>
          <w:rFonts w:hint="eastAsia"/>
          <w:lang w:eastAsia="zh-CN"/>
        </w:rPr>
      </w:pPr>
      <w:r>
        <w:rPr>
          <w:sz w:val="0"/>
          <w:szCs w:val="0"/>
          <w:lang w:eastAsia="zh-CN"/>
        </w:rPr>
        <w:br w:type="page"/>
      </w:r>
    </w:p>
    <w:p w14:paraId="469A175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07D280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C74CDA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802ACA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09A7526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311D07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D76B61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E34D3B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BAA1BB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7F73E2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4853FC"/>
    <w:rsid w:val="00005E9D"/>
    <w:rsid w:val="0004268C"/>
    <w:rsid w:val="000C433E"/>
    <w:rsid w:val="004853FC"/>
    <w:rsid w:val="00A24DEF"/>
    <w:rsid w:val="00D2625E"/>
    <w:rsid w:val="00DD222E"/>
    <w:rsid w:val="1E19392B"/>
    <w:rsid w:val="24D46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7303</Words>
  <Characters>7936</Characters>
  <Lines>384</Lines>
  <Paragraphs>292</Paragraphs>
  <TotalTime>22</TotalTime>
  <ScaleCrop>false</ScaleCrop>
  <LinksUpToDate>false</LinksUpToDate>
  <CharactersWithSpaces>7946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2025-10-07T07:24:00Z</dcterms:created>
  <dc:creator>华为</dc:creator>
  <cp:lastModifiedBy>T</cp:lastModifiedBy>
  <dcterms:modified xsi:type="dcterms:W3CDTF">2025-10-14T10:25:00Z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9088AB3A971F4769B6CEA916C9D228F5_12</vt:lpwstr>
  </property>
</Properties>
</file>