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DA7013">
      <w:pPr>
        <w:spacing w:after="0" w:line="240" w:lineRule="auto"/>
        <w:rPr>
          <w:rFonts w:hint="eastAsia" w:ascii="宋体" w:eastAsia="宋体"/>
          <w:sz w:val="32"/>
          <w:szCs w:val="32"/>
        </w:rPr>
      </w:pPr>
    </w:p>
    <w:p w14:paraId="48958146">
      <w:pPr>
        <w:spacing w:after="0" w:line="240" w:lineRule="auto"/>
        <w:rPr>
          <w:rFonts w:hint="eastAsia" w:ascii="宋体" w:eastAsia="宋体"/>
          <w:sz w:val="44"/>
          <w:szCs w:val="44"/>
        </w:rPr>
      </w:pPr>
    </w:p>
    <w:p w14:paraId="3C01A058">
      <w:pPr>
        <w:spacing w:after="0" w:line="240" w:lineRule="auto"/>
        <w:rPr>
          <w:rFonts w:hint="eastAsia" w:ascii="宋体" w:eastAsia="宋体"/>
          <w:sz w:val="44"/>
          <w:szCs w:val="44"/>
        </w:rPr>
      </w:pPr>
    </w:p>
    <w:p w14:paraId="71E5358A">
      <w:pPr>
        <w:spacing w:after="0" w:line="240" w:lineRule="auto"/>
        <w:rPr>
          <w:rFonts w:hint="eastAsia" w:ascii="宋体" w:eastAsia="宋体"/>
          <w:sz w:val="44"/>
          <w:szCs w:val="44"/>
        </w:rPr>
      </w:pPr>
    </w:p>
    <w:p w14:paraId="34988B22">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乌鲁木齐市米东区疾病预防控制中心</w:t>
      </w:r>
    </w:p>
    <w:p w14:paraId="2DE164B6">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3FF72497">
      <w:pPr>
        <w:rPr>
          <w:rFonts w:hint="eastAsia"/>
          <w:lang w:eastAsia="zh-CN"/>
        </w:rPr>
      </w:pPr>
      <w:r>
        <w:rPr>
          <w:sz w:val="0"/>
          <w:szCs w:val="0"/>
          <w:lang w:eastAsia="zh-CN"/>
        </w:rPr>
        <w:br w:type="page"/>
      </w:r>
    </w:p>
    <w:p w14:paraId="06089657">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0E325380">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14BD171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1290FFA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4A224FBB">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615042E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43E47DE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2F81BF2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36F7A03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33EF66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6192426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2895B7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144EAEB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65C8E17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190B514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48436E8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38EFE04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695D285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1F073AC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1EA2D5E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78C7170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7A21D8C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0CCC267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03108ACE">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2CF59C5E">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1065F19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66870C1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6804BCF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24027FA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1AFADBF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3A0663A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391F36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F01097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51388F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65B10485">
      <w:pPr>
        <w:rPr>
          <w:rFonts w:hint="eastAsia"/>
          <w:lang w:eastAsia="zh-CN"/>
        </w:rPr>
      </w:pPr>
      <w:r>
        <w:rPr>
          <w:sz w:val="0"/>
          <w:szCs w:val="0"/>
          <w:lang w:eastAsia="zh-CN"/>
        </w:rPr>
        <w:br w:type="page"/>
      </w:r>
    </w:p>
    <w:p w14:paraId="0E7AEB8D">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353DAB7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16F18F9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疾病预防控制中心于2008年10月正式成立，我中心承担着全区各族人民群众的疾病预防与控制工作，处置突发公共卫生事件，开展相关产品检验和评价，提供公共卫生检测结果与信息服务,对下级机构的业务指导。承担着全区性病监测、AFP监测、腹泻病监测、生活饮用水监测、学校卫生传染病监测、碘盐监测等监测任务；全区儿童计划免疫；孕产妇、儿童系统管理，集体、散居儿童保健、营养指导、结核病控制项目、慢性病、老年病和精神卫生、美沙酮维持治疗以及米东区鼠疫防治工作。</w:t>
      </w:r>
    </w:p>
    <w:p w14:paraId="1A2DCA7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576901D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乌鲁木齐市米东区疾病预防控制中心2024年度，实有人数458人，其中：在职人员415人，增加6人；离休人员0人，较上年无变化；退休人员43人，增加1人。</w:t>
      </w:r>
    </w:p>
    <w:p w14:paraId="69EB067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乌鲁木齐市米东区疾病预防控制中心无下属预算单位，下设14个</w:t>
      </w:r>
      <w:r>
        <w:rPr>
          <w:rFonts w:hint="eastAsia" w:ascii="仿宋_GB2312" w:eastAsia="仿宋_GB2312"/>
          <w:sz w:val="32"/>
          <w:szCs w:val="32"/>
          <w:lang w:eastAsia="zh-CN"/>
        </w:rPr>
        <w:t>科室</w:t>
      </w:r>
      <w:r>
        <w:rPr>
          <w:rFonts w:ascii="仿宋_GB2312" w:eastAsia="仿宋_GB2312"/>
          <w:sz w:val="32"/>
          <w:szCs w:val="32"/>
          <w:lang w:eastAsia="zh-CN"/>
        </w:rPr>
        <w:t>，分别是：行政综合办公室</w:t>
      </w:r>
      <w:r>
        <w:rPr>
          <w:rFonts w:hint="eastAsia" w:ascii="仿宋_GB2312" w:eastAsia="仿宋_GB2312"/>
          <w:sz w:val="32"/>
          <w:szCs w:val="32"/>
          <w:lang w:eastAsia="zh-CN"/>
        </w:rPr>
        <w:t>、</w:t>
      </w:r>
      <w:r>
        <w:rPr>
          <w:rFonts w:ascii="仿宋_GB2312" w:eastAsia="仿宋_GB2312"/>
          <w:sz w:val="32"/>
          <w:szCs w:val="32"/>
          <w:lang w:eastAsia="zh-CN"/>
        </w:rPr>
        <w:t>传防科</w:t>
      </w:r>
      <w:r>
        <w:rPr>
          <w:rFonts w:hint="eastAsia" w:ascii="仿宋_GB2312" w:eastAsia="仿宋_GB2312"/>
          <w:sz w:val="32"/>
          <w:szCs w:val="32"/>
          <w:lang w:eastAsia="zh-CN"/>
        </w:rPr>
        <w:t>、</w:t>
      </w:r>
      <w:r>
        <w:rPr>
          <w:rFonts w:ascii="仿宋_GB2312" w:eastAsia="仿宋_GB2312"/>
          <w:sz w:val="32"/>
          <w:szCs w:val="32"/>
          <w:lang w:eastAsia="zh-CN"/>
        </w:rPr>
        <w:t>免疫规划科</w:t>
      </w:r>
      <w:r>
        <w:rPr>
          <w:rFonts w:hint="eastAsia" w:ascii="仿宋_GB2312" w:eastAsia="仿宋_GB2312"/>
          <w:sz w:val="32"/>
          <w:szCs w:val="32"/>
          <w:lang w:eastAsia="zh-CN"/>
        </w:rPr>
        <w:t>、</w:t>
      </w:r>
      <w:r>
        <w:rPr>
          <w:rFonts w:ascii="仿宋_GB2312" w:eastAsia="仿宋_GB2312"/>
          <w:sz w:val="32"/>
          <w:szCs w:val="32"/>
          <w:lang w:eastAsia="zh-CN"/>
        </w:rPr>
        <w:t>质管科</w:t>
      </w:r>
      <w:r>
        <w:rPr>
          <w:rFonts w:hint="eastAsia" w:ascii="仿宋_GB2312" w:eastAsia="仿宋_GB2312"/>
          <w:sz w:val="32"/>
          <w:szCs w:val="32"/>
          <w:lang w:eastAsia="zh-CN"/>
        </w:rPr>
        <w:t>、</w:t>
      </w:r>
      <w:r>
        <w:rPr>
          <w:rFonts w:ascii="仿宋_GB2312" w:eastAsia="仿宋_GB2312"/>
          <w:sz w:val="32"/>
          <w:szCs w:val="32"/>
          <w:lang w:eastAsia="zh-CN"/>
        </w:rPr>
        <w:t>结艾科</w:t>
      </w:r>
      <w:r>
        <w:rPr>
          <w:rFonts w:hint="eastAsia" w:ascii="仿宋_GB2312" w:eastAsia="仿宋_GB2312"/>
          <w:sz w:val="32"/>
          <w:szCs w:val="32"/>
          <w:lang w:eastAsia="zh-CN"/>
        </w:rPr>
        <w:t>、</w:t>
      </w:r>
      <w:r>
        <w:rPr>
          <w:rFonts w:ascii="仿宋_GB2312" w:eastAsia="仿宋_GB2312"/>
          <w:sz w:val="32"/>
          <w:szCs w:val="32"/>
          <w:lang w:eastAsia="zh-CN"/>
        </w:rPr>
        <w:t>公卫科</w:t>
      </w:r>
      <w:r>
        <w:rPr>
          <w:rFonts w:hint="eastAsia" w:ascii="仿宋_GB2312" w:eastAsia="仿宋_GB2312"/>
          <w:sz w:val="32"/>
          <w:szCs w:val="32"/>
          <w:lang w:eastAsia="zh-CN"/>
        </w:rPr>
        <w:t>、</w:t>
      </w:r>
      <w:r>
        <w:rPr>
          <w:rFonts w:ascii="仿宋_GB2312" w:eastAsia="仿宋_GB2312"/>
          <w:sz w:val="32"/>
          <w:szCs w:val="32"/>
          <w:lang w:eastAsia="zh-CN"/>
        </w:rPr>
        <w:t>地病科</w:t>
      </w:r>
      <w:r>
        <w:rPr>
          <w:rFonts w:hint="eastAsia" w:ascii="仿宋_GB2312" w:eastAsia="仿宋_GB2312"/>
          <w:sz w:val="32"/>
          <w:szCs w:val="32"/>
          <w:lang w:eastAsia="zh-CN"/>
        </w:rPr>
        <w:t>、</w:t>
      </w:r>
      <w:r>
        <w:rPr>
          <w:rFonts w:ascii="仿宋_GB2312" w:eastAsia="仿宋_GB2312"/>
          <w:sz w:val="32"/>
          <w:szCs w:val="32"/>
          <w:lang w:eastAsia="zh-CN"/>
        </w:rPr>
        <w:t>鼠防科</w:t>
      </w:r>
      <w:r>
        <w:rPr>
          <w:rFonts w:hint="eastAsia" w:ascii="仿宋_GB2312" w:eastAsia="仿宋_GB2312"/>
          <w:sz w:val="32"/>
          <w:szCs w:val="32"/>
          <w:lang w:eastAsia="zh-CN"/>
        </w:rPr>
        <w:t>、</w:t>
      </w:r>
      <w:r>
        <w:rPr>
          <w:rFonts w:ascii="仿宋_GB2312" w:eastAsia="仿宋_GB2312"/>
          <w:sz w:val="32"/>
          <w:szCs w:val="32"/>
          <w:lang w:eastAsia="zh-CN"/>
        </w:rPr>
        <w:t>慢病科</w:t>
      </w:r>
      <w:r>
        <w:rPr>
          <w:rFonts w:hint="eastAsia" w:ascii="仿宋_GB2312" w:eastAsia="仿宋_GB2312"/>
          <w:sz w:val="32"/>
          <w:szCs w:val="32"/>
          <w:lang w:eastAsia="zh-CN"/>
        </w:rPr>
        <w:t>、</w:t>
      </w:r>
      <w:r>
        <w:rPr>
          <w:rFonts w:ascii="仿宋_GB2312" w:eastAsia="仿宋_GB2312"/>
          <w:sz w:val="32"/>
          <w:szCs w:val="32"/>
          <w:lang w:eastAsia="zh-CN"/>
        </w:rPr>
        <w:t>财务科</w:t>
      </w:r>
      <w:r>
        <w:rPr>
          <w:rFonts w:hint="eastAsia" w:ascii="仿宋_GB2312" w:eastAsia="仿宋_GB2312"/>
          <w:sz w:val="32"/>
          <w:szCs w:val="32"/>
          <w:lang w:eastAsia="zh-CN"/>
        </w:rPr>
        <w:t>、</w:t>
      </w:r>
      <w:r>
        <w:rPr>
          <w:rFonts w:ascii="仿宋_GB2312" w:eastAsia="仿宋_GB2312"/>
          <w:sz w:val="32"/>
          <w:szCs w:val="32"/>
          <w:lang w:eastAsia="zh-CN"/>
        </w:rPr>
        <w:t>病媒科</w:t>
      </w:r>
      <w:r>
        <w:rPr>
          <w:rFonts w:hint="eastAsia" w:ascii="仿宋_GB2312" w:eastAsia="仿宋_GB2312"/>
          <w:sz w:val="32"/>
          <w:szCs w:val="32"/>
          <w:lang w:eastAsia="zh-CN"/>
        </w:rPr>
        <w:t>、</w:t>
      </w:r>
      <w:r>
        <w:rPr>
          <w:rFonts w:ascii="仿宋_GB2312" w:eastAsia="仿宋_GB2312"/>
          <w:sz w:val="32"/>
          <w:szCs w:val="32"/>
          <w:lang w:eastAsia="zh-CN"/>
        </w:rPr>
        <w:t>检验科</w:t>
      </w:r>
      <w:r>
        <w:rPr>
          <w:rFonts w:hint="eastAsia" w:ascii="仿宋_GB2312" w:eastAsia="仿宋_GB2312"/>
          <w:sz w:val="32"/>
          <w:szCs w:val="32"/>
          <w:lang w:eastAsia="zh-CN"/>
        </w:rPr>
        <w:t>、</w:t>
      </w:r>
      <w:r>
        <w:rPr>
          <w:rFonts w:ascii="仿宋_GB2312" w:eastAsia="仿宋_GB2312"/>
          <w:sz w:val="32"/>
          <w:szCs w:val="32"/>
          <w:lang w:eastAsia="zh-CN"/>
        </w:rPr>
        <w:t>实验室</w:t>
      </w:r>
      <w:r>
        <w:rPr>
          <w:rFonts w:hint="eastAsia" w:ascii="仿宋_GB2312" w:eastAsia="仿宋_GB2312"/>
          <w:sz w:val="32"/>
          <w:szCs w:val="32"/>
          <w:lang w:eastAsia="zh-CN"/>
        </w:rPr>
        <w:t>、</w:t>
      </w:r>
      <w:r>
        <w:rPr>
          <w:rFonts w:ascii="仿宋_GB2312" w:eastAsia="仿宋_GB2312"/>
          <w:sz w:val="32"/>
          <w:szCs w:val="32"/>
          <w:lang w:eastAsia="zh-CN"/>
        </w:rPr>
        <w:t>美沙酮门诊。</w:t>
      </w:r>
    </w:p>
    <w:p w14:paraId="006CC978">
      <w:pPr>
        <w:rPr>
          <w:rFonts w:hint="eastAsia"/>
          <w:lang w:eastAsia="zh-CN"/>
        </w:rPr>
      </w:pPr>
      <w:r>
        <w:rPr>
          <w:sz w:val="0"/>
          <w:szCs w:val="0"/>
          <w:lang w:eastAsia="zh-CN"/>
        </w:rPr>
        <w:br w:type="page"/>
      </w:r>
    </w:p>
    <w:p w14:paraId="1AD7E508">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47EF694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2B2BE93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2024年度收入总计8,595.00万元，其中：本年收入合计8,346.16万元，使用非财政拨款结余（含专用结余）0.00万元，年初结转和结余248.84万元。</w:t>
      </w:r>
    </w:p>
    <w:p w14:paraId="46A9E7E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2024年度支出总计8,595.00万元，其中：本年支出合计7,310.67万元，结余分配0.00万元，年末结转和结余1,284.33万元。</w:t>
      </w:r>
    </w:p>
    <w:p w14:paraId="227EE39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收入支出总体与上年相比，减少399.13万元，下降4.44%，主要原因是：</w:t>
      </w:r>
      <w:r>
        <w:rPr>
          <w:rFonts w:hint="eastAsia" w:ascii="仿宋_GB2312" w:eastAsia="仿宋_GB2312"/>
          <w:sz w:val="32"/>
          <w:szCs w:val="32"/>
          <w:lang w:eastAsia="zh-CN"/>
        </w:rPr>
        <w:t>单位本年人员工资、津贴补贴、奖金、绩效工资等经费</w:t>
      </w:r>
      <w:r>
        <w:rPr>
          <w:rFonts w:ascii="仿宋_GB2312" w:eastAsia="仿宋_GB2312"/>
          <w:sz w:val="32"/>
          <w:szCs w:val="32"/>
          <w:lang w:eastAsia="zh-CN"/>
        </w:rPr>
        <w:t>减少</w:t>
      </w:r>
      <w:r>
        <w:rPr>
          <w:rFonts w:hint="eastAsia" w:ascii="仿宋_GB2312" w:eastAsia="仿宋_GB2312"/>
          <w:sz w:val="32"/>
          <w:szCs w:val="32"/>
          <w:lang w:eastAsia="zh-CN"/>
        </w:rPr>
        <w:t>；疾控中心检测类项目经费减少</w:t>
      </w:r>
      <w:r>
        <w:rPr>
          <w:rFonts w:ascii="仿宋_GB2312" w:eastAsia="仿宋_GB2312"/>
          <w:sz w:val="32"/>
          <w:szCs w:val="32"/>
          <w:lang w:eastAsia="zh-CN"/>
        </w:rPr>
        <w:t>。</w:t>
      </w:r>
    </w:p>
    <w:p w14:paraId="22CD5A8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56D424F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本年收入8,346.16万元，其中：财政拨款收入8,058.35万元,占96.55%；上级补助收入0.00万元,占0.00%；事业收入8.67万元，占0.10%；经营收入0.00万元,占0.00%；附属单位上缴收入0.00万元，占0.00%；其他收入279.14万元，占3.34%。</w:t>
      </w:r>
    </w:p>
    <w:p w14:paraId="7D9047D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78E9B8A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本年支出7,310.67万元，其中：基本支出6,775.95万元，占92.69%；项目支出534.72万元，占7.31%；上缴上级支出0.00万元，占0.00%；经营支出0.00万元，占0.00%；对附属单位补助支出0.00万元，占0.00%。</w:t>
      </w:r>
    </w:p>
    <w:p w14:paraId="6478438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3BA0860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8,058.35万元，其中：年初财政拨款结转和结余0.00万元，本年财政拨款收入8,058.35万元。财政拨款支出总计8,058.35万元，其中：年末财政拨款结转和结余805.68万元，本年财政拨款支出7,252.67万元。</w:t>
      </w:r>
    </w:p>
    <w:p w14:paraId="7BA587E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财政拨款收入支出总体与上年相比，减少430.11万元，下降5.07%，主要原因是：</w:t>
      </w:r>
      <w:r>
        <w:rPr>
          <w:rFonts w:hint="eastAsia" w:ascii="仿宋_GB2312" w:eastAsia="仿宋_GB2312"/>
          <w:sz w:val="32"/>
          <w:szCs w:val="32"/>
          <w:lang w:eastAsia="zh-CN"/>
        </w:rPr>
        <w:t>单位本年人员工资、津贴补贴、奖金、绩效工资等经费</w:t>
      </w:r>
      <w:r>
        <w:rPr>
          <w:rFonts w:ascii="仿宋_GB2312" w:eastAsia="仿宋_GB2312"/>
          <w:sz w:val="32"/>
          <w:szCs w:val="32"/>
          <w:lang w:eastAsia="zh-CN"/>
        </w:rPr>
        <w:t>减少</w:t>
      </w:r>
      <w:r>
        <w:rPr>
          <w:rFonts w:hint="eastAsia" w:ascii="仿宋_GB2312" w:eastAsia="仿宋_GB2312"/>
          <w:sz w:val="32"/>
          <w:szCs w:val="32"/>
          <w:lang w:eastAsia="zh-CN"/>
        </w:rPr>
        <w:t>；疾控中心检测类项目经费减少</w:t>
      </w:r>
      <w:r>
        <w:rPr>
          <w:rFonts w:ascii="仿宋_GB2312" w:eastAsia="仿宋_GB2312"/>
          <w:sz w:val="32"/>
          <w:szCs w:val="32"/>
          <w:lang w:eastAsia="zh-CN"/>
        </w:rPr>
        <w:t>。与年初预算相比，年初预算数5,863.84万元，决算数8,058.35万元，预决算差异率37.42%，主要原因是：年中</w:t>
      </w:r>
      <w:r>
        <w:rPr>
          <w:rFonts w:hint="eastAsia" w:ascii="仿宋_GB2312" w:eastAsia="仿宋_GB2312"/>
          <w:sz w:val="32"/>
          <w:szCs w:val="32"/>
          <w:lang w:eastAsia="zh-CN"/>
        </w:rPr>
        <w:t>追加中央财政基本卫生服务项目经费、中央重大传染病防治项目经费、自治区公共卫生服务（地方公共卫生）项目经费</w:t>
      </w:r>
      <w:r>
        <w:rPr>
          <w:rFonts w:ascii="仿宋_GB2312" w:eastAsia="仿宋_GB2312"/>
          <w:sz w:val="32"/>
          <w:szCs w:val="32"/>
          <w:lang w:eastAsia="zh-CN"/>
        </w:rPr>
        <w:t>。</w:t>
      </w:r>
    </w:p>
    <w:p w14:paraId="6AA62FC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6171369F">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05A17ED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2024年度一般公共预算财政拨款支出7,252.67万元，占本年支出合计的99.21%。与上年相比，减少1,235.79万元，下降14.56%，主要原因是：</w:t>
      </w:r>
      <w:r>
        <w:rPr>
          <w:rFonts w:hint="eastAsia" w:ascii="仿宋_GB2312" w:eastAsia="仿宋_GB2312"/>
          <w:sz w:val="32"/>
          <w:szCs w:val="32"/>
          <w:lang w:eastAsia="zh-CN"/>
        </w:rPr>
        <w:t>单位本年人员工资、津贴补贴、奖金、绩效工资等经费</w:t>
      </w:r>
      <w:r>
        <w:rPr>
          <w:rFonts w:ascii="仿宋_GB2312" w:eastAsia="仿宋_GB2312"/>
          <w:sz w:val="32"/>
          <w:szCs w:val="32"/>
          <w:lang w:eastAsia="zh-CN"/>
        </w:rPr>
        <w:t>减少</w:t>
      </w:r>
      <w:r>
        <w:rPr>
          <w:rFonts w:hint="eastAsia" w:ascii="仿宋_GB2312" w:eastAsia="仿宋_GB2312"/>
          <w:sz w:val="32"/>
          <w:szCs w:val="32"/>
          <w:lang w:eastAsia="zh-CN"/>
        </w:rPr>
        <w:t>；疾控中心检测类项目经费减少</w:t>
      </w:r>
      <w:r>
        <w:rPr>
          <w:rFonts w:ascii="仿宋_GB2312" w:eastAsia="仿宋_GB2312"/>
          <w:sz w:val="32"/>
          <w:szCs w:val="32"/>
          <w:lang w:eastAsia="zh-CN"/>
        </w:rPr>
        <w:t>。与年初预算相比，年初预算数5,863.84万元，决算数7,252.67万元，预决算差异率23.68%，主要原因是：年中</w:t>
      </w:r>
      <w:r>
        <w:rPr>
          <w:rFonts w:hint="eastAsia" w:ascii="仿宋_GB2312" w:eastAsia="仿宋_GB2312"/>
          <w:sz w:val="32"/>
          <w:szCs w:val="32"/>
          <w:lang w:eastAsia="zh-CN"/>
        </w:rPr>
        <w:t>追加中央财政基本卫生服务项目经费、中央重大传染病防治项目经费、自治区公共卫生服务（地方公共卫生）项目经费</w:t>
      </w:r>
      <w:r>
        <w:rPr>
          <w:rFonts w:ascii="仿宋_GB2312" w:eastAsia="仿宋_GB2312"/>
          <w:sz w:val="32"/>
          <w:szCs w:val="32"/>
          <w:lang w:eastAsia="zh-CN"/>
        </w:rPr>
        <w:t>。</w:t>
      </w:r>
    </w:p>
    <w:p w14:paraId="12A193EC">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0698E2BE">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社会保障和就业支出（类）798.18万元，占11.01%。</w:t>
      </w:r>
    </w:p>
    <w:p w14:paraId="6E434603">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卫生健康支出（类）6,454.49万元，占88.99%。</w:t>
      </w:r>
    </w:p>
    <w:p w14:paraId="3842DFED">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7CBD901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1、社会保障和就业支出（类）行政事业单位养老支出（款）机关事业单位基本养老保险缴费支出（项）：支出决算数为790.21万元，比上年决算增加296.23万元，增长59.97%，主要原因是：</w:t>
      </w:r>
      <w:bookmarkStart w:id="0" w:name="_Hlk209267990"/>
      <w:r>
        <w:rPr>
          <w:rFonts w:hint="eastAsia" w:ascii="仿宋_GB2312" w:eastAsia="仿宋_GB2312"/>
          <w:sz w:val="32"/>
          <w:szCs w:val="32"/>
          <w:lang w:eastAsia="zh-CN"/>
        </w:rPr>
        <w:t>单位本年社保缴费基数调增，人员养老保险缴费增加</w:t>
      </w:r>
      <w:bookmarkEnd w:id="0"/>
      <w:r>
        <w:rPr>
          <w:rFonts w:ascii="仿宋_GB2312" w:eastAsia="仿宋_GB2312"/>
          <w:sz w:val="32"/>
          <w:szCs w:val="32"/>
          <w:lang w:eastAsia="zh-CN"/>
        </w:rPr>
        <w:t>。</w:t>
      </w:r>
    </w:p>
    <w:p w14:paraId="1216D18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2、社会保障和就业支出（类）行政事业单位养老支出（款）机关事业单位职业年金缴费支出（项）：支出决算数为7.97万元，比上年决算增加7.97万元，增长100.00%，主要原因是：</w:t>
      </w:r>
      <w:bookmarkStart w:id="1" w:name="_Hlk209348735"/>
      <w:bookmarkStart w:id="2" w:name="_Hlk209268001"/>
      <w:r>
        <w:rPr>
          <w:rFonts w:hint="eastAsia" w:ascii="仿宋_GB2312" w:eastAsia="仿宋_GB2312"/>
          <w:sz w:val="32"/>
          <w:szCs w:val="32"/>
          <w:lang w:eastAsia="zh-CN"/>
        </w:rPr>
        <w:t>单位本年人员一次性职业年金缴费</w:t>
      </w:r>
      <w:bookmarkEnd w:id="1"/>
      <w:r>
        <w:rPr>
          <w:rFonts w:hint="eastAsia" w:ascii="仿宋_GB2312" w:eastAsia="仿宋_GB2312"/>
          <w:sz w:val="32"/>
          <w:szCs w:val="32"/>
          <w:lang w:eastAsia="zh-CN"/>
        </w:rPr>
        <w:t>增加</w:t>
      </w:r>
      <w:bookmarkEnd w:id="2"/>
      <w:r>
        <w:rPr>
          <w:rFonts w:ascii="仿宋_GB2312" w:eastAsia="仿宋_GB2312"/>
          <w:sz w:val="32"/>
          <w:szCs w:val="32"/>
          <w:lang w:eastAsia="zh-CN"/>
        </w:rPr>
        <w:t>。</w:t>
      </w:r>
    </w:p>
    <w:p w14:paraId="6A0400B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3、卫生健康支出（类）公共卫生（款）疾病预防控制机构（项）：支出决算数为5,977.77万元，比上年决算减少2,005.09万元，下降25.12%，主要原因是：</w:t>
      </w:r>
      <w:r>
        <w:rPr>
          <w:rFonts w:hint="eastAsia" w:ascii="仿宋_GB2312" w:eastAsia="仿宋_GB2312"/>
          <w:sz w:val="32"/>
          <w:szCs w:val="32"/>
          <w:lang w:eastAsia="zh-CN"/>
        </w:rPr>
        <w:t>单位本年人员工资、津贴补贴、奖金、绩效工资等经费</w:t>
      </w:r>
      <w:r>
        <w:rPr>
          <w:rFonts w:ascii="仿宋_GB2312" w:eastAsia="仿宋_GB2312"/>
          <w:sz w:val="32"/>
          <w:szCs w:val="32"/>
          <w:lang w:eastAsia="zh-CN"/>
        </w:rPr>
        <w:t>减少</w:t>
      </w:r>
      <w:r>
        <w:rPr>
          <w:rFonts w:hint="eastAsia" w:ascii="仿宋_GB2312" w:eastAsia="仿宋_GB2312"/>
          <w:sz w:val="32"/>
          <w:szCs w:val="32"/>
          <w:lang w:eastAsia="zh-CN"/>
        </w:rPr>
        <w:t>；疾控中心检测类项目经费减少</w:t>
      </w:r>
      <w:r>
        <w:rPr>
          <w:rFonts w:ascii="仿宋_GB2312" w:eastAsia="仿宋_GB2312"/>
          <w:sz w:val="32"/>
          <w:szCs w:val="32"/>
          <w:lang w:eastAsia="zh-CN"/>
        </w:rPr>
        <w:t>。</w:t>
      </w:r>
    </w:p>
    <w:p w14:paraId="74225F0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4、卫生健康支出（类）公共卫生（款）基本公共卫生服务（项）：支出决算数为149.29万元，比上年决算增加137.68万元，增长1,185.87%，主要原因是：</w:t>
      </w:r>
      <w:r>
        <w:rPr>
          <w:rFonts w:hint="eastAsia" w:ascii="仿宋_GB2312" w:eastAsia="仿宋_GB2312"/>
          <w:sz w:val="32"/>
          <w:szCs w:val="32"/>
          <w:lang w:eastAsia="zh-CN"/>
        </w:rPr>
        <w:t>本年中央财政基本卫生服务项目经费</w:t>
      </w:r>
      <w:r>
        <w:rPr>
          <w:rFonts w:ascii="仿宋_GB2312" w:eastAsia="仿宋_GB2312"/>
          <w:sz w:val="32"/>
          <w:szCs w:val="32"/>
          <w:lang w:eastAsia="zh-CN"/>
        </w:rPr>
        <w:t>增加。</w:t>
      </w:r>
    </w:p>
    <w:p w14:paraId="057D69A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5、卫生健康支出（类）公共卫生（款）重大公共卫生服务（项）：支出决算数为321.43万元，比上年决算增加321.43万元，增长100.00%，主要原因是：</w:t>
      </w:r>
      <w:r>
        <w:rPr>
          <w:rFonts w:hint="eastAsia" w:ascii="仿宋_GB2312" w:eastAsia="仿宋_GB2312"/>
          <w:sz w:val="32"/>
          <w:szCs w:val="32"/>
          <w:lang w:eastAsia="zh-CN"/>
        </w:rPr>
        <w:t>本年中央重大传染病防治项目经费增</w:t>
      </w:r>
      <w:r>
        <w:rPr>
          <w:rFonts w:ascii="仿宋_GB2312" w:eastAsia="仿宋_GB2312"/>
          <w:sz w:val="32"/>
          <w:szCs w:val="32"/>
          <w:lang w:eastAsia="zh-CN"/>
        </w:rPr>
        <w:t>加。</w:t>
      </w:r>
    </w:p>
    <w:p w14:paraId="5351BCE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6、卫生健康支出（类）公共卫生（款）其他公共卫生支出（项）：支出决算数为6.00万元，比上年决算增加6.00万元，增长100.00%，主要原因是：</w:t>
      </w:r>
      <w:r>
        <w:rPr>
          <w:rFonts w:hint="eastAsia" w:ascii="仿宋_GB2312" w:eastAsia="仿宋_GB2312"/>
          <w:sz w:val="32"/>
          <w:szCs w:val="32"/>
          <w:lang w:eastAsia="zh-CN"/>
        </w:rPr>
        <w:t>本年自治区公共卫生服务（地方公共卫生）项目经费</w:t>
      </w:r>
      <w:r>
        <w:rPr>
          <w:rFonts w:ascii="仿宋_GB2312" w:eastAsia="仿宋_GB2312"/>
          <w:sz w:val="32"/>
          <w:szCs w:val="32"/>
          <w:lang w:eastAsia="zh-CN"/>
        </w:rPr>
        <w:t>增加。</w:t>
      </w:r>
    </w:p>
    <w:p w14:paraId="0A1E7DD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092356C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6,775.95万元，其中：人员经费5,629.35万元，包括：基本工资、津贴补贴、奖金、绩效工资、机关事业单位基本养老保险缴费、职业年金缴费、职工基本医疗保险缴费、公务员医疗补助缴费、其他社会保障缴费和住房公积金。</w:t>
      </w:r>
    </w:p>
    <w:p w14:paraId="1F2DA3D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公用经费1,146.61万元，包括：办公费、印刷费、手续费、水费、电费、邮电费、取暖费、维修（护）费、租赁费、培训费、专用材料费、劳务费、委托业务费、工会经费、福利费和公务用车运行维护费。</w:t>
      </w:r>
    </w:p>
    <w:p w14:paraId="52A5EA4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38DB62B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EF4780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6520F10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01433E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55EE034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2024年度财政拨款“三公”经费支出9.79万元，比上年减少4.37万元，下降30.86%，主要原因是：</w:t>
      </w:r>
      <w:bookmarkStart w:id="3" w:name="_Hlk207110071"/>
      <w:r>
        <w:rPr>
          <w:rFonts w:hint="eastAsia" w:ascii="仿宋_GB2312" w:eastAsia="仿宋_GB2312"/>
          <w:sz w:val="32"/>
          <w:szCs w:val="32"/>
          <w:lang w:eastAsia="zh-CN"/>
        </w:rPr>
        <w:t>车辆出行次数减少，车辆保险费、燃油费、过路费减少</w:t>
      </w:r>
      <w:bookmarkEnd w:id="3"/>
      <w:r>
        <w:rPr>
          <w:rFonts w:ascii="仿宋_GB2312" w:eastAsia="仿宋_GB2312"/>
          <w:sz w:val="32"/>
          <w:szCs w:val="32"/>
          <w:lang w:eastAsia="zh-CN"/>
        </w:rPr>
        <w:t>。其中：因公出国（境）费支出0.00万元,占0.00%，与上年相比无变化，主要原因是：</w:t>
      </w:r>
      <w:bookmarkStart w:id="4" w:name="_Hlk207114081"/>
      <w:bookmarkStart w:id="5" w:name="_Hlk207720892"/>
      <w:r>
        <w:rPr>
          <w:rFonts w:hint="eastAsia" w:ascii="仿宋_GB2312" w:eastAsia="仿宋_GB2312"/>
          <w:sz w:val="32"/>
          <w:szCs w:val="32"/>
          <w:lang w:eastAsia="zh-CN"/>
        </w:rPr>
        <w:t>我单位上年度与本年度均无</w:t>
      </w:r>
      <w:bookmarkEnd w:id="4"/>
      <w:r>
        <w:rPr>
          <w:rFonts w:hint="eastAsia" w:ascii="仿宋_GB2312" w:eastAsia="仿宋_GB2312"/>
          <w:sz w:val="32"/>
          <w:szCs w:val="32"/>
          <w:lang w:eastAsia="zh-CN"/>
        </w:rPr>
        <w:t>此项经费</w:t>
      </w:r>
      <w:bookmarkEnd w:id="5"/>
      <w:r>
        <w:rPr>
          <w:rFonts w:ascii="仿宋_GB2312" w:eastAsia="仿宋_GB2312"/>
          <w:sz w:val="32"/>
          <w:szCs w:val="32"/>
          <w:lang w:eastAsia="zh-CN"/>
        </w:rPr>
        <w:t>；公务用车购置及运行维护费支出9.79万元，占100.00%，比上年减少4.37万元，下降30.86%，主要原因是：</w:t>
      </w:r>
      <w:r>
        <w:rPr>
          <w:rFonts w:hint="eastAsia" w:ascii="仿宋_GB2312" w:eastAsia="仿宋_GB2312"/>
          <w:sz w:val="32"/>
          <w:szCs w:val="32"/>
          <w:lang w:eastAsia="zh-CN"/>
        </w:rPr>
        <w:t>车辆出行次数减少，车辆保险费、燃油费、过路费减少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02EF380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3F2420E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6" w:name="_Hlk207127465"/>
      <w:r>
        <w:rPr>
          <w:rFonts w:ascii="仿宋_GB2312" w:eastAsia="仿宋_GB2312"/>
          <w:sz w:val="32"/>
          <w:szCs w:val="32"/>
          <w:lang w:eastAsia="zh-CN"/>
        </w:rPr>
        <w:t>本单位本年无因公出国（境）费</w:t>
      </w:r>
      <w:bookmarkEnd w:id="6"/>
      <w:r>
        <w:rPr>
          <w:rFonts w:ascii="仿宋_GB2312" w:eastAsia="仿宋_GB2312"/>
          <w:sz w:val="32"/>
          <w:szCs w:val="32"/>
          <w:lang w:eastAsia="zh-CN"/>
        </w:rPr>
        <w:t>。单位全年安排的因公出国（境）团组0个，因公出国（境）0人次。</w:t>
      </w:r>
    </w:p>
    <w:p w14:paraId="023A4FC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公务用车购置及运行维护费9.79万元，其中：公务用车购置费0.00万元，公务用车运行维护费9.79万元。公务用车运行维护费开支内容包括</w:t>
      </w:r>
      <w:bookmarkStart w:id="7" w:name="_Hlk207110208"/>
      <w:r>
        <w:rPr>
          <w:rFonts w:hint="eastAsia" w:ascii="仿宋_GB2312" w:eastAsia="仿宋_GB2312"/>
          <w:sz w:val="32"/>
          <w:szCs w:val="32"/>
          <w:lang w:eastAsia="zh-CN"/>
        </w:rPr>
        <w:t>公务用车燃油费、车辆维修维护费、保险费、过路费等</w:t>
      </w:r>
      <w:bookmarkEnd w:id="7"/>
      <w:r>
        <w:rPr>
          <w:rFonts w:ascii="仿宋_GB2312" w:eastAsia="仿宋_GB2312"/>
          <w:sz w:val="32"/>
          <w:szCs w:val="32"/>
          <w:lang w:eastAsia="zh-CN"/>
        </w:rPr>
        <w:t>。公务用车购置数0辆，公务用车保有量10辆。国有资产占用情况中固定资产车辆10辆，与公务用车保有量差异原因是：</w:t>
      </w:r>
      <w:bookmarkStart w:id="8" w:name="_Hlk208326029"/>
      <w:r>
        <w:rPr>
          <w:rFonts w:hint="eastAsia" w:ascii="仿宋_GB2312" w:eastAsia="仿宋_GB2312"/>
          <w:sz w:val="32"/>
          <w:szCs w:val="32"/>
          <w:lang w:eastAsia="zh-CN"/>
        </w:rPr>
        <w:t>本单位固定资产车辆与公务用车保有量一致无差异</w:t>
      </w:r>
      <w:bookmarkEnd w:id="8"/>
      <w:r>
        <w:rPr>
          <w:rFonts w:ascii="仿宋_GB2312" w:eastAsia="仿宋_GB2312"/>
          <w:sz w:val="32"/>
          <w:szCs w:val="32"/>
          <w:lang w:eastAsia="zh-CN"/>
        </w:rPr>
        <w:t>。</w:t>
      </w:r>
    </w:p>
    <w:p w14:paraId="43201A5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9" w:name="_Hlk207128367"/>
      <w:r>
        <w:rPr>
          <w:rFonts w:ascii="仿宋_GB2312" w:eastAsia="仿宋_GB2312"/>
          <w:sz w:val="32"/>
          <w:szCs w:val="32"/>
          <w:lang w:eastAsia="zh-CN"/>
        </w:rPr>
        <w:t>本单位本年无公务接待费</w:t>
      </w:r>
      <w:bookmarkEnd w:id="9"/>
      <w:r>
        <w:rPr>
          <w:rFonts w:ascii="仿宋_GB2312" w:eastAsia="仿宋_GB2312"/>
          <w:sz w:val="32"/>
          <w:szCs w:val="32"/>
          <w:lang w:eastAsia="zh-CN"/>
        </w:rPr>
        <w:t>。单位全年安排的国内公务接待0批次，0人次。</w:t>
      </w:r>
    </w:p>
    <w:p w14:paraId="4D86376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与全年预算相比，财政拨款“三公”经费支出全年预算数9.79万元，决算数9.79万元，预决算差异率0.00%，主要原因是：</w:t>
      </w:r>
      <w:bookmarkStart w:id="10" w:name="_Hlk207110149"/>
      <w:r>
        <w:rPr>
          <w:rFonts w:hint="eastAsia" w:ascii="仿宋_GB2312" w:eastAsia="仿宋_GB2312"/>
          <w:sz w:val="32"/>
          <w:szCs w:val="32"/>
          <w:lang w:eastAsia="zh-CN"/>
        </w:rPr>
        <w:t>严格按照预算执行，预决算对比无差异</w:t>
      </w:r>
      <w:bookmarkEnd w:id="10"/>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；公务用车运行维护费全年预算数9.79万元，决算数9.79万元，预决算差异率0.00%，主要原因是：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3A1CFF8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1290CDEC">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6FF47EF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2024年度乌鲁木齐市米东区疾病预防控制中心单位（事业单位）公用经费支出1,146.61万元，比上年增加899.70万元，增长364.38%，主要原因是：</w:t>
      </w:r>
      <w:r>
        <w:rPr>
          <w:rFonts w:hint="eastAsia" w:ascii="仿宋_GB2312" w:eastAsia="仿宋_GB2312"/>
          <w:sz w:val="32"/>
          <w:szCs w:val="32"/>
          <w:lang w:eastAsia="zh-CN"/>
        </w:rPr>
        <w:t>单位本年</w:t>
      </w:r>
      <w:r>
        <w:rPr>
          <w:rFonts w:ascii="仿宋_GB2312" w:eastAsia="仿宋_GB2312"/>
          <w:sz w:val="32"/>
          <w:szCs w:val="32"/>
          <w:lang w:eastAsia="zh-CN"/>
        </w:rPr>
        <w:t>水电费</w:t>
      </w:r>
      <w:r>
        <w:rPr>
          <w:rFonts w:hint="eastAsia" w:ascii="仿宋_GB2312" w:eastAsia="仿宋_GB2312"/>
          <w:sz w:val="32"/>
          <w:szCs w:val="32"/>
          <w:lang w:eastAsia="zh-CN"/>
        </w:rPr>
        <w:t>、</w:t>
      </w:r>
      <w:r>
        <w:rPr>
          <w:rFonts w:ascii="仿宋_GB2312" w:eastAsia="仿宋_GB2312"/>
          <w:sz w:val="32"/>
          <w:szCs w:val="32"/>
          <w:lang w:eastAsia="zh-CN"/>
        </w:rPr>
        <w:t>邮电费</w:t>
      </w:r>
      <w:r>
        <w:rPr>
          <w:rFonts w:hint="eastAsia" w:ascii="仿宋_GB2312" w:eastAsia="仿宋_GB2312"/>
          <w:sz w:val="32"/>
          <w:szCs w:val="32"/>
          <w:lang w:eastAsia="zh-CN"/>
        </w:rPr>
        <w:t>、</w:t>
      </w:r>
      <w:r>
        <w:rPr>
          <w:rFonts w:ascii="仿宋_GB2312" w:eastAsia="仿宋_GB2312"/>
          <w:sz w:val="32"/>
          <w:szCs w:val="32"/>
          <w:lang w:eastAsia="zh-CN"/>
        </w:rPr>
        <w:t>劳务费</w:t>
      </w:r>
      <w:r>
        <w:rPr>
          <w:rFonts w:hint="eastAsia" w:ascii="仿宋_GB2312" w:eastAsia="仿宋_GB2312"/>
          <w:sz w:val="32"/>
          <w:szCs w:val="32"/>
          <w:lang w:eastAsia="zh-CN"/>
        </w:rPr>
        <w:t>、</w:t>
      </w:r>
      <w:r>
        <w:rPr>
          <w:rFonts w:ascii="仿宋_GB2312" w:eastAsia="仿宋_GB2312"/>
          <w:sz w:val="32"/>
          <w:szCs w:val="32"/>
          <w:lang w:eastAsia="zh-CN"/>
        </w:rPr>
        <w:t>福利费增加。</w:t>
      </w:r>
    </w:p>
    <w:p w14:paraId="02DB114C">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2ED22C7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4570B08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27639F25">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2055699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截至2024年12月31日，房屋3,114.00平方米，价值176.25万元。</w:t>
      </w:r>
      <w:r>
        <w:rPr>
          <w:rFonts w:ascii="仿宋_GB2312" w:eastAsia="仿宋_GB2312"/>
          <w:sz w:val="32"/>
          <w:szCs w:val="32"/>
          <w:lang w:eastAsia="zh-CN"/>
        </w:rPr>
        <w:t>车辆10辆，价值236.17万元，其中：副部（省）级及以上领导用车0辆、主要负责人用车0辆、机要通信用车0辆、应急保障用车0辆、执法执勤用车0辆、特种专业技术用车1辆、离退休干部服务用车0辆、其他用车9辆，其他用车主要是：</w:t>
      </w:r>
      <w:r>
        <w:rPr>
          <w:rFonts w:hint="eastAsia" w:ascii="仿宋_GB2312" w:eastAsia="仿宋_GB2312"/>
          <w:sz w:val="32"/>
          <w:szCs w:val="32"/>
          <w:lang w:eastAsia="zh-CN"/>
        </w:rPr>
        <w:t>业</w:t>
      </w:r>
      <w:r>
        <w:rPr>
          <w:rFonts w:ascii="仿宋_GB2312" w:eastAsia="仿宋_GB2312"/>
          <w:sz w:val="32"/>
          <w:szCs w:val="32"/>
          <w:lang w:eastAsia="zh-CN"/>
        </w:rPr>
        <w:t>务用车;单价100万元（含）以上设备（不含车辆）0台（套）。</w:t>
      </w:r>
    </w:p>
    <w:p w14:paraId="3B74976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075E089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根据预算绩效管理要求，本单位2024年度预算绩效管理形成整体支出绩效自评表1个，全年预算总额8,595.00万元，实际执行总额7,310.67万元；预算绩效评价项目</w:t>
      </w:r>
      <w:r>
        <w:rPr>
          <w:rFonts w:hint="eastAsia" w:ascii="仿宋_GB2312" w:eastAsia="仿宋_GB2312"/>
          <w:sz w:val="32"/>
          <w:szCs w:val="32"/>
          <w:lang w:eastAsia="zh-CN"/>
        </w:rPr>
        <w:t>8</w:t>
      </w:r>
      <w:r>
        <w:rPr>
          <w:rFonts w:ascii="仿宋_GB2312" w:eastAsia="仿宋_GB2312"/>
          <w:sz w:val="32"/>
          <w:szCs w:val="32"/>
          <w:lang w:eastAsia="zh-CN"/>
        </w:rPr>
        <w:t>个，全年预算数</w:t>
      </w:r>
      <w:r>
        <w:rPr>
          <w:rFonts w:hint="eastAsia" w:ascii="仿宋_GB2312" w:eastAsia="仿宋_GB2312"/>
          <w:sz w:val="32"/>
          <w:szCs w:val="32"/>
          <w:lang w:eastAsia="zh-CN"/>
        </w:rPr>
        <w:t>549</w:t>
      </w:r>
      <w:r>
        <w:rPr>
          <w:rFonts w:ascii="仿宋_GB2312" w:eastAsia="仿宋_GB2312"/>
          <w:sz w:val="32"/>
          <w:szCs w:val="32"/>
          <w:lang w:eastAsia="zh-CN"/>
        </w:rPr>
        <w:t>.</w:t>
      </w:r>
      <w:r>
        <w:rPr>
          <w:rFonts w:hint="eastAsia" w:ascii="仿宋_GB2312" w:eastAsia="仿宋_GB2312"/>
          <w:sz w:val="32"/>
          <w:szCs w:val="32"/>
          <w:lang w:eastAsia="zh-CN"/>
        </w:rPr>
        <w:t>0</w:t>
      </w:r>
      <w:r>
        <w:rPr>
          <w:rFonts w:ascii="仿宋_GB2312" w:eastAsia="仿宋_GB2312"/>
          <w:sz w:val="32"/>
          <w:szCs w:val="32"/>
          <w:lang w:eastAsia="zh-CN"/>
        </w:rPr>
        <w:t>2万元，全年执行数472</w:t>
      </w:r>
      <w:r>
        <w:rPr>
          <w:rFonts w:hint="eastAsia" w:ascii="仿宋_GB2312" w:eastAsia="仿宋_GB2312"/>
          <w:sz w:val="32"/>
          <w:szCs w:val="32"/>
          <w:lang w:eastAsia="zh-CN"/>
        </w:rPr>
        <w:t>.62</w:t>
      </w:r>
      <w:r>
        <w:rPr>
          <w:rFonts w:ascii="仿宋_GB2312" w:eastAsia="仿宋_GB2312"/>
          <w:sz w:val="32"/>
          <w:szCs w:val="32"/>
          <w:lang w:eastAsia="zh-CN"/>
        </w:rPr>
        <w:t>万元。</w:t>
      </w:r>
      <w:bookmarkStart w:id="11" w:name="_Hlk209349863"/>
      <w:r>
        <w:rPr>
          <w:rFonts w:ascii="仿宋_GB2312" w:eastAsia="仿宋_GB2312"/>
          <w:sz w:val="32"/>
          <w:szCs w:val="32"/>
          <w:lang w:eastAsia="zh-CN"/>
        </w:rPr>
        <w:t>预算绩效管理取得的成效：一是服务对象满意度指标有待进一步提高</w:t>
      </w:r>
      <w:r>
        <w:rPr>
          <w:rFonts w:hint="eastAsia" w:ascii="仿宋_GB2312" w:eastAsia="仿宋_GB2312"/>
          <w:sz w:val="32"/>
          <w:szCs w:val="32"/>
          <w:lang w:eastAsia="zh-CN"/>
        </w:rPr>
        <w:t>，做好群众服务工作，保障社会大局稳定，提高群众安全感，绩效目标编制全覆盖，年初预算、追加预算、重点项目等都进行了绩效目标编制；</w:t>
      </w:r>
      <w:r>
        <w:rPr>
          <w:rFonts w:ascii="仿宋_GB2312" w:eastAsia="仿宋_GB2312"/>
          <w:sz w:val="32"/>
          <w:szCs w:val="32"/>
          <w:lang w:eastAsia="zh-CN"/>
        </w:rPr>
        <w:t>二是</w:t>
      </w:r>
      <w:r>
        <w:rPr>
          <w:rFonts w:hint="eastAsia" w:ascii="仿宋_GB2312" w:eastAsia="仿宋_GB2312"/>
          <w:sz w:val="32"/>
          <w:szCs w:val="32"/>
          <w:lang w:eastAsia="zh-CN"/>
        </w:rPr>
        <w:t>促进统筹规划和综合协调，提升人居环境质量,提升群众人居环境，</w:t>
      </w:r>
      <w:r>
        <w:rPr>
          <w:rFonts w:ascii="仿宋_GB2312" w:eastAsia="仿宋_GB2312"/>
          <w:sz w:val="32"/>
          <w:szCs w:val="32"/>
          <w:lang w:eastAsia="zh-CN"/>
        </w:rPr>
        <w:t>提升对医护人员的职业道德教育，完善内部监察和社会监察制度。发现的问题及原因：一是绩效管理广度深度不够，还未全覆盖，预算绩效管理试点面偏小、范围偏窄、进展不平衡；二是绩效约束能力不强，评价结果与预算安排还未完全有机结合，优化、促进预算管理的作用尚未充分体现等，需要在今后的工作中着力予以解决。下一步改进措施：一是推动绩效管理，将财政重点延伸到事前，推进全过程绩效管理，进一步加大财政事前评审工作力度；二是围绕预算编制中的改革需求，以重要性为原则精选项目，组织专门力量进行集中评审，并将评审结果作为项目入库、预算安排的重要依据</w:t>
      </w:r>
      <w:bookmarkEnd w:id="11"/>
      <w:r>
        <w:rPr>
          <w:rFonts w:ascii="仿宋_GB2312" w:eastAsia="仿宋_GB2312"/>
          <w:sz w:val="32"/>
          <w:szCs w:val="32"/>
          <w:lang w:eastAsia="zh-CN"/>
        </w:rPr>
        <w:t>。具体附部门整体支出绩效自评表，项目支出绩效自评表和部门评价报告。</w:t>
      </w:r>
      <w:bookmarkStart w:id="12" w:name="_Hlk174962300"/>
    </w:p>
    <w:p w14:paraId="560F81D0">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52AEE2A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5DEC14B7">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2D589C61">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3192CE4F">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乌鲁木齐市米东区疾病预防控制中心</w:t>
            </w:r>
          </w:p>
        </w:tc>
      </w:tr>
      <w:tr w14:paraId="50F0F2F6">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2AE6A5D">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4B60C4E8">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6D3B52CA">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1A75E2D8">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5116A7BF">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6F1F1FB7">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406FBC24">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196B66DE">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5487186C">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9B03750">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221FC996">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4D49C24B">
            <w:pPr>
              <w:jc w:val="center"/>
              <w:rPr>
                <w:rFonts w:hint="eastAsia" w:ascii="宋体" w:hAnsi="宋体" w:eastAsia="宋体" w:cs="宋体"/>
                <w:sz w:val="18"/>
                <w:szCs w:val="18"/>
              </w:rPr>
            </w:pPr>
            <w:r>
              <w:rPr>
                <w:rFonts w:hint="eastAsia" w:ascii="宋体" w:hAnsi="宋体" w:eastAsia="宋体" w:cs="宋体"/>
                <w:sz w:val="18"/>
                <w:szCs w:val="18"/>
              </w:rPr>
              <w:t>5,863.84</w:t>
            </w:r>
          </w:p>
        </w:tc>
        <w:tc>
          <w:tcPr>
            <w:tcW w:w="1276" w:type="dxa"/>
            <w:tcBorders>
              <w:top w:val="nil"/>
              <w:left w:val="nil"/>
              <w:bottom w:val="single" w:color="auto" w:sz="4" w:space="0"/>
              <w:right w:val="single" w:color="auto" w:sz="4" w:space="0"/>
            </w:tcBorders>
            <w:vAlign w:val="center"/>
          </w:tcPr>
          <w:p w14:paraId="6384B13E">
            <w:pPr>
              <w:jc w:val="center"/>
              <w:rPr>
                <w:rFonts w:hint="eastAsia" w:ascii="宋体" w:hAnsi="宋体" w:eastAsia="宋体" w:cs="宋体"/>
                <w:sz w:val="18"/>
                <w:szCs w:val="18"/>
              </w:rPr>
            </w:pPr>
            <w:r>
              <w:rPr>
                <w:rFonts w:hint="eastAsia" w:ascii="宋体" w:hAnsi="宋体" w:eastAsia="宋体" w:cs="宋体"/>
                <w:sz w:val="18"/>
                <w:szCs w:val="18"/>
              </w:rPr>
              <w:t>8,595.00</w:t>
            </w:r>
          </w:p>
        </w:tc>
        <w:tc>
          <w:tcPr>
            <w:tcW w:w="1701" w:type="dxa"/>
            <w:tcBorders>
              <w:top w:val="nil"/>
              <w:left w:val="nil"/>
              <w:bottom w:val="single" w:color="auto" w:sz="4" w:space="0"/>
              <w:right w:val="single" w:color="auto" w:sz="4" w:space="0"/>
            </w:tcBorders>
            <w:vAlign w:val="center"/>
          </w:tcPr>
          <w:p w14:paraId="68C4C54D">
            <w:pPr>
              <w:jc w:val="center"/>
              <w:rPr>
                <w:rFonts w:hint="eastAsia" w:ascii="宋体" w:hAnsi="宋体" w:eastAsia="宋体" w:cs="宋体"/>
                <w:sz w:val="18"/>
                <w:szCs w:val="18"/>
              </w:rPr>
            </w:pPr>
            <w:r>
              <w:rPr>
                <w:rFonts w:hint="eastAsia" w:ascii="宋体" w:hAnsi="宋体" w:eastAsia="宋体" w:cs="宋体"/>
                <w:sz w:val="18"/>
                <w:szCs w:val="18"/>
              </w:rPr>
              <w:t>7,310.67</w:t>
            </w:r>
          </w:p>
        </w:tc>
        <w:tc>
          <w:tcPr>
            <w:tcW w:w="1134" w:type="dxa"/>
            <w:tcBorders>
              <w:top w:val="nil"/>
              <w:left w:val="nil"/>
              <w:bottom w:val="single" w:color="auto" w:sz="4" w:space="0"/>
              <w:right w:val="single" w:color="auto" w:sz="4" w:space="0"/>
            </w:tcBorders>
            <w:vAlign w:val="center"/>
          </w:tcPr>
          <w:p w14:paraId="5612544D">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0917804C">
            <w:pPr>
              <w:jc w:val="center"/>
              <w:rPr>
                <w:rFonts w:hint="eastAsia" w:ascii="宋体" w:hAnsi="宋体" w:eastAsia="宋体" w:cs="宋体"/>
                <w:sz w:val="18"/>
                <w:szCs w:val="18"/>
              </w:rPr>
            </w:pPr>
            <w:r>
              <w:rPr>
                <w:rFonts w:hint="eastAsia" w:ascii="宋体" w:hAnsi="宋体" w:eastAsia="宋体" w:cs="宋体"/>
                <w:sz w:val="18"/>
                <w:szCs w:val="18"/>
              </w:rPr>
              <w:t>85.06%</w:t>
            </w:r>
          </w:p>
        </w:tc>
        <w:tc>
          <w:tcPr>
            <w:tcW w:w="720" w:type="dxa"/>
            <w:tcBorders>
              <w:top w:val="nil"/>
              <w:left w:val="nil"/>
              <w:bottom w:val="single" w:color="auto" w:sz="4" w:space="0"/>
              <w:right w:val="single" w:color="auto" w:sz="4" w:space="0"/>
            </w:tcBorders>
            <w:vAlign w:val="center"/>
          </w:tcPr>
          <w:p w14:paraId="61AB4783">
            <w:pPr>
              <w:jc w:val="center"/>
              <w:rPr>
                <w:rFonts w:hint="eastAsia" w:ascii="宋体" w:hAnsi="宋体" w:eastAsia="宋体" w:cs="宋体"/>
                <w:sz w:val="18"/>
                <w:szCs w:val="18"/>
              </w:rPr>
            </w:pPr>
            <w:r>
              <w:rPr>
                <w:rFonts w:hint="eastAsia" w:ascii="宋体" w:hAnsi="宋体" w:eastAsia="宋体" w:cs="宋体"/>
                <w:sz w:val="18"/>
                <w:szCs w:val="18"/>
              </w:rPr>
              <w:t>8.5</w:t>
            </w:r>
          </w:p>
        </w:tc>
      </w:tr>
      <w:tr w14:paraId="0DCCBFDF">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76B57D0">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4687BA8">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0CF26299">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745C8864">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337A4BA5">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20FEC51D">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5B2D2251">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F54BCCF">
            <w:pPr>
              <w:jc w:val="center"/>
              <w:rPr>
                <w:rFonts w:hint="eastAsia" w:ascii="宋体" w:hAnsi="宋体" w:eastAsia="宋体" w:cs="宋体"/>
                <w:sz w:val="18"/>
                <w:szCs w:val="18"/>
              </w:rPr>
            </w:pPr>
            <w:r>
              <w:rPr>
                <w:rFonts w:hint="eastAsia" w:ascii="宋体" w:hAnsi="宋体" w:eastAsia="宋体"/>
                <w:sz w:val="18"/>
                <w:szCs w:val="18"/>
              </w:rPr>
              <w:t>-</w:t>
            </w:r>
          </w:p>
        </w:tc>
      </w:tr>
      <w:tr w14:paraId="57521680">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E1306F6">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7FCB431">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2C12F438">
            <w:pPr>
              <w:jc w:val="center"/>
              <w:rPr>
                <w:rFonts w:hint="eastAsia" w:ascii="宋体" w:hAnsi="宋体" w:eastAsia="宋体" w:cs="宋体"/>
                <w:sz w:val="18"/>
                <w:szCs w:val="18"/>
              </w:rPr>
            </w:pPr>
            <w:r>
              <w:rPr>
                <w:rFonts w:hint="eastAsia" w:ascii="宋体" w:hAnsi="宋体" w:eastAsia="宋体" w:cs="宋体"/>
                <w:sz w:val="18"/>
                <w:szCs w:val="18"/>
              </w:rPr>
              <w:t>5,598.85</w:t>
            </w:r>
          </w:p>
        </w:tc>
        <w:tc>
          <w:tcPr>
            <w:tcW w:w="1276" w:type="dxa"/>
            <w:tcBorders>
              <w:top w:val="nil"/>
              <w:left w:val="nil"/>
              <w:bottom w:val="single" w:color="auto" w:sz="4" w:space="0"/>
              <w:right w:val="single" w:color="auto" w:sz="4" w:space="0"/>
            </w:tcBorders>
            <w:vAlign w:val="center"/>
          </w:tcPr>
          <w:p w14:paraId="22D2F9A6">
            <w:pPr>
              <w:jc w:val="center"/>
              <w:rPr>
                <w:rFonts w:hint="eastAsia" w:ascii="宋体" w:hAnsi="宋体" w:eastAsia="宋体" w:cs="宋体"/>
                <w:sz w:val="18"/>
                <w:szCs w:val="18"/>
              </w:rPr>
            </w:pPr>
            <w:r>
              <w:rPr>
                <w:rFonts w:hint="eastAsia" w:ascii="宋体" w:hAnsi="宋体" w:eastAsia="宋体" w:cs="宋体"/>
                <w:sz w:val="18"/>
                <w:szCs w:val="18"/>
              </w:rPr>
              <w:t>8,330.01</w:t>
            </w:r>
          </w:p>
        </w:tc>
        <w:tc>
          <w:tcPr>
            <w:tcW w:w="1701" w:type="dxa"/>
            <w:tcBorders>
              <w:top w:val="nil"/>
              <w:left w:val="nil"/>
              <w:bottom w:val="single" w:color="auto" w:sz="4" w:space="0"/>
              <w:right w:val="single" w:color="auto" w:sz="4" w:space="0"/>
            </w:tcBorders>
            <w:vAlign w:val="center"/>
          </w:tcPr>
          <w:p w14:paraId="09BE66BE">
            <w:pPr>
              <w:jc w:val="center"/>
              <w:rPr>
                <w:rFonts w:hint="eastAsia" w:ascii="宋体" w:hAnsi="宋体" w:eastAsia="宋体" w:cs="宋体"/>
                <w:sz w:val="18"/>
                <w:szCs w:val="18"/>
              </w:rPr>
            </w:pPr>
            <w:r>
              <w:rPr>
                <w:rFonts w:hint="eastAsia" w:ascii="宋体" w:hAnsi="宋体" w:eastAsia="宋体" w:cs="宋体"/>
                <w:sz w:val="18"/>
                <w:szCs w:val="18"/>
              </w:rPr>
              <w:t>7,045.68</w:t>
            </w:r>
          </w:p>
        </w:tc>
        <w:tc>
          <w:tcPr>
            <w:tcW w:w="1134" w:type="dxa"/>
            <w:tcBorders>
              <w:top w:val="nil"/>
              <w:left w:val="nil"/>
              <w:bottom w:val="single" w:color="auto" w:sz="4" w:space="0"/>
              <w:right w:val="single" w:color="auto" w:sz="4" w:space="0"/>
            </w:tcBorders>
            <w:vAlign w:val="center"/>
          </w:tcPr>
          <w:p w14:paraId="3C42A2F9">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125906D8">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6006F548">
            <w:pPr>
              <w:jc w:val="center"/>
              <w:rPr>
                <w:rFonts w:hint="eastAsia" w:ascii="宋体" w:hAnsi="宋体" w:eastAsia="宋体" w:cs="宋体"/>
                <w:sz w:val="18"/>
                <w:szCs w:val="18"/>
              </w:rPr>
            </w:pPr>
            <w:r>
              <w:rPr>
                <w:rFonts w:hint="eastAsia" w:ascii="宋体" w:hAnsi="宋体" w:eastAsia="宋体"/>
                <w:sz w:val="18"/>
                <w:szCs w:val="18"/>
              </w:rPr>
              <w:t>-</w:t>
            </w:r>
          </w:p>
        </w:tc>
      </w:tr>
      <w:tr w14:paraId="70C637CF">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5D8739F">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F1272BA">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7C75D1EA">
            <w:pPr>
              <w:jc w:val="center"/>
              <w:rPr>
                <w:rFonts w:hint="eastAsia" w:ascii="宋体" w:hAnsi="宋体" w:eastAsia="宋体" w:cs="宋体"/>
                <w:sz w:val="18"/>
                <w:szCs w:val="18"/>
              </w:rPr>
            </w:pPr>
            <w:r>
              <w:rPr>
                <w:rFonts w:hint="eastAsia" w:ascii="宋体" w:hAnsi="宋体" w:eastAsia="宋体" w:cs="宋体"/>
                <w:sz w:val="18"/>
                <w:szCs w:val="18"/>
              </w:rPr>
              <w:t>264.99</w:t>
            </w:r>
          </w:p>
        </w:tc>
        <w:tc>
          <w:tcPr>
            <w:tcW w:w="1276" w:type="dxa"/>
            <w:tcBorders>
              <w:top w:val="nil"/>
              <w:left w:val="nil"/>
              <w:bottom w:val="single" w:color="auto" w:sz="4" w:space="0"/>
              <w:right w:val="single" w:color="auto" w:sz="4" w:space="0"/>
            </w:tcBorders>
            <w:vAlign w:val="center"/>
          </w:tcPr>
          <w:p w14:paraId="4C9FFAC4">
            <w:pPr>
              <w:jc w:val="center"/>
              <w:rPr>
                <w:rFonts w:hint="eastAsia" w:ascii="宋体" w:hAnsi="宋体" w:eastAsia="宋体" w:cs="宋体"/>
                <w:sz w:val="18"/>
                <w:szCs w:val="18"/>
              </w:rPr>
            </w:pPr>
            <w:r>
              <w:rPr>
                <w:rFonts w:hint="eastAsia" w:ascii="宋体" w:hAnsi="宋体" w:eastAsia="宋体" w:cs="宋体"/>
                <w:sz w:val="18"/>
                <w:szCs w:val="18"/>
              </w:rPr>
              <w:t>264.99</w:t>
            </w:r>
          </w:p>
        </w:tc>
        <w:tc>
          <w:tcPr>
            <w:tcW w:w="1701" w:type="dxa"/>
            <w:tcBorders>
              <w:top w:val="nil"/>
              <w:left w:val="nil"/>
              <w:bottom w:val="single" w:color="auto" w:sz="4" w:space="0"/>
              <w:right w:val="single" w:color="auto" w:sz="4" w:space="0"/>
            </w:tcBorders>
            <w:vAlign w:val="center"/>
          </w:tcPr>
          <w:p w14:paraId="7E404903">
            <w:pPr>
              <w:jc w:val="center"/>
              <w:rPr>
                <w:rFonts w:hint="eastAsia" w:ascii="宋体" w:hAnsi="宋体" w:eastAsia="宋体" w:cs="宋体"/>
                <w:sz w:val="18"/>
                <w:szCs w:val="18"/>
              </w:rPr>
            </w:pPr>
            <w:r>
              <w:rPr>
                <w:rFonts w:hint="eastAsia" w:ascii="宋体" w:hAnsi="宋体" w:eastAsia="宋体" w:cs="宋体"/>
                <w:sz w:val="18"/>
                <w:szCs w:val="18"/>
              </w:rPr>
              <w:t>264.99</w:t>
            </w:r>
          </w:p>
        </w:tc>
        <w:tc>
          <w:tcPr>
            <w:tcW w:w="1134" w:type="dxa"/>
            <w:tcBorders>
              <w:top w:val="nil"/>
              <w:left w:val="nil"/>
              <w:bottom w:val="single" w:color="auto" w:sz="4" w:space="0"/>
              <w:right w:val="single" w:color="auto" w:sz="4" w:space="0"/>
            </w:tcBorders>
            <w:vAlign w:val="center"/>
          </w:tcPr>
          <w:p w14:paraId="26B4F176">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02C469B5">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6AD1C50C">
            <w:pPr>
              <w:jc w:val="center"/>
              <w:rPr>
                <w:rFonts w:hint="eastAsia" w:ascii="宋体" w:hAnsi="宋体" w:eastAsia="宋体" w:cs="宋体"/>
                <w:sz w:val="18"/>
                <w:szCs w:val="18"/>
              </w:rPr>
            </w:pPr>
            <w:r>
              <w:rPr>
                <w:rFonts w:hint="eastAsia" w:ascii="宋体" w:hAnsi="宋体" w:eastAsia="宋体" w:cs="宋体"/>
                <w:sz w:val="18"/>
                <w:szCs w:val="18"/>
              </w:rPr>
              <w:t>-</w:t>
            </w:r>
          </w:p>
        </w:tc>
      </w:tr>
      <w:tr w14:paraId="58DB5D94">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E982834">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2E243022">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5D42EC85">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19E30FFC">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7A12675">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6CEBF51B">
            <w:pPr>
              <w:rPr>
                <w:rFonts w:hint="eastAsia" w:ascii="宋体" w:hAnsi="宋体" w:eastAsia="宋体" w:cs="宋体"/>
                <w:sz w:val="18"/>
                <w:szCs w:val="18"/>
                <w:lang w:eastAsia="zh-CN"/>
              </w:rPr>
            </w:pPr>
            <w:r>
              <w:rPr>
                <w:rFonts w:hint="eastAsia" w:ascii="宋体" w:hAnsi="宋体" w:eastAsia="宋体" w:cs="宋体"/>
                <w:sz w:val="18"/>
                <w:szCs w:val="18"/>
                <w:lang w:eastAsia="zh-CN"/>
              </w:rPr>
              <w:t>一、单位职能承担全区各族人民群众的疾病预防与控制工作，处置突发公共卫生事件，开展相关产品检验和评价，提供公共卫生检测结果与信息服务,对下级机构的业务指导。承担结核病、地方病及其他重大传染病防控等监测工作。二、2024年重点工作计划一、传染病防控工作：（一）加强培训、督导和处置（二）做好重点传染病疾病的防控（三）食源性疾病方面（四）空气污染监测二、公共卫生工作（一）职业卫生（二）学校卫生（三）严重精神病管理（四）健康教育与健康促进三、慢性病健康教育防制工作（一）慢病示范区创建工作（二）基本公共卫生服务（三）常态化开展肿瘤登记、死因登记、心脑血管事件报告工作。四、免疫规划工作。五、结核病防治工作。六、</w:t>
            </w:r>
            <w:r>
              <w:rPr>
                <w:rFonts w:hint="eastAsia" w:ascii="宋体" w:hAnsi="宋体" w:eastAsia="宋体" w:cs="宋体"/>
                <w:sz w:val="18"/>
                <w:szCs w:val="18"/>
                <w:lang w:val="en-US" w:eastAsia="zh-CN"/>
              </w:rPr>
              <w:t>传染病</w:t>
            </w:r>
            <w:r>
              <w:rPr>
                <w:rFonts w:hint="eastAsia" w:ascii="宋体" w:hAnsi="宋体" w:eastAsia="宋体" w:cs="宋体"/>
                <w:sz w:val="18"/>
                <w:szCs w:val="18"/>
                <w:lang w:eastAsia="zh-CN"/>
              </w:rPr>
              <w:t>防治工作。</w:t>
            </w:r>
          </w:p>
        </w:tc>
        <w:tc>
          <w:tcPr>
            <w:tcW w:w="4547" w:type="dxa"/>
            <w:gridSpan w:val="4"/>
            <w:tcBorders>
              <w:top w:val="single" w:color="auto" w:sz="4" w:space="0"/>
              <w:left w:val="nil"/>
              <w:bottom w:val="single" w:color="auto" w:sz="4" w:space="0"/>
              <w:right w:val="single" w:color="auto" w:sz="4" w:space="0"/>
            </w:tcBorders>
          </w:tcPr>
          <w:p w14:paraId="40C7D58E">
            <w:pPr>
              <w:rPr>
                <w:rFonts w:hint="eastAsia" w:ascii="宋体" w:hAnsi="宋体" w:eastAsia="宋体" w:cs="宋体"/>
                <w:sz w:val="18"/>
                <w:szCs w:val="18"/>
                <w:lang w:eastAsia="zh-CN"/>
              </w:rPr>
            </w:pPr>
            <w:r>
              <w:rPr>
                <w:rFonts w:hint="eastAsia" w:ascii="宋体" w:hAnsi="宋体" w:eastAsia="宋体" w:cs="宋体"/>
                <w:sz w:val="18"/>
                <w:szCs w:val="18"/>
                <w:lang w:eastAsia="zh-CN"/>
              </w:rPr>
              <w:t>2024年我单位完成了以下工作：1.传染病防控工作，重点传染病报告总体平稳，各医疗机构无迟报、漏报，根据《国家疾病监测信息报告管理系统》终审日期统计，米东区无甲类传染病和按甲类管理的乙类传染病报告；及时应答传染病事件预警；及时规范处置暴发及聚集性</w:t>
            </w:r>
            <w:r>
              <w:rPr>
                <w:rFonts w:hint="eastAsia" w:ascii="宋体" w:hAnsi="宋体" w:eastAsia="宋体" w:cs="宋体"/>
                <w:sz w:val="18"/>
                <w:szCs w:val="18"/>
                <w:lang w:val="en-US" w:eastAsia="zh-CN"/>
              </w:rPr>
              <w:t>传染病</w:t>
            </w:r>
            <w:r>
              <w:rPr>
                <w:rFonts w:hint="eastAsia" w:ascii="宋体" w:hAnsi="宋体" w:eastAsia="宋体" w:cs="宋体"/>
                <w:sz w:val="18"/>
                <w:szCs w:val="18"/>
                <w:lang w:eastAsia="zh-CN"/>
              </w:rPr>
              <w:t>20余起。二、重点传染病监测开展4次禽流感外环境监测工作，1次暴露人群血清监测工作；流感监测共采集送检样品1081份；开展肠道传染病监测和</w:t>
            </w:r>
            <w:r>
              <w:rPr>
                <w:rFonts w:hint="eastAsia" w:ascii="宋体" w:hAnsi="宋体" w:eastAsia="宋体" w:cs="宋体"/>
                <w:sz w:val="18"/>
                <w:szCs w:val="18"/>
                <w:lang w:val="en-US" w:eastAsia="zh-CN"/>
              </w:rPr>
              <w:t>传染病</w:t>
            </w:r>
            <w:r>
              <w:rPr>
                <w:rFonts w:hint="eastAsia" w:ascii="宋体" w:hAnsi="宋体" w:eastAsia="宋体" w:cs="宋体"/>
                <w:sz w:val="18"/>
                <w:szCs w:val="18"/>
                <w:lang w:eastAsia="zh-CN"/>
              </w:rPr>
              <w:t>处置工作，指导各医疗机构全年规范设立肠道门诊并做好腹泻病人的就诊登记、标本采集、送检及健康教育与促进工作，全年共采集采集腹泻病例标本768份，无死亡病例、无霍乱病例报告，采样率11.04%；完成致病菌识别网两家哨点医院呼吸道症候群、其他发热症候群检测任务，共送检市疾控呼吸系统样本750份，其他发热症候群样本152份。三、空气监测工作：完成监测点空气PM2.5采样，共采集PM2.5滤膜245份；完成小学生健康影响调查、社区居民健康影响与健康素养调查及健康防护相关工作，转发关于空气污染相关宣传内容12篇。四、应急工作：共开展“米东区流感暴发应急处置”、“消防安全知识”、“抗震救灾和其他自然灾害公共卫生应急理论知识培训和现场避险演练”、“感染性腹泻暴发</w:t>
            </w:r>
            <w:r>
              <w:rPr>
                <w:rFonts w:hint="eastAsia" w:ascii="宋体" w:hAnsi="宋体" w:eastAsia="宋体" w:cs="宋体"/>
                <w:sz w:val="18"/>
                <w:szCs w:val="18"/>
                <w:lang w:val="en-US" w:eastAsia="zh-CN"/>
              </w:rPr>
              <w:t>传染病</w:t>
            </w:r>
            <w:r>
              <w:rPr>
                <w:rFonts w:hint="eastAsia" w:ascii="宋体" w:hAnsi="宋体" w:eastAsia="宋体" w:cs="宋体"/>
                <w:sz w:val="18"/>
                <w:szCs w:val="18"/>
                <w:lang w:eastAsia="zh-CN"/>
              </w:rPr>
              <w:t>应急处置”、“布鲁氏菌病暴发</w:t>
            </w:r>
            <w:r>
              <w:rPr>
                <w:rFonts w:hint="eastAsia" w:ascii="宋体" w:hAnsi="宋体" w:eastAsia="宋体" w:cs="宋体"/>
                <w:sz w:val="18"/>
                <w:szCs w:val="18"/>
                <w:lang w:val="en-US" w:eastAsia="zh-CN"/>
              </w:rPr>
              <w:t>传染病</w:t>
            </w:r>
            <w:r>
              <w:rPr>
                <w:rFonts w:hint="eastAsia" w:ascii="宋体" w:hAnsi="宋体" w:eastAsia="宋体" w:cs="宋体"/>
                <w:sz w:val="18"/>
                <w:szCs w:val="18"/>
                <w:lang w:eastAsia="zh-CN"/>
              </w:rPr>
              <w:t>应急处置”“突发卫生公共事件（鼠疫）模拟现场演练”、食物中毒桌面推演共10次，363人观摩学习参加。2.免疫规划工作，辖区适龄儿童建证率100%，9苗接种率大于98%；疫苗相应传染病均按照要求开展相应处置工作；按时处理自治区药监局疫苗药品追溯监管系统的预警信息；开展脊髓灰质炎补充免疫及国家免疫规划疫苗查漏补种工作，补充免疫接种为99.96%。查漏补种率为99.72%；开展国家免疫规划疫苗接种率调查工作，抽查≤15岁16个年龄组的儿童480人。通过接种率调查显示，免疫规划疫苗接种覆盖率达到目标要求；针对13至15岁儿童开展麻腮风补充免疫工作，补充免疫接种率99.25%。3.慢性病健康教育防制工作，公共卫生服务：开展城乡居民健康档案建档工作建档，建档率为88.66%。老年人建档率96.97%，老年人管理率72.11%。高血压规范管理率为84.33%，最近一次血压控制达标率为98.72%。（2）糖尿病患者健康管理：建档率为47.82%（40%以上合格），糖尿病规范管理率为85.36%，最近一次血糖控制达标率为96.63%。（3）慢病危险因素调查：抽取2个乡镇3个片区完成了2500人份慢性病及其危险因素问卷调查，并已完成数据质控及数据库录入。（4）慢病宣传工作：开展全国肿瘤宣传防治周活动、全民营养周宣传活动、老年人健康宣传周活动、全民健康生活方式行动月、全国高血压日宣传、全国敬老月宣传、世界卒中日主题宣传、世界糖尿病主题宣传、慢阻肺宣传，共设置咨询点273处，出动专业医务人员1091人，悬挂横幅207条，通过咨询点咨询受教育人数达17079人，发放限盐勺1971个，其他宣传品,4157个，宣传材料,14842份，利用60块电子屏幕滚动播出了4657个小时的健康科普知识；通过微信微博、知识讲座等方式宣传科普知识2915条，开展知识讲座134次。（5）慢病示范区创建工作：完成了慢病示范区工作报告、2023年慢病危险因素报告的撰写，并在政府网站发布了2023慢病危险因素报告。组织羊毛工镇、古牧地镇、西路片区、教育局、卫健委、人社局300余人参加2024年第九届“万步有约”活动。市级验收通过2022-2023年创建的1个健康食堂和3个健康学校。（6）健康教育：全区各级医疗机构共发放健康教育印刷资料16种120681份，播放音像资料27种14682次，更新健康教育宣传栏4期，开展公众健康咨询活动1214次，受益群众60172人次，举办健康知识讲座895次，受益群众31515人次。4.结艾防治工作，（1）高危行为干预情况：对吸毒、男同、暗娼人群进行干预，暗娼干预为3744人次，检测393人，确证阳性0人。男同干预3413人次，检测199人，确证阳性１人。吸毒人员干预3919人次,检测378人。确证阳性0。（2）抗病毒治疗情况：治疗覆盖率95.57%（国家指标95%）,接受结核检查比例100％,2024年病载检测353人，病载检测率96.71%（353/365），治疗有效人数340人，治疗有效率96.32%（340/353）。（3）VCT自愿咨询检测：全区6个自愿咨询检测门诊积极开展自愿咨询，疾控自愿咨询检测门诊开展线上线下自愿咨询，提供全链条的咨询检测服务，VCT咨询检测共完成934人完成率115.45%（934/809）。（4）2024年报告丙肝抗体阳性病例378例，经系统查重和HCVRNA阴性排除后共274人，应核酸检测104例，实际检测104例，检测率100％(国家指标90%)。【结核病防制】（1）结核病病人的登记、管理：截止2024年12月底结核门诊登记可疑肺结核病人750人，普通病案登记活动性肺结核病人204例，其中病原学阳性病人119例，病原学阴性病人数77例；单纯性胸膜炎患者8例；病原学阳性率为60.71％(119/196)；对纳入治疗管理的204例肺结核患者，营养早餐发放204例，营养早餐发放率为100%。2024年登记耐药患者4例，管理4例。同期（2023年）全区登记管理的活动性肺结核患者规范管理率为99.16%（237/239），规则服药率为100%（237/237)，肺结核成功治疗率95.59%（217/227)(自治区目标均为90%）。（2）总体到位情况：截至12月31日，全区非结防机构网络直报报告本辖区肺结核患者总体到位率为95.81%（320/334）（自治区目标95%）。（3）耐药筛查情况：截至12月31日，米东区登记管理的活动性肺结核患者中，重点人群和高危人群耐药筛查率分别为100%（101/101）和100%（24/24）（自治区目标95%）；共发现耐多药（含利福平耐药）肺结核患者4例，纳入治疗率为100%。（4）HIV抗体检测情况：截至12月31日，全区登记活动性肺结核患者已知HIV抗体阳性1例；其他患者接受检测200例，检测率为98.53%(201/204)，检出HIV抗体阳性并确诊0例。2024年我中心在传染病防控，慢病管理，（如</w:t>
            </w:r>
            <w:r>
              <w:rPr>
                <w:rFonts w:hint="eastAsia" w:ascii="宋体" w:hAnsi="宋体" w:eastAsia="宋体" w:cs="宋体"/>
                <w:sz w:val="18"/>
                <w:szCs w:val="18"/>
                <w:lang w:val="en-US" w:eastAsia="zh-CN"/>
              </w:rPr>
              <w:t>传染病</w:t>
            </w:r>
            <w:r>
              <w:rPr>
                <w:rFonts w:hint="eastAsia" w:ascii="宋体" w:hAnsi="宋体" w:eastAsia="宋体" w:cs="宋体"/>
                <w:sz w:val="18"/>
                <w:szCs w:val="18"/>
                <w:lang w:eastAsia="zh-CN"/>
              </w:rPr>
              <w:t>治疗率、疫苗接种率）部分指标已超额完成，形成了“以业绩说话”的激励向导。</w:t>
            </w:r>
          </w:p>
        </w:tc>
      </w:tr>
      <w:tr w14:paraId="171062BF">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4E373350">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2420F5CE">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2E01B587">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5885C1FE">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398289B6">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49B80A76">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0C9E58D8">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00EDC110">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3FF0DDE0">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2E426323">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75EE9CCD">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6109969E">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肺结核患者规范管理率</w:t>
            </w:r>
          </w:p>
        </w:tc>
        <w:tc>
          <w:tcPr>
            <w:tcW w:w="1276" w:type="dxa"/>
            <w:tcBorders>
              <w:top w:val="nil"/>
              <w:left w:val="nil"/>
              <w:bottom w:val="single" w:color="auto" w:sz="4" w:space="0"/>
              <w:right w:val="single" w:color="auto" w:sz="4" w:space="0"/>
            </w:tcBorders>
            <w:noWrap/>
            <w:vAlign w:val="center"/>
          </w:tcPr>
          <w:p w14:paraId="6D6DADDA">
            <w:pPr>
              <w:jc w:val="center"/>
              <w:rPr>
                <w:rFonts w:hint="eastAsia" w:ascii="宋体" w:hAnsi="宋体" w:eastAsia="宋体" w:cs="宋体"/>
                <w:sz w:val="18"/>
                <w:szCs w:val="18"/>
              </w:rPr>
            </w:pPr>
            <w:r>
              <w:rPr>
                <w:rFonts w:hint="eastAsia" w:ascii="宋体" w:hAnsi="宋体" w:eastAsia="宋体" w:cs="宋体"/>
                <w:sz w:val="18"/>
                <w:szCs w:val="18"/>
              </w:rPr>
              <w:t>&gt;=95%</w:t>
            </w:r>
          </w:p>
        </w:tc>
        <w:tc>
          <w:tcPr>
            <w:tcW w:w="1701" w:type="dxa"/>
            <w:tcBorders>
              <w:top w:val="nil"/>
              <w:left w:val="nil"/>
              <w:bottom w:val="single" w:color="auto" w:sz="4" w:space="0"/>
              <w:right w:val="single" w:color="auto" w:sz="4" w:space="0"/>
            </w:tcBorders>
            <w:noWrap/>
            <w:vAlign w:val="center"/>
          </w:tcPr>
          <w:p w14:paraId="77D6C03B">
            <w:pPr>
              <w:rPr>
                <w:rFonts w:hint="eastAsia" w:ascii="宋体" w:hAnsi="宋体" w:eastAsia="宋体" w:cs="宋体"/>
                <w:sz w:val="18"/>
                <w:szCs w:val="18"/>
                <w:lang w:eastAsia="zh-CN"/>
              </w:rPr>
            </w:pPr>
            <w:r>
              <w:rPr>
                <w:rFonts w:hint="eastAsia" w:ascii="宋体" w:hAnsi="宋体" w:eastAsia="宋体" w:cs="宋体"/>
                <w:sz w:val="18"/>
                <w:szCs w:val="18"/>
                <w:lang w:eastAsia="zh-CN"/>
              </w:rPr>
              <w:t>国家基本公共卫生服务规范第三版</w:t>
            </w:r>
          </w:p>
        </w:tc>
        <w:tc>
          <w:tcPr>
            <w:tcW w:w="1134" w:type="dxa"/>
            <w:tcBorders>
              <w:top w:val="nil"/>
              <w:left w:val="nil"/>
              <w:bottom w:val="single" w:color="auto" w:sz="4" w:space="0"/>
              <w:right w:val="single" w:color="auto" w:sz="4" w:space="0"/>
            </w:tcBorders>
            <w:noWrap/>
            <w:vAlign w:val="center"/>
          </w:tcPr>
          <w:p w14:paraId="53B87500">
            <w:pPr>
              <w:jc w:val="center"/>
              <w:rPr>
                <w:rFonts w:hint="eastAsia" w:ascii="宋体" w:hAnsi="宋体" w:eastAsia="宋体" w:cs="宋体"/>
                <w:sz w:val="18"/>
                <w:szCs w:val="18"/>
              </w:rPr>
            </w:pPr>
            <w:r>
              <w:rPr>
                <w:rFonts w:hint="eastAsia" w:ascii="宋体" w:hAnsi="宋体" w:eastAsia="宋体" w:cs="宋体"/>
                <w:sz w:val="18"/>
                <w:szCs w:val="18"/>
              </w:rPr>
              <w:t>99.58%</w:t>
            </w:r>
          </w:p>
        </w:tc>
        <w:tc>
          <w:tcPr>
            <w:tcW w:w="992" w:type="dxa"/>
            <w:tcBorders>
              <w:top w:val="nil"/>
              <w:left w:val="nil"/>
              <w:bottom w:val="single" w:color="auto" w:sz="4" w:space="0"/>
              <w:right w:val="single" w:color="auto" w:sz="4" w:space="0"/>
            </w:tcBorders>
            <w:noWrap/>
            <w:vAlign w:val="center"/>
          </w:tcPr>
          <w:p w14:paraId="11B6C5DA">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0217A9CB">
            <w:pPr>
              <w:jc w:val="center"/>
              <w:rPr>
                <w:rFonts w:hint="eastAsia" w:ascii="宋体" w:hAnsi="宋体" w:eastAsia="宋体" w:cs="宋体"/>
                <w:sz w:val="18"/>
                <w:szCs w:val="18"/>
              </w:rPr>
            </w:pPr>
            <w:r>
              <w:rPr>
                <w:rFonts w:hint="eastAsia" w:ascii="宋体" w:hAnsi="宋体" w:eastAsia="宋体" w:cs="宋体"/>
                <w:sz w:val="18"/>
                <w:szCs w:val="18"/>
              </w:rPr>
              <w:t>30</w:t>
            </w:r>
          </w:p>
        </w:tc>
      </w:tr>
      <w:tr w14:paraId="461BE99F">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6BF492B7">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6DDBC461">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6A21CBFA">
            <w:pPr>
              <w:jc w:val="center"/>
              <w:rPr>
                <w:rFonts w:hint="eastAsia" w:ascii="宋体" w:hAnsi="宋体" w:eastAsia="宋体" w:cs="宋体"/>
                <w:sz w:val="18"/>
                <w:szCs w:val="18"/>
              </w:rPr>
            </w:pPr>
            <w:r>
              <w:rPr>
                <w:rFonts w:hint="eastAsia" w:ascii="宋体" w:hAnsi="宋体" w:eastAsia="宋体" w:cs="宋体"/>
                <w:sz w:val="18"/>
                <w:szCs w:val="18"/>
              </w:rPr>
              <w:t>传染病的网报率</w:t>
            </w:r>
          </w:p>
        </w:tc>
        <w:tc>
          <w:tcPr>
            <w:tcW w:w="1276" w:type="dxa"/>
            <w:tcBorders>
              <w:top w:val="nil"/>
              <w:left w:val="nil"/>
              <w:bottom w:val="single" w:color="auto" w:sz="4" w:space="0"/>
              <w:right w:val="single" w:color="auto" w:sz="4" w:space="0"/>
            </w:tcBorders>
            <w:noWrap/>
            <w:vAlign w:val="center"/>
          </w:tcPr>
          <w:p w14:paraId="2330E07B">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701" w:type="dxa"/>
            <w:tcBorders>
              <w:top w:val="nil"/>
              <w:left w:val="nil"/>
              <w:bottom w:val="single" w:color="auto" w:sz="4" w:space="0"/>
              <w:right w:val="single" w:color="auto" w:sz="4" w:space="0"/>
            </w:tcBorders>
            <w:noWrap/>
            <w:vAlign w:val="center"/>
          </w:tcPr>
          <w:p w14:paraId="6884A01E">
            <w:pPr>
              <w:rPr>
                <w:rFonts w:hint="eastAsia" w:ascii="宋体" w:hAnsi="宋体" w:eastAsia="宋体" w:cs="宋体"/>
                <w:sz w:val="18"/>
                <w:szCs w:val="18"/>
                <w:lang w:eastAsia="zh-CN"/>
              </w:rPr>
            </w:pPr>
            <w:r>
              <w:rPr>
                <w:rFonts w:hint="eastAsia" w:ascii="宋体" w:hAnsi="宋体" w:eastAsia="宋体" w:cs="宋体"/>
                <w:sz w:val="18"/>
                <w:szCs w:val="18"/>
                <w:lang w:eastAsia="zh-CN"/>
              </w:rPr>
              <w:t>国家基本公共卫生服务规范第三版</w:t>
            </w:r>
          </w:p>
        </w:tc>
        <w:tc>
          <w:tcPr>
            <w:tcW w:w="1134" w:type="dxa"/>
            <w:tcBorders>
              <w:top w:val="nil"/>
              <w:left w:val="nil"/>
              <w:bottom w:val="single" w:color="auto" w:sz="4" w:space="0"/>
              <w:right w:val="single" w:color="auto" w:sz="4" w:space="0"/>
            </w:tcBorders>
            <w:noWrap/>
            <w:vAlign w:val="center"/>
          </w:tcPr>
          <w:p w14:paraId="694207FD">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992" w:type="dxa"/>
            <w:tcBorders>
              <w:top w:val="nil"/>
              <w:left w:val="nil"/>
              <w:bottom w:val="single" w:color="auto" w:sz="4" w:space="0"/>
              <w:right w:val="single" w:color="auto" w:sz="4" w:space="0"/>
            </w:tcBorders>
            <w:noWrap/>
            <w:vAlign w:val="center"/>
          </w:tcPr>
          <w:p w14:paraId="4647B1E0">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7F382839">
            <w:pPr>
              <w:jc w:val="center"/>
              <w:rPr>
                <w:rFonts w:hint="eastAsia" w:ascii="宋体" w:hAnsi="宋体" w:eastAsia="宋体" w:cs="宋体"/>
                <w:sz w:val="18"/>
                <w:szCs w:val="18"/>
              </w:rPr>
            </w:pPr>
            <w:r>
              <w:rPr>
                <w:rFonts w:hint="eastAsia" w:ascii="宋体" w:hAnsi="宋体" w:eastAsia="宋体" w:cs="宋体"/>
                <w:sz w:val="18"/>
                <w:szCs w:val="18"/>
              </w:rPr>
              <w:t>30</w:t>
            </w:r>
          </w:p>
        </w:tc>
      </w:tr>
      <w:tr w14:paraId="5804E864">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640DD1DD">
            <w:pPr>
              <w:jc w:val="center"/>
              <w:rPr>
                <w:rFonts w:hint="eastAsia" w:ascii="宋体" w:hAnsi="宋体" w:eastAsia="宋体" w:cs="宋体"/>
                <w:sz w:val="18"/>
                <w:szCs w:val="18"/>
              </w:rPr>
            </w:pPr>
          </w:p>
        </w:tc>
        <w:tc>
          <w:tcPr>
            <w:tcW w:w="1417" w:type="dxa"/>
            <w:tcBorders>
              <w:top w:val="single" w:color="auto" w:sz="4" w:space="0"/>
              <w:left w:val="nil"/>
              <w:bottom w:val="single" w:color="auto" w:sz="4" w:space="0"/>
              <w:right w:val="single" w:color="auto" w:sz="4" w:space="0"/>
            </w:tcBorders>
            <w:noWrap/>
            <w:vAlign w:val="center"/>
          </w:tcPr>
          <w:p w14:paraId="3B7B9556">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single" w:color="auto" w:sz="4" w:space="0"/>
              <w:left w:val="nil"/>
              <w:bottom w:val="single" w:color="auto" w:sz="4" w:space="0"/>
              <w:right w:val="single" w:color="auto" w:sz="4" w:space="0"/>
            </w:tcBorders>
            <w:noWrap/>
            <w:vAlign w:val="center"/>
          </w:tcPr>
          <w:p w14:paraId="439A3F9C">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全区免疫规划类疫苗接种率</w:t>
            </w:r>
          </w:p>
        </w:tc>
        <w:tc>
          <w:tcPr>
            <w:tcW w:w="1276" w:type="dxa"/>
            <w:tcBorders>
              <w:top w:val="single" w:color="auto" w:sz="4" w:space="0"/>
              <w:left w:val="nil"/>
              <w:bottom w:val="single" w:color="auto" w:sz="4" w:space="0"/>
              <w:right w:val="single" w:color="auto" w:sz="4" w:space="0"/>
            </w:tcBorders>
            <w:noWrap/>
            <w:vAlign w:val="center"/>
          </w:tcPr>
          <w:p w14:paraId="7DBDDA6B">
            <w:pPr>
              <w:jc w:val="center"/>
              <w:rPr>
                <w:rFonts w:hint="eastAsia" w:ascii="宋体" w:hAnsi="宋体" w:eastAsia="宋体" w:cs="宋体"/>
                <w:sz w:val="18"/>
                <w:szCs w:val="18"/>
              </w:rPr>
            </w:pPr>
            <w:r>
              <w:rPr>
                <w:rFonts w:hint="eastAsia" w:ascii="宋体" w:hAnsi="宋体" w:eastAsia="宋体" w:cs="宋体"/>
                <w:sz w:val="18"/>
                <w:szCs w:val="18"/>
              </w:rPr>
              <w:t>&gt;=95%</w:t>
            </w:r>
          </w:p>
        </w:tc>
        <w:tc>
          <w:tcPr>
            <w:tcW w:w="1701" w:type="dxa"/>
            <w:tcBorders>
              <w:top w:val="single" w:color="auto" w:sz="4" w:space="0"/>
              <w:left w:val="nil"/>
              <w:bottom w:val="single" w:color="auto" w:sz="4" w:space="0"/>
              <w:right w:val="single" w:color="auto" w:sz="4" w:space="0"/>
            </w:tcBorders>
            <w:noWrap/>
            <w:vAlign w:val="center"/>
          </w:tcPr>
          <w:p w14:paraId="6872C166">
            <w:pPr>
              <w:rPr>
                <w:rFonts w:hint="eastAsia" w:ascii="宋体" w:hAnsi="宋体" w:eastAsia="宋体" w:cs="宋体"/>
                <w:sz w:val="18"/>
                <w:szCs w:val="18"/>
                <w:lang w:eastAsia="zh-CN"/>
              </w:rPr>
            </w:pPr>
            <w:r>
              <w:rPr>
                <w:rFonts w:hint="eastAsia" w:ascii="宋体" w:hAnsi="宋体" w:eastAsia="宋体" w:cs="宋体"/>
                <w:sz w:val="18"/>
                <w:szCs w:val="18"/>
                <w:lang w:eastAsia="zh-CN"/>
              </w:rPr>
              <w:t>预防接种工作规范（2023年版）</w:t>
            </w:r>
          </w:p>
        </w:tc>
        <w:tc>
          <w:tcPr>
            <w:tcW w:w="1134" w:type="dxa"/>
            <w:tcBorders>
              <w:top w:val="single" w:color="auto" w:sz="4" w:space="0"/>
              <w:left w:val="nil"/>
              <w:bottom w:val="single" w:color="auto" w:sz="4" w:space="0"/>
              <w:right w:val="single" w:color="auto" w:sz="4" w:space="0"/>
            </w:tcBorders>
            <w:noWrap/>
            <w:vAlign w:val="center"/>
          </w:tcPr>
          <w:p w14:paraId="19FAD09A">
            <w:pPr>
              <w:jc w:val="center"/>
              <w:rPr>
                <w:rFonts w:hint="eastAsia" w:ascii="宋体" w:hAnsi="宋体" w:eastAsia="宋体" w:cs="宋体"/>
                <w:sz w:val="18"/>
                <w:szCs w:val="18"/>
              </w:rPr>
            </w:pPr>
            <w:r>
              <w:rPr>
                <w:rFonts w:hint="eastAsia" w:ascii="宋体" w:hAnsi="宋体" w:eastAsia="宋体" w:cs="宋体"/>
                <w:sz w:val="18"/>
                <w:szCs w:val="18"/>
              </w:rPr>
              <w:t>98%</w:t>
            </w:r>
          </w:p>
        </w:tc>
        <w:tc>
          <w:tcPr>
            <w:tcW w:w="992" w:type="dxa"/>
            <w:tcBorders>
              <w:top w:val="single" w:color="auto" w:sz="4" w:space="0"/>
              <w:left w:val="nil"/>
              <w:bottom w:val="single" w:color="auto" w:sz="4" w:space="0"/>
              <w:right w:val="single" w:color="auto" w:sz="4" w:space="0"/>
            </w:tcBorders>
            <w:noWrap/>
            <w:vAlign w:val="center"/>
          </w:tcPr>
          <w:p w14:paraId="1A2216D7">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0E5CABFD">
            <w:pPr>
              <w:jc w:val="center"/>
              <w:rPr>
                <w:rFonts w:hint="eastAsia" w:ascii="宋体" w:hAnsi="宋体" w:eastAsia="宋体" w:cs="宋体"/>
                <w:sz w:val="18"/>
                <w:szCs w:val="18"/>
              </w:rPr>
            </w:pPr>
            <w:r>
              <w:rPr>
                <w:rFonts w:hint="eastAsia" w:ascii="宋体" w:hAnsi="宋体" w:eastAsia="宋体" w:cs="宋体"/>
                <w:sz w:val="18"/>
                <w:szCs w:val="18"/>
              </w:rPr>
              <w:t>30</w:t>
            </w:r>
          </w:p>
        </w:tc>
      </w:tr>
      <w:tr w14:paraId="7722DFA1">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6ED078A5">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58344973">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427A6FEC">
            <w:pPr>
              <w:jc w:val="center"/>
              <w:rPr>
                <w:rFonts w:hint="eastAsia" w:ascii="宋体" w:hAnsi="宋体" w:eastAsia="宋体" w:cs="宋体"/>
                <w:sz w:val="18"/>
                <w:szCs w:val="18"/>
              </w:rPr>
            </w:pPr>
            <w:r>
              <w:rPr>
                <w:rFonts w:hint="eastAsia" w:ascii="宋体" w:hAnsi="宋体" w:eastAsia="宋体" w:cs="宋体"/>
                <w:sz w:val="18"/>
                <w:szCs w:val="18"/>
              </w:rPr>
              <w:t>98.5</w:t>
            </w:r>
          </w:p>
        </w:tc>
      </w:tr>
    </w:tbl>
    <w:p w14:paraId="31F57917">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BB4ED6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725A59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04916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704DEB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乌财社(2023)162号关于下达2023年中央重大传染病防控经费预算（第二批）的通知（上年结转资金）</w:t>
            </w:r>
          </w:p>
        </w:tc>
      </w:tr>
      <w:tr w14:paraId="737CE08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825B7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08679AC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乌鲁木齐市米东区卫生健康管理委员会</w:t>
            </w:r>
          </w:p>
        </w:tc>
        <w:tc>
          <w:tcPr>
            <w:tcW w:w="1275" w:type="dxa"/>
            <w:gridSpan w:val="2"/>
            <w:tcBorders>
              <w:top w:val="nil"/>
              <w:left w:val="nil"/>
              <w:bottom w:val="single" w:color="auto" w:sz="4" w:space="0"/>
              <w:right w:val="single" w:color="000000" w:sz="4" w:space="0"/>
            </w:tcBorders>
            <w:vAlign w:val="center"/>
          </w:tcPr>
          <w:p w14:paraId="75246E66">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02F6050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乌鲁木齐市米东区疾病预防控制中心</w:t>
            </w:r>
          </w:p>
        </w:tc>
      </w:tr>
      <w:tr w14:paraId="4EB982E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C5EE2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B1F1929">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36BA9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7BC378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AEC75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D2CB6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142EDA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53D5E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8E2FD0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2A67DAE">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C7CDD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EC38C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56.40</w:t>
            </w:r>
          </w:p>
        </w:tc>
        <w:tc>
          <w:tcPr>
            <w:tcW w:w="1125" w:type="dxa"/>
            <w:tcBorders>
              <w:top w:val="nil"/>
              <w:left w:val="nil"/>
              <w:bottom w:val="single" w:color="auto" w:sz="4" w:space="0"/>
              <w:right w:val="single" w:color="auto" w:sz="4" w:space="0"/>
            </w:tcBorders>
            <w:noWrap/>
            <w:vAlign w:val="center"/>
          </w:tcPr>
          <w:p w14:paraId="7E3A92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56.40</w:t>
            </w:r>
          </w:p>
        </w:tc>
        <w:tc>
          <w:tcPr>
            <w:tcW w:w="1275" w:type="dxa"/>
            <w:gridSpan w:val="2"/>
            <w:tcBorders>
              <w:top w:val="single" w:color="auto" w:sz="4" w:space="0"/>
              <w:left w:val="nil"/>
              <w:bottom w:val="single" w:color="auto" w:sz="4" w:space="0"/>
              <w:right w:val="single" w:color="000000" w:sz="4" w:space="0"/>
            </w:tcBorders>
            <w:noWrap/>
            <w:vAlign w:val="center"/>
          </w:tcPr>
          <w:p w14:paraId="49EFF0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47.33</w:t>
            </w:r>
          </w:p>
        </w:tc>
        <w:tc>
          <w:tcPr>
            <w:tcW w:w="1134" w:type="dxa"/>
            <w:gridSpan w:val="2"/>
            <w:tcBorders>
              <w:top w:val="single" w:color="auto" w:sz="4" w:space="0"/>
              <w:left w:val="nil"/>
              <w:bottom w:val="single" w:color="auto" w:sz="4" w:space="0"/>
              <w:right w:val="single" w:color="auto" w:sz="4" w:space="0"/>
            </w:tcBorders>
            <w:vAlign w:val="center"/>
          </w:tcPr>
          <w:p w14:paraId="459D48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1F91CD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83.92%</w:t>
            </w:r>
          </w:p>
        </w:tc>
        <w:tc>
          <w:tcPr>
            <w:tcW w:w="1275" w:type="dxa"/>
            <w:tcBorders>
              <w:top w:val="nil"/>
              <w:left w:val="nil"/>
              <w:bottom w:val="single" w:color="auto" w:sz="4" w:space="0"/>
              <w:right w:val="single" w:color="auto" w:sz="4" w:space="0"/>
            </w:tcBorders>
            <w:vAlign w:val="center"/>
          </w:tcPr>
          <w:p w14:paraId="5B3369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8.39分</w:t>
            </w:r>
          </w:p>
        </w:tc>
      </w:tr>
      <w:tr w14:paraId="787BDA2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A4BA54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E9094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31A4F0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2AD8D9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665241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1A6089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E31B5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F46F7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C59547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56DA7EB">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D1892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E2724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56.40</w:t>
            </w:r>
          </w:p>
        </w:tc>
        <w:tc>
          <w:tcPr>
            <w:tcW w:w="1125" w:type="dxa"/>
            <w:tcBorders>
              <w:top w:val="nil"/>
              <w:left w:val="nil"/>
              <w:bottom w:val="single" w:color="auto" w:sz="4" w:space="0"/>
              <w:right w:val="single" w:color="auto" w:sz="4" w:space="0"/>
            </w:tcBorders>
            <w:noWrap/>
            <w:vAlign w:val="center"/>
          </w:tcPr>
          <w:p w14:paraId="6A4D45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56.40</w:t>
            </w:r>
          </w:p>
        </w:tc>
        <w:tc>
          <w:tcPr>
            <w:tcW w:w="1275" w:type="dxa"/>
            <w:gridSpan w:val="2"/>
            <w:tcBorders>
              <w:top w:val="single" w:color="auto" w:sz="4" w:space="0"/>
              <w:left w:val="nil"/>
              <w:bottom w:val="single" w:color="auto" w:sz="4" w:space="0"/>
              <w:right w:val="single" w:color="000000" w:sz="4" w:space="0"/>
            </w:tcBorders>
            <w:noWrap/>
            <w:vAlign w:val="center"/>
          </w:tcPr>
          <w:p w14:paraId="6E66D2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47.33</w:t>
            </w:r>
          </w:p>
        </w:tc>
        <w:tc>
          <w:tcPr>
            <w:tcW w:w="1134" w:type="dxa"/>
            <w:gridSpan w:val="2"/>
            <w:tcBorders>
              <w:top w:val="single" w:color="auto" w:sz="4" w:space="0"/>
              <w:left w:val="nil"/>
              <w:bottom w:val="single" w:color="auto" w:sz="4" w:space="0"/>
              <w:right w:val="single" w:color="auto" w:sz="4" w:space="0"/>
            </w:tcBorders>
            <w:vAlign w:val="center"/>
          </w:tcPr>
          <w:p w14:paraId="2DF15A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1BFA6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16364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2F64D4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83C69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61275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A8FCF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F03A859">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CCE4B4A">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1DCF544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该项目通过管理米东区高血压、糖尿病、肺结核患者，筛查布病及包虫病患者，可有效降低相关疾病的发生，可有效控制重大传染病的发生。</w:t>
            </w:r>
          </w:p>
        </w:tc>
        <w:tc>
          <w:tcPr>
            <w:tcW w:w="4677" w:type="dxa"/>
            <w:gridSpan w:val="7"/>
            <w:tcBorders>
              <w:top w:val="single" w:color="auto" w:sz="4" w:space="0"/>
              <w:left w:val="nil"/>
              <w:bottom w:val="single" w:color="auto" w:sz="4" w:space="0"/>
              <w:right w:val="single" w:color="000000" w:sz="4" w:space="0"/>
            </w:tcBorders>
          </w:tcPr>
          <w:p w14:paraId="478263A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2024年该项目通过管理米东区高血压、糖尿病、肺结核患者，筛查布病及包虫病患者，达到了预期的效果，效降低相关疾病的发生，完全控制了我区重大传染病的发生，发挥了基层重大传染病防控作用。</w:t>
            </w:r>
          </w:p>
        </w:tc>
      </w:tr>
      <w:tr w14:paraId="37943EDC">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379068DE">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6BAE14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7EC6B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200BEF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80255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52FBD3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9602F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E8459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3DA321C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BB8D41B">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7A810A58">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5E1C2F70">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5B592F91">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B7C1D92">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6F52C17A">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A60E6EB">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BC67C49">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0AAEBD6">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7A6D2FB">
            <w:pPr>
              <w:rPr>
                <w:rFonts w:hint="eastAsia" w:ascii="宋体" w:hAnsi="宋体" w:eastAsia="宋体" w:cs="宋体"/>
                <w:color w:val="000000"/>
                <w:sz w:val="18"/>
                <w:szCs w:val="18"/>
                <w:lang w:eastAsia="zh-CN"/>
              </w:rPr>
            </w:pPr>
          </w:p>
        </w:tc>
      </w:tr>
      <w:tr w14:paraId="3445FC2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5A0D060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F63FE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6FA7F1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4BFB46FC">
            <w:pPr>
              <w:rPr>
                <w:rFonts w:hint="eastAsia" w:ascii="宋体" w:hAnsi="宋体" w:eastAsia="宋体" w:cs="宋体"/>
                <w:color w:val="000000"/>
                <w:sz w:val="18"/>
                <w:szCs w:val="18"/>
              </w:rPr>
            </w:pPr>
            <w:r>
              <w:rPr>
                <w:rFonts w:hint="eastAsia" w:ascii="宋体" w:hAnsi="宋体" w:eastAsia="宋体" w:cs="宋体"/>
                <w:color w:val="000000"/>
                <w:sz w:val="18"/>
                <w:szCs w:val="18"/>
              </w:rPr>
              <w:t>布病筛查人数</w:t>
            </w:r>
          </w:p>
        </w:tc>
        <w:tc>
          <w:tcPr>
            <w:tcW w:w="1125" w:type="dxa"/>
            <w:tcBorders>
              <w:top w:val="nil"/>
              <w:left w:val="nil"/>
              <w:bottom w:val="single" w:color="auto" w:sz="4" w:space="0"/>
              <w:right w:val="single" w:color="auto" w:sz="4" w:space="0"/>
            </w:tcBorders>
            <w:vAlign w:val="center"/>
          </w:tcPr>
          <w:p w14:paraId="2B3846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=1200人</w:t>
            </w:r>
          </w:p>
        </w:tc>
        <w:tc>
          <w:tcPr>
            <w:tcW w:w="1229" w:type="dxa"/>
            <w:tcBorders>
              <w:top w:val="nil"/>
              <w:left w:val="nil"/>
              <w:bottom w:val="single" w:color="auto" w:sz="4" w:space="0"/>
              <w:right w:val="single" w:color="auto" w:sz="4" w:space="0"/>
            </w:tcBorders>
            <w:vAlign w:val="center"/>
          </w:tcPr>
          <w:p w14:paraId="510520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1316人</w:t>
            </w:r>
          </w:p>
        </w:tc>
        <w:tc>
          <w:tcPr>
            <w:tcW w:w="755" w:type="dxa"/>
            <w:gridSpan w:val="2"/>
            <w:tcBorders>
              <w:top w:val="single" w:color="auto" w:sz="4" w:space="0"/>
              <w:left w:val="nil"/>
              <w:bottom w:val="single" w:color="auto" w:sz="4" w:space="0"/>
              <w:right w:val="single" w:color="000000" w:sz="4" w:space="0"/>
            </w:tcBorders>
            <w:vAlign w:val="center"/>
          </w:tcPr>
          <w:p w14:paraId="1BF661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7DE2FD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2454AAA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在2024年布病人数筛查过程中，加大了筛查人数范围，故筛查人数大于目标值。</w:t>
            </w:r>
          </w:p>
        </w:tc>
      </w:tr>
      <w:tr w14:paraId="2519C6A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061F61">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F548DE8">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3E7A21D7">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465B124">
            <w:pPr>
              <w:rPr>
                <w:rFonts w:hint="eastAsia" w:ascii="宋体" w:hAnsi="宋体" w:eastAsia="宋体" w:cs="宋体"/>
                <w:color w:val="000000"/>
                <w:sz w:val="18"/>
                <w:szCs w:val="18"/>
              </w:rPr>
            </w:pPr>
            <w:r>
              <w:rPr>
                <w:rFonts w:hint="eastAsia" w:ascii="宋体" w:hAnsi="宋体" w:eastAsia="宋体" w:cs="宋体"/>
                <w:color w:val="000000"/>
                <w:sz w:val="18"/>
                <w:szCs w:val="18"/>
              </w:rPr>
              <w:t>包虫病学生筛查人数</w:t>
            </w:r>
          </w:p>
        </w:tc>
        <w:tc>
          <w:tcPr>
            <w:tcW w:w="1125" w:type="dxa"/>
            <w:tcBorders>
              <w:top w:val="nil"/>
              <w:left w:val="nil"/>
              <w:bottom w:val="single" w:color="auto" w:sz="4" w:space="0"/>
              <w:right w:val="single" w:color="auto" w:sz="4" w:space="0"/>
            </w:tcBorders>
            <w:vAlign w:val="center"/>
          </w:tcPr>
          <w:p w14:paraId="140F13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=3000人</w:t>
            </w:r>
          </w:p>
        </w:tc>
        <w:tc>
          <w:tcPr>
            <w:tcW w:w="1229" w:type="dxa"/>
            <w:tcBorders>
              <w:top w:val="nil"/>
              <w:left w:val="nil"/>
              <w:bottom w:val="single" w:color="auto" w:sz="4" w:space="0"/>
              <w:right w:val="single" w:color="auto" w:sz="4" w:space="0"/>
            </w:tcBorders>
            <w:vAlign w:val="center"/>
          </w:tcPr>
          <w:p w14:paraId="5401DB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3000人</w:t>
            </w:r>
          </w:p>
        </w:tc>
        <w:tc>
          <w:tcPr>
            <w:tcW w:w="755" w:type="dxa"/>
            <w:gridSpan w:val="2"/>
            <w:tcBorders>
              <w:top w:val="single" w:color="auto" w:sz="4" w:space="0"/>
              <w:left w:val="nil"/>
              <w:bottom w:val="single" w:color="auto" w:sz="4" w:space="0"/>
              <w:right w:val="single" w:color="000000" w:sz="4" w:space="0"/>
            </w:tcBorders>
            <w:vAlign w:val="center"/>
          </w:tcPr>
          <w:p w14:paraId="56DB33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19DBA4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36FF749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由于筛查人数范围减少，在米东区5镇2乡选取6所学校，对1年级和6年级的学生进行B超筛查，共筛查学生1788人。</w:t>
            </w:r>
          </w:p>
        </w:tc>
      </w:tr>
      <w:tr w14:paraId="1F70927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845BA7">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38F08D7A">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77D53629">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76C12F3B">
            <w:pPr>
              <w:rPr>
                <w:rFonts w:hint="eastAsia" w:ascii="宋体" w:hAnsi="宋体" w:eastAsia="宋体" w:cs="宋体"/>
                <w:color w:val="000000"/>
                <w:sz w:val="18"/>
                <w:szCs w:val="18"/>
              </w:rPr>
            </w:pPr>
            <w:r>
              <w:rPr>
                <w:rFonts w:hint="eastAsia" w:ascii="宋体" w:hAnsi="宋体" w:eastAsia="宋体" w:cs="宋体"/>
                <w:color w:val="000000"/>
                <w:sz w:val="18"/>
                <w:szCs w:val="18"/>
              </w:rPr>
              <w:t>高血压患者管理人数</w:t>
            </w:r>
          </w:p>
        </w:tc>
        <w:tc>
          <w:tcPr>
            <w:tcW w:w="1125" w:type="dxa"/>
            <w:tcBorders>
              <w:top w:val="nil"/>
              <w:left w:val="nil"/>
              <w:bottom w:val="single" w:color="auto" w:sz="4" w:space="0"/>
              <w:right w:val="single" w:color="auto" w:sz="4" w:space="0"/>
            </w:tcBorders>
            <w:vAlign w:val="center"/>
          </w:tcPr>
          <w:p w14:paraId="119BA6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=30000人</w:t>
            </w:r>
          </w:p>
        </w:tc>
        <w:tc>
          <w:tcPr>
            <w:tcW w:w="1229" w:type="dxa"/>
            <w:tcBorders>
              <w:top w:val="nil"/>
              <w:left w:val="nil"/>
              <w:bottom w:val="single" w:color="auto" w:sz="4" w:space="0"/>
              <w:right w:val="single" w:color="auto" w:sz="4" w:space="0"/>
            </w:tcBorders>
            <w:vAlign w:val="center"/>
          </w:tcPr>
          <w:p w14:paraId="75BEC0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39096人</w:t>
            </w:r>
          </w:p>
        </w:tc>
        <w:tc>
          <w:tcPr>
            <w:tcW w:w="755" w:type="dxa"/>
            <w:gridSpan w:val="2"/>
            <w:tcBorders>
              <w:top w:val="single" w:color="auto" w:sz="4" w:space="0"/>
              <w:left w:val="nil"/>
              <w:bottom w:val="single" w:color="auto" w:sz="4" w:space="0"/>
              <w:right w:val="single" w:color="000000" w:sz="4" w:space="0"/>
            </w:tcBorders>
            <w:vAlign w:val="center"/>
          </w:tcPr>
          <w:p w14:paraId="5C2B04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3BD214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7C62692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通过加强社区健康环境营造，慢病宣传力度的提升，高血压患者管理人数增加。</w:t>
            </w:r>
          </w:p>
        </w:tc>
      </w:tr>
      <w:tr w14:paraId="4D7D6C2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56FAE3">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733426F">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3AE01C24">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EAA1AC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可疑肺结核患者检查人数</w:t>
            </w:r>
          </w:p>
        </w:tc>
        <w:tc>
          <w:tcPr>
            <w:tcW w:w="1125" w:type="dxa"/>
            <w:tcBorders>
              <w:top w:val="nil"/>
              <w:left w:val="nil"/>
              <w:bottom w:val="single" w:color="auto" w:sz="4" w:space="0"/>
              <w:right w:val="single" w:color="auto" w:sz="4" w:space="0"/>
            </w:tcBorders>
            <w:vAlign w:val="center"/>
          </w:tcPr>
          <w:p w14:paraId="13EB18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=700人</w:t>
            </w:r>
          </w:p>
        </w:tc>
        <w:tc>
          <w:tcPr>
            <w:tcW w:w="1229" w:type="dxa"/>
            <w:tcBorders>
              <w:top w:val="nil"/>
              <w:left w:val="nil"/>
              <w:bottom w:val="single" w:color="auto" w:sz="4" w:space="0"/>
              <w:right w:val="single" w:color="auto" w:sz="4" w:space="0"/>
            </w:tcBorders>
            <w:vAlign w:val="center"/>
          </w:tcPr>
          <w:p w14:paraId="0123E6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750人</w:t>
            </w:r>
          </w:p>
        </w:tc>
        <w:tc>
          <w:tcPr>
            <w:tcW w:w="755" w:type="dxa"/>
            <w:gridSpan w:val="2"/>
            <w:tcBorders>
              <w:top w:val="single" w:color="auto" w:sz="4" w:space="0"/>
              <w:left w:val="nil"/>
              <w:bottom w:val="single" w:color="auto" w:sz="4" w:space="0"/>
              <w:right w:val="single" w:color="000000" w:sz="4" w:space="0"/>
            </w:tcBorders>
            <w:vAlign w:val="center"/>
          </w:tcPr>
          <w:p w14:paraId="643208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77F987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3EB0278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通过加强社区健康环境营造，可疑肺结核宣传力度的提升，可疑肺结核患者检查人数增加。</w:t>
            </w:r>
          </w:p>
        </w:tc>
      </w:tr>
      <w:tr w14:paraId="6B0ABE2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964D29">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30C95DA7">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32E71959">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D26BC8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2型糖尿病患者管理人数</w:t>
            </w:r>
          </w:p>
        </w:tc>
        <w:tc>
          <w:tcPr>
            <w:tcW w:w="1125" w:type="dxa"/>
            <w:tcBorders>
              <w:top w:val="nil"/>
              <w:left w:val="nil"/>
              <w:bottom w:val="single" w:color="auto" w:sz="4" w:space="0"/>
              <w:right w:val="single" w:color="auto" w:sz="4" w:space="0"/>
            </w:tcBorders>
            <w:vAlign w:val="center"/>
          </w:tcPr>
          <w:p w14:paraId="071B65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=13000人</w:t>
            </w:r>
          </w:p>
        </w:tc>
        <w:tc>
          <w:tcPr>
            <w:tcW w:w="1229" w:type="dxa"/>
            <w:tcBorders>
              <w:top w:val="nil"/>
              <w:left w:val="nil"/>
              <w:bottom w:val="single" w:color="auto" w:sz="4" w:space="0"/>
              <w:right w:val="single" w:color="auto" w:sz="4" w:space="0"/>
            </w:tcBorders>
            <w:vAlign w:val="center"/>
          </w:tcPr>
          <w:p w14:paraId="75AAC7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17984人</w:t>
            </w:r>
          </w:p>
        </w:tc>
        <w:tc>
          <w:tcPr>
            <w:tcW w:w="755" w:type="dxa"/>
            <w:gridSpan w:val="2"/>
            <w:tcBorders>
              <w:top w:val="single" w:color="auto" w:sz="4" w:space="0"/>
              <w:left w:val="nil"/>
              <w:bottom w:val="single" w:color="auto" w:sz="4" w:space="0"/>
              <w:right w:val="single" w:color="000000" w:sz="4" w:space="0"/>
            </w:tcBorders>
            <w:vAlign w:val="center"/>
          </w:tcPr>
          <w:p w14:paraId="29F6F2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6673B6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202ED34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通过加强社区健康环境营造，糖尿病宣传力度的提升，糖尿病患者检查人数增加，管理人数也同时增加。</w:t>
            </w:r>
          </w:p>
        </w:tc>
      </w:tr>
      <w:tr w14:paraId="17A5549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2D96CB">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3D67762B">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2784C6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800516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高血压患者规范管理率</w:t>
            </w:r>
          </w:p>
        </w:tc>
        <w:tc>
          <w:tcPr>
            <w:tcW w:w="1125" w:type="dxa"/>
            <w:tcBorders>
              <w:top w:val="nil"/>
              <w:left w:val="nil"/>
              <w:bottom w:val="single" w:color="auto" w:sz="4" w:space="0"/>
              <w:right w:val="single" w:color="auto" w:sz="4" w:space="0"/>
            </w:tcBorders>
            <w:vAlign w:val="center"/>
          </w:tcPr>
          <w:p w14:paraId="410268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&gt;60%</w:t>
            </w:r>
          </w:p>
        </w:tc>
        <w:tc>
          <w:tcPr>
            <w:tcW w:w="1229" w:type="dxa"/>
            <w:tcBorders>
              <w:top w:val="nil"/>
              <w:left w:val="nil"/>
              <w:bottom w:val="single" w:color="auto" w:sz="4" w:space="0"/>
              <w:right w:val="single" w:color="auto" w:sz="4" w:space="0"/>
            </w:tcBorders>
            <w:vAlign w:val="center"/>
          </w:tcPr>
          <w:p w14:paraId="034BE0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82.94%</w:t>
            </w:r>
          </w:p>
        </w:tc>
        <w:tc>
          <w:tcPr>
            <w:tcW w:w="755" w:type="dxa"/>
            <w:gridSpan w:val="2"/>
            <w:tcBorders>
              <w:top w:val="single" w:color="auto" w:sz="4" w:space="0"/>
              <w:left w:val="nil"/>
              <w:bottom w:val="single" w:color="auto" w:sz="4" w:space="0"/>
              <w:right w:val="single" w:color="000000" w:sz="4" w:space="0"/>
            </w:tcBorders>
            <w:vAlign w:val="center"/>
          </w:tcPr>
          <w:p w14:paraId="0F7ADB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3BB42C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6DECEC8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通过加强社区健康环境营造，高血压疾病预防宣传力度的提升，高血压疾病患者检查人数增加，规范管理率也增加。</w:t>
            </w:r>
          </w:p>
        </w:tc>
      </w:tr>
      <w:tr w14:paraId="041F03B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B3EF70">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09B0A5DB">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73FB5A5D">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07570A7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肺结核患者规范管理率</w:t>
            </w:r>
          </w:p>
        </w:tc>
        <w:tc>
          <w:tcPr>
            <w:tcW w:w="1125" w:type="dxa"/>
            <w:tcBorders>
              <w:top w:val="nil"/>
              <w:left w:val="nil"/>
              <w:bottom w:val="single" w:color="auto" w:sz="4" w:space="0"/>
              <w:right w:val="single" w:color="auto" w:sz="4" w:space="0"/>
            </w:tcBorders>
            <w:vAlign w:val="center"/>
          </w:tcPr>
          <w:p w14:paraId="3305CB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406F87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74DA7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D883B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76E6A1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通过加强社区健康环境营造，肺结核疾病预防宣传力度的提升，居民健康意识的提升，肺结核患者规范管理率也有效提升。</w:t>
            </w:r>
          </w:p>
        </w:tc>
      </w:tr>
      <w:tr w14:paraId="05DF01D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BC3D07">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674080AE">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1B85A7A8">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73344FE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2型糖尿病患者规范管理率</w:t>
            </w:r>
          </w:p>
        </w:tc>
        <w:tc>
          <w:tcPr>
            <w:tcW w:w="1125" w:type="dxa"/>
            <w:tcBorders>
              <w:top w:val="nil"/>
              <w:left w:val="nil"/>
              <w:bottom w:val="single" w:color="auto" w:sz="4" w:space="0"/>
              <w:right w:val="single" w:color="auto" w:sz="4" w:space="0"/>
            </w:tcBorders>
            <w:vAlign w:val="center"/>
          </w:tcPr>
          <w:p w14:paraId="25AD06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2D941D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83.56%</w:t>
            </w:r>
          </w:p>
        </w:tc>
        <w:tc>
          <w:tcPr>
            <w:tcW w:w="755" w:type="dxa"/>
            <w:gridSpan w:val="2"/>
            <w:tcBorders>
              <w:top w:val="single" w:color="auto" w:sz="4" w:space="0"/>
              <w:left w:val="nil"/>
              <w:bottom w:val="single" w:color="auto" w:sz="4" w:space="0"/>
              <w:right w:val="single" w:color="000000" w:sz="4" w:space="0"/>
            </w:tcBorders>
            <w:vAlign w:val="center"/>
          </w:tcPr>
          <w:p w14:paraId="12360E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3C4EE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8.36</w:t>
            </w:r>
          </w:p>
        </w:tc>
        <w:tc>
          <w:tcPr>
            <w:tcW w:w="1984" w:type="dxa"/>
            <w:gridSpan w:val="2"/>
            <w:tcBorders>
              <w:top w:val="single" w:color="auto" w:sz="4" w:space="0"/>
              <w:left w:val="nil"/>
              <w:bottom w:val="single" w:color="auto" w:sz="4" w:space="0"/>
              <w:right w:val="single" w:color="auto" w:sz="4" w:space="0"/>
            </w:tcBorders>
            <w:vAlign w:val="center"/>
          </w:tcPr>
          <w:p w14:paraId="367359A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由于糖尿病患者个人因长期吃药的不良抵触心理，导致部分患者服药率下降，规范管理率同时下降。</w:t>
            </w:r>
          </w:p>
        </w:tc>
      </w:tr>
      <w:tr w14:paraId="0C91A9F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A0D482">
            <w:pPr>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3C0ADB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0E9351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D4BD57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降低布病包虫病的发病率</w:t>
            </w:r>
          </w:p>
        </w:tc>
        <w:tc>
          <w:tcPr>
            <w:tcW w:w="1125" w:type="dxa"/>
            <w:tcBorders>
              <w:top w:val="nil"/>
              <w:left w:val="nil"/>
              <w:bottom w:val="single" w:color="auto" w:sz="4" w:space="0"/>
              <w:right w:val="single" w:color="auto" w:sz="4" w:space="0"/>
            </w:tcBorders>
            <w:vAlign w:val="center"/>
          </w:tcPr>
          <w:p w14:paraId="204CF1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有效降低</w:t>
            </w:r>
          </w:p>
        </w:tc>
        <w:tc>
          <w:tcPr>
            <w:tcW w:w="1229" w:type="dxa"/>
            <w:tcBorders>
              <w:top w:val="nil"/>
              <w:left w:val="nil"/>
              <w:bottom w:val="single" w:color="auto" w:sz="4" w:space="0"/>
              <w:right w:val="single" w:color="auto" w:sz="4" w:space="0"/>
            </w:tcBorders>
            <w:vAlign w:val="center"/>
          </w:tcPr>
          <w:p w14:paraId="0B77E7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FEF49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136D21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38EA1BF">
            <w:pPr>
              <w:jc w:val="center"/>
              <w:rPr>
                <w:rFonts w:hint="eastAsia" w:ascii="宋体" w:hAnsi="宋体" w:eastAsia="宋体" w:cs="宋体"/>
                <w:color w:val="000000"/>
                <w:sz w:val="18"/>
                <w:szCs w:val="18"/>
              </w:rPr>
            </w:pPr>
          </w:p>
        </w:tc>
      </w:tr>
      <w:tr w14:paraId="54E769F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7440BB">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8901C88">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508FBF1">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B56913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规范管理慢病患者减少并发症的发生</w:t>
            </w:r>
          </w:p>
        </w:tc>
        <w:tc>
          <w:tcPr>
            <w:tcW w:w="1125" w:type="dxa"/>
            <w:tcBorders>
              <w:top w:val="nil"/>
              <w:left w:val="nil"/>
              <w:bottom w:val="single" w:color="auto" w:sz="4" w:space="0"/>
              <w:right w:val="single" w:color="auto" w:sz="4" w:space="0"/>
            </w:tcBorders>
            <w:vAlign w:val="center"/>
          </w:tcPr>
          <w:p w14:paraId="502865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有效规范</w:t>
            </w:r>
          </w:p>
        </w:tc>
        <w:tc>
          <w:tcPr>
            <w:tcW w:w="1229" w:type="dxa"/>
            <w:tcBorders>
              <w:top w:val="nil"/>
              <w:left w:val="nil"/>
              <w:bottom w:val="single" w:color="auto" w:sz="4" w:space="0"/>
              <w:right w:val="single" w:color="auto" w:sz="4" w:space="0"/>
            </w:tcBorders>
            <w:vAlign w:val="center"/>
          </w:tcPr>
          <w:p w14:paraId="0F6713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94D87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7F52BF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7E888288">
            <w:pPr>
              <w:jc w:val="center"/>
              <w:rPr>
                <w:rFonts w:hint="eastAsia" w:ascii="宋体" w:hAnsi="宋体" w:eastAsia="宋体" w:cs="宋体"/>
                <w:color w:val="000000"/>
                <w:sz w:val="18"/>
                <w:szCs w:val="18"/>
              </w:rPr>
            </w:pPr>
          </w:p>
        </w:tc>
      </w:tr>
      <w:tr w14:paraId="6B7010F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43CD8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C51AA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59404E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96.75分</w:t>
            </w:r>
          </w:p>
        </w:tc>
        <w:tc>
          <w:tcPr>
            <w:tcW w:w="1984" w:type="dxa"/>
            <w:gridSpan w:val="2"/>
            <w:tcBorders>
              <w:top w:val="single" w:color="auto" w:sz="4" w:space="0"/>
              <w:left w:val="nil"/>
              <w:bottom w:val="single" w:color="auto" w:sz="4" w:space="0"/>
              <w:right w:val="single" w:color="auto" w:sz="4" w:space="0"/>
            </w:tcBorders>
            <w:vAlign w:val="center"/>
          </w:tcPr>
          <w:p w14:paraId="19DEF299">
            <w:pPr>
              <w:jc w:val="center"/>
              <w:rPr>
                <w:rFonts w:hint="eastAsia" w:ascii="宋体" w:hAnsi="宋体" w:eastAsia="宋体" w:cs="宋体"/>
                <w:b/>
                <w:bCs/>
                <w:color w:val="000000"/>
                <w:sz w:val="18"/>
                <w:szCs w:val="18"/>
              </w:rPr>
            </w:pPr>
          </w:p>
        </w:tc>
      </w:tr>
    </w:tbl>
    <w:p w14:paraId="3BD81F2F">
      <w:pPr>
        <w:jc w:val="center"/>
        <w:rPr>
          <w:rFonts w:hint="eastAsia" w:ascii="宋体" w:hAnsi="宋体" w:eastAsia="宋体" w:cs="宋体"/>
          <w:b/>
          <w:bCs/>
          <w:sz w:val="28"/>
          <w:szCs w:val="28"/>
        </w:rPr>
      </w:pPr>
      <w:r>
        <w:rPr>
          <w:rFonts w:hint="eastAsia" w:ascii="宋体" w:hAnsi="宋体" w:eastAsia="宋体" w:cs="宋体"/>
          <w:b/>
          <w:bCs/>
          <w:sz w:val="18"/>
          <w:szCs w:val="18"/>
        </w:rPr>
        <w:br w:type="page"/>
      </w:r>
      <w:bookmarkEnd w:id="12"/>
      <w:r>
        <w:rPr>
          <w:rFonts w:hint="eastAsia" w:ascii="宋体" w:hAnsi="宋体" w:eastAsia="宋体" w:cs="宋体"/>
          <w:b/>
          <w:bCs/>
          <w:sz w:val="28"/>
          <w:szCs w:val="28"/>
        </w:rPr>
        <w:t>项目支出绩效自评表</w:t>
      </w:r>
    </w:p>
    <w:p w14:paraId="7771C47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66A5D6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9F348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D029A3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乌财社[2023]190号市级第二批基本公共卫生服务资金</w:t>
            </w:r>
          </w:p>
        </w:tc>
      </w:tr>
      <w:tr w14:paraId="350A531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C5A48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B09E00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米东区卫生健康委员会</w:t>
            </w:r>
          </w:p>
        </w:tc>
        <w:tc>
          <w:tcPr>
            <w:tcW w:w="1275" w:type="dxa"/>
            <w:gridSpan w:val="2"/>
            <w:tcBorders>
              <w:top w:val="nil"/>
              <w:left w:val="nil"/>
              <w:bottom w:val="single" w:color="auto" w:sz="4" w:space="0"/>
              <w:right w:val="single" w:color="000000" w:sz="4" w:space="0"/>
            </w:tcBorders>
            <w:vAlign w:val="center"/>
          </w:tcPr>
          <w:p w14:paraId="5161F13F">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1B801BD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乌鲁木齐市米东区疾病预防控制中心</w:t>
            </w:r>
          </w:p>
        </w:tc>
      </w:tr>
      <w:tr w14:paraId="619211F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BEB5E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2F529E6">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C11AD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07653B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5336B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D0703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168A8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7D90FD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016311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E4F388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C4936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15A4B4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79.81</w:t>
            </w:r>
          </w:p>
        </w:tc>
        <w:tc>
          <w:tcPr>
            <w:tcW w:w="1125" w:type="dxa"/>
            <w:tcBorders>
              <w:top w:val="nil"/>
              <w:left w:val="nil"/>
              <w:bottom w:val="single" w:color="auto" w:sz="4" w:space="0"/>
              <w:right w:val="single" w:color="auto" w:sz="4" w:space="0"/>
            </w:tcBorders>
            <w:noWrap/>
            <w:vAlign w:val="center"/>
          </w:tcPr>
          <w:p w14:paraId="292DAC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79.81</w:t>
            </w:r>
          </w:p>
        </w:tc>
        <w:tc>
          <w:tcPr>
            <w:tcW w:w="1275" w:type="dxa"/>
            <w:gridSpan w:val="2"/>
            <w:tcBorders>
              <w:top w:val="single" w:color="auto" w:sz="4" w:space="0"/>
              <w:left w:val="nil"/>
              <w:bottom w:val="single" w:color="auto" w:sz="4" w:space="0"/>
              <w:right w:val="single" w:color="000000" w:sz="4" w:space="0"/>
            </w:tcBorders>
            <w:noWrap/>
            <w:vAlign w:val="center"/>
          </w:tcPr>
          <w:p w14:paraId="04FA8B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69.82</w:t>
            </w:r>
          </w:p>
        </w:tc>
        <w:tc>
          <w:tcPr>
            <w:tcW w:w="1134" w:type="dxa"/>
            <w:gridSpan w:val="2"/>
            <w:tcBorders>
              <w:top w:val="single" w:color="auto" w:sz="4" w:space="0"/>
              <w:left w:val="nil"/>
              <w:bottom w:val="single" w:color="auto" w:sz="4" w:space="0"/>
              <w:right w:val="single" w:color="auto" w:sz="4" w:space="0"/>
            </w:tcBorders>
            <w:vAlign w:val="center"/>
          </w:tcPr>
          <w:p w14:paraId="4CD19A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481206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87.48%</w:t>
            </w:r>
          </w:p>
        </w:tc>
        <w:tc>
          <w:tcPr>
            <w:tcW w:w="1275" w:type="dxa"/>
            <w:tcBorders>
              <w:top w:val="nil"/>
              <w:left w:val="nil"/>
              <w:bottom w:val="single" w:color="auto" w:sz="4" w:space="0"/>
              <w:right w:val="single" w:color="auto" w:sz="4" w:space="0"/>
            </w:tcBorders>
            <w:vAlign w:val="center"/>
          </w:tcPr>
          <w:p w14:paraId="2E5421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8.75分</w:t>
            </w:r>
          </w:p>
        </w:tc>
      </w:tr>
      <w:tr w14:paraId="77ABE97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623DF3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E6F9C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A4D35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79.81</w:t>
            </w:r>
          </w:p>
        </w:tc>
        <w:tc>
          <w:tcPr>
            <w:tcW w:w="1125" w:type="dxa"/>
            <w:tcBorders>
              <w:top w:val="nil"/>
              <w:left w:val="nil"/>
              <w:bottom w:val="single" w:color="auto" w:sz="4" w:space="0"/>
              <w:right w:val="single" w:color="auto" w:sz="4" w:space="0"/>
            </w:tcBorders>
            <w:noWrap/>
            <w:vAlign w:val="center"/>
          </w:tcPr>
          <w:p w14:paraId="007E9A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79.81</w:t>
            </w:r>
          </w:p>
        </w:tc>
        <w:tc>
          <w:tcPr>
            <w:tcW w:w="1275" w:type="dxa"/>
            <w:gridSpan w:val="2"/>
            <w:tcBorders>
              <w:top w:val="single" w:color="auto" w:sz="4" w:space="0"/>
              <w:left w:val="nil"/>
              <w:bottom w:val="single" w:color="auto" w:sz="4" w:space="0"/>
              <w:right w:val="single" w:color="000000" w:sz="4" w:space="0"/>
            </w:tcBorders>
            <w:noWrap/>
            <w:vAlign w:val="center"/>
          </w:tcPr>
          <w:p w14:paraId="44B73F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69.82</w:t>
            </w:r>
          </w:p>
        </w:tc>
        <w:tc>
          <w:tcPr>
            <w:tcW w:w="1134" w:type="dxa"/>
            <w:gridSpan w:val="2"/>
            <w:tcBorders>
              <w:top w:val="single" w:color="auto" w:sz="4" w:space="0"/>
              <w:left w:val="nil"/>
              <w:bottom w:val="single" w:color="auto" w:sz="4" w:space="0"/>
              <w:right w:val="single" w:color="auto" w:sz="4" w:space="0"/>
            </w:tcBorders>
            <w:vAlign w:val="center"/>
          </w:tcPr>
          <w:p w14:paraId="154A64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D43BE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A3847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3CB3DC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0AD4DB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31576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093518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7ED317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5A9455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3ABF3C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73273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7FBCC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40A8B7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2C901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A6FB6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50902F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6B3461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9F29DB5">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2D150FC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通过开展鼠疫防治监测、结核病患者工作及</w:t>
            </w:r>
            <w:bookmarkStart w:id="14" w:name="_GoBack"/>
            <w:bookmarkEnd w:id="14"/>
            <w:r>
              <w:rPr>
                <w:rFonts w:hint="eastAsia" w:ascii="宋体" w:hAnsi="宋体" w:eastAsia="宋体" w:cs="宋体"/>
                <w:color w:val="000000"/>
                <w:sz w:val="18"/>
                <w:szCs w:val="18"/>
                <w:lang w:eastAsia="zh-CN"/>
              </w:rPr>
              <w:t>居民健康素养行动工作，有效保障我区鼠疫监测的安全进行，结核病患者得到规范治疗，提高居民健康水平，从而提上我区基本公共卫生水平。</w:t>
            </w:r>
          </w:p>
        </w:tc>
        <w:tc>
          <w:tcPr>
            <w:tcW w:w="4677" w:type="dxa"/>
            <w:gridSpan w:val="7"/>
            <w:tcBorders>
              <w:top w:val="single" w:color="auto" w:sz="4" w:space="0"/>
              <w:left w:val="nil"/>
              <w:bottom w:val="single" w:color="auto" w:sz="4" w:space="0"/>
              <w:right w:val="single" w:color="000000" w:sz="4" w:space="0"/>
            </w:tcBorders>
          </w:tcPr>
          <w:p w14:paraId="5DD5F9D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通过项目资金的投入，对于发现的结核病患者管理率达到100%，给患者通过营养早餐，让患者感受到国家的关怀，通过对鼠疫的监测，保障了人民的安全。</w:t>
            </w:r>
          </w:p>
        </w:tc>
      </w:tr>
      <w:tr w14:paraId="69B89FB3">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527C4BCA">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488DE2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7C985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E8B07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336C74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6F7B5F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B77C7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3F03C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3059AAA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F6CFB5C">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6A1F257A">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420ECC68">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628E4B62">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6BD7C78">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13FCB3B3">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6C6DE3F5">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CFAA119">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9D56318">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240E2E0">
            <w:pPr>
              <w:rPr>
                <w:rFonts w:hint="eastAsia" w:ascii="宋体" w:hAnsi="宋体" w:eastAsia="宋体" w:cs="宋体"/>
                <w:color w:val="000000"/>
                <w:sz w:val="18"/>
                <w:szCs w:val="18"/>
                <w:lang w:eastAsia="zh-CN"/>
              </w:rPr>
            </w:pPr>
          </w:p>
        </w:tc>
      </w:tr>
      <w:tr w14:paraId="1E10B15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96E392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74169C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3AB9E3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69A9F34">
            <w:pPr>
              <w:rPr>
                <w:rFonts w:hint="eastAsia" w:ascii="宋体" w:hAnsi="宋体" w:eastAsia="宋体" w:cs="宋体"/>
                <w:color w:val="000000"/>
                <w:sz w:val="18"/>
                <w:szCs w:val="18"/>
              </w:rPr>
            </w:pPr>
            <w:r>
              <w:rPr>
                <w:rFonts w:hint="eastAsia" w:ascii="宋体" w:hAnsi="宋体" w:eastAsia="宋体" w:cs="宋体"/>
                <w:color w:val="000000"/>
                <w:sz w:val="18"/>
                <w:szCs w:val="18"/>
              </w:rPr>
              <w:t>肺结核患者管理率</w:t>
            </w:r>
          </w:p>
        </w:tc>
        <w:tc>
          <w:tcPr>
            <w:tcW w:w="1125" w:type="dxa"/>
            <w:tcBorders>
              <w:top w:val="nil"/>
              <w:left w:val="nil"/>
              <w:bottom w:val="single" w:color="auto" w:sz="4" w:space="0"/>
              <w:right w:val="single" w:color="auto" w:sz="4" w:space="0"/>
            </w:tcBorders>
            <w:vAlign w:val="center"/>
          </w:tcPr>
          <w:p w14:paraId="2B86C8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59F2AC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57CE1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808A3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EC0CE0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结核病定点医疗机构积极发现病人，并做到规范化管理，超过了国家规定的管理率要求</w:t>
            </w:r>
          </w:p>
        </w:tc>
      </w:tr>
      <w:tr w14:paraId="14ED41E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D865DF">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19F4E11">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293567DD">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242A5F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鼠疫监测应急演练次数</w:t>
            </w:r>
          </w:p>
        </w:tc>
        <w:tc>
          <w:tcPr>
            <w:tcW w:w="1125" w:type="dxa"/>
            <w:tcBorders>
              <w:top w:val="nil"/>
              <w:left w:val="nil"/>
              <w:bottom w:val="single" w:color="auto" w:sz="4" w:space="0"/>
              <w:right w:val="single" w:color="auto" w:sz="4" w:space="0"/>
            </w:tcBorders>
            <w:vAlign w:val="center"/>
          </w:tcPr>
          <w:p w14:paraId="386BBB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&gt;=1次</w:t>
            </w:r>
          </w:p>
        </w:tc>
        <w:tc>
          <w:tcPr>
            <w:tcW w:w="1229" w:type="dxa"/>
            <w:tcBorders>
              <w:top w:val="nil"/>
              <w:left w:val="nil"/>
              <w:bottom w:val="single" w:color="auto" w:sz="4" w:space="0"/>
              <w:right w:val="single" w:color="auto" w:sz="4" w:space="0"/>
            </w:tcBorders>
            <w:vAlign w:val="center"/>
          </w:tcPr>
          <w:p w14:paraId="5B1AA2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1次</w:t>
            </w:r>
          </w:p>
        </w:tc>
        <w:tc>
          <w:tcPr>
            <w:tcW w:w="755" w:type="dxa"/>
            <w:gridSpan w:val="2"/>
            <w:tcBorders>
              <w:top w:val="single" w:color="auto" w:sz="4" w:space="0"/>
              <w:left w:val="nil"/>
              <w:bottom w:val="single" w:color="auto" w:sz="4" w:space="0"/>
              <w:right w:val="single" w:color="000000" w:sz="4" w:space="0"/>
            </w:tcBorders>
            <w:vAlign w:val="center"/>
          </w:tcPr>
          <w:p w14:paraId="435BD1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D1A36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EF39200">
            <w:pPr>
              <w:jc w:val="center"/>
              <w:rPr>
                <w:rFonts w:hint="eastAsia" w:ascii="宋体" w:hAnsi="宋体" w:eastAsia="宋体" w:cs="宋体"/>
                <w:color w:val="000000"/>
                <w:sz w:val="18"/>
                <w:szCs w:val="18"/>
              </w:rPr>
            </w:pPr>
          </w:p>
        </w:tc>
      </w:tr>
      <w:tr w14:paraId="4781315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9C3894">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6B16E7D">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0C7E5D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60607C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传染病和突发公共卫生事件报告率</w:t>
            </w:r>
          </w:p>
        </w:tc>
        <w:tc>
          <w:tcPr>
            <w:tcW w:w="1125" w:type="dxa"/>
            <w:tcBorders>
              <w:top w:val="nil"/>
              <w:left w:val="nil"/>
              <w:bottom w:val="single" w:color="auto" w:sz="4" w:space="0"/>
              <w:right w:val="single" w:color="auto" w:sz="4" w:space="0"/>
            </w:tcBorders>
            <w:vAlign w:val="center"/>
          </w:tcPr>
          <w:p w14:paraId="0EA221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7BA235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2E6671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90BA3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085FCFD">
            <w:pPr>
              <w:jc w:val="center"/>
              <w:rPr>
                <w:rFonts w:hint="eastAsia" w:ascii="宋体" w:hAnsi="宋体" w:eastAsia="宋体" w:cs="宋体"/>
                <w:color w:val="000000"/>
                <w:sz w:val="18"/>
                <w:szCs w:val="18"/>
              </w:rPr>
            </w:pPr>
          </w:p>
        </w:tc>
      </w:tr>
      <w:tr w14:paraId="222F7F8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CC2AA9">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AC06FBE">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47F741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531F4C8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传染病和突发公共卫生事件报告及时率</w:t>
            </w:r>
          </w:p>
        </w:tc>
        <w:tc>
          <w:tcPr>
            <w:tcW w:w="1125" w:type="dxa"/>
            <w:tcBorders>
              <w:top w:val="nil"/>
              <w:left w:val="nil"/>
              <w:bottom w:val="single" w:color="auto" w:sz="4" w:space="0"/>
              <w:right w:val="single" w:color="auto" w:sz="4" w:space="0"/>
            </w:tcBorders>
            <w:vAlign w:val="center"/>
          </w:tcPr>
          <w:p w14:paraId="61457A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339B41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0F5028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4E987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35E2AD4">
            <w:pPr>
              <w:jc w:val="center"/>
              <w:rPr>
                <w:rFonts w:hint="eastAsia" w:ascii="宋体" w:hAnsi="宋体" w:eastAsia="宋体" w:cs="宋体"/>
                <w:color w:val="000000"/>
                <w:sz w:val="18"/>
                <w:szCs w:val="18"/>
              </w:rPr>
            </w:pPr>
          </w:p>
        </w:tc>
      </w:tr>
      <w:tr w14:paraId="657A990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DACA6F">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476ECD2">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9F5701B">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1004258">
            <w:pPr>
              <w:rPr>
                <w:rFonts w:hint="eastAsia" w:ascii="宋体" w:hAnsi="宋体" w:eastAsia="宋体" w:cs="宋体"/>
                <w:color w:val="000000"/>
                <w:sz w:val="18"/>
                <w:szCs w:val="18"/>
              </w:rPr>
            </w:pPr>
            <w:r>
              <w:rPr>
                <w:rFonts w:hint="eastAsia" w:ascii="宋体" w:hAnsi="宋体" w:eastAsia="宋体" w:cs="宋体"/>
                <w:color w:val="000000"/>
                <w:sz w:val="18"/>
                <w:szCs w:val="18"/>
              </w:rPr>
              <w:t>结核病监测时间</w:t>
            </w:r>
          </w:p>
        </w:tc>
        <w:tc>
          <w:tcPr>
            <w:tcW w:w="1125" w:type="dxa"/>
            <w:tcBorders>
              <w:top w:val="nil"/>
              <w:left w:val="nil"/>
              <w:bottom w:val="single" w:color="auto" w:sz="4" w:space="0"/>
              <w:right w:val="single" w:color="auto" w:sz="4" w:space="0"/>
            </w:tcBorders>
            <w:vAlign w:val="center"/>
          </w:tcPr>
          <w:p w14:paraId="56673D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14:paraId="5A2EDC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6BD78E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5BA17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2E3D47C">
            <w:pPr>
              <w:jc w:val="center"/>
              <w:rPr>
                <w:rFonts w:hint="eastAsia" w:ascii="宋体" w:hAnsi="宋体" w:eastAsia="宋体" w:cs="宋体"/>
                <w:color w:val="000000"/>
                <w:sz w:val="18"/>
                <w:szCs w:val="18"/>
              </w:rPr>
            </w:pPr>
          </w:p>
        </w:tc>
      </w:tr>
      <w:tr w14:paraId="1760B36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432083">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7AF78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634044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99AA20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城乡居民公共卫生差距</w:t>
            </w:r>
          </w:p>
        </w:tc>
        <w:tc>
          <w:tcPr>
            <w:tcW w:w="1125" w:type="dxa"/>
            <w:tcBorders>
              <w:top w:val="nil"/>
              <w:left w:val="nil"/>
              <w:bottom w:val="single" w:color="auto" w:sz="4" w:space="0"/>
              <w:right w:val="single" w:color="auto" w:sz="4" w:space="0"/>
            </w:tcBorders>
            <w:vAlign w:val="center"/>
          </w:tcPr>
          <w:p w14:paraId="2A7E8C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不断缩小</w:t>
            </w:r>
          </w:p>
        </w:tc>
        <w:tc>
          <w:tcPr>
            <w:tcW w:w="1229" w:type="dxa"/>
            <w:tcBorders>
              <w:top w:val="nil"/>
              <w:left w:val="nil"/>
              <w:bottom w:val="single" w:color="auto" w:sz="4" w:space="0"/>
              <w:right w:val="single" w:color="auto" w:sz="4" w:space="0"/>
            </w:tcBorders>
            <w:vAlign w:val="center"/>
          </w:tcPr>
          <w:p w14:paraId="2A1DB3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5B3FD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4DC2D9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5ED6A43E">
            <w:pPr>
              <w:jc w:val="center"/>
              <w:rPr>
                <w:rFonts w:hint="eastAsia" w:ascii="宋体" w:hAnsi="宋体" w:eastAsia="宋体" w:cs="宋体"/>
                <w:color w:val="000000"/>
                <w:sz w:val="18"/>
                <w:szCs w:val="18"/>
              </w:rPr>
            </w:pPr>
          </w:p>
        </w:tc>
      </w:tr>
      <w:tr w14:paraId="6FAC5BC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C4EEAF">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86326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5D3047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05DE7033">
            <w:pPr>
              <w:rPr>
                <w:rFonts w:hint="eastAsia" w:ascii="宋体" w:hAnsi="宋体" w:eastAsia="宋体" w:cs="宋体"/>
                <w:color w:val="000000"/>
                <w:sz w:val="18"/>
                <w:szCs w:val="18"/>
              </w:rPr>
            </w:pPr>
            <w:r>
              <w:rPr>
                <w:rFonts w:hint="eastAsia" w:ascii="宋体" w:hAnsi="宋体" w:eastAsia="宋体" w:cs="宋体"/>
                <w:color w:val="000000"/>
                <w:sz w:val="18"/>
                <w:szCs w:val="18"/>
              </w:rPr>
              <w:t>患者满意度</w:t>
            </w:r>
          </w:p>
        </w:tc>
        <w:tc>
          <w:tcPr>
            <w:tcW w:w="1125" w:type="dxa"/>
            <w:tcBorders>
              <w:top w:val="nil"/>
              <w:left w:val="nil"/>
              <w:bottom w:val="single" w:color="auto" w:sz="4" w:space="0"/>
              <w:right w:val="single" w:color="auto" w:sz="4" w:space="0"/>
            </w:tcBorders>
            <w:vAlign w:val="center"/>
          </w:tcPr>
          <w:p w14:paraId="3B9F8B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72B8FF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D3E44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69402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A91A43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通过满意度调查，完全达到预期目标，患者享受到国家免费药品治疗和营养早餐，所以满意度较高</w:t>
            </w:r>
          </w:p>
        </w:tc>
      </w:tr>
      <w:tr w14:paraId="34CCA11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2B5DC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6FB3F9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EDCFC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98.75分</w:t>
            </w:r>
          </w:p>
        </w:tc>
        <w:tc>
          <w:tcPr>
            <w:tcW w:w="1984" w:type="dxa"/>
            <w:gridSpan w:val="2"/>
            <w:tcBorders>
              <w:top w:val="single" w:color="auto" w:sz="4" w:space="0"/>
              <w:left w:val="nil"/>
              <w:bottom w:val="single" w:color="auto" w:sz="4" w:space="0"/>
              <w:right w:val="single" w:color="auto" w:sz="4" w:space="0"/>
            </w:tcBorders>
            <w:vAlign w:val="center"/>
          </w:tcPr>
          <w:p w14:paraId="7D078DE0">
            <w:pPr>
              <w:jc w:val="center"/>
              <w:rPr>
                <w:rFonts w:hint="eastAsia" w:ascii="宋体" w:hAnsi="宋体" w:eastAsia="宋体" w:cs="宋体"/>
                <w:b/>
                <w:bCs/>
                <w:color w:val="000000"/>
                <w:sz w:val="18"/>
                <w:szCs w:val="18"/>
              </w:rPr>
            </w:pPr>
          </w:p>
        </w:tc>
      </w:tr>
    </w:tbl>
    <w:p w14:paraId="1E80C8F0">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A48E15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CA73CE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F7CF2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5C664F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乌财社[2024]65号2024年中央财政基本公共卫生服务补助资金[直达资金][第二批]</w:t>
            </w:r>
          </w:p>
        </w:tc>
      </w:tr>
      <w:tr w14:paraId="0D7F8EF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BE48E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096EE0D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乌鲁木齐市米东区卫生健康管理委员会</w:t>
            </w:r>
          </w:p>
        </w:tc>
        <w:tc>
          <w:tcPr>
            <w:tcW w:w="1275" w:type="dxa"/>
            <w:gridSpan w:val="2"/>
            <w:tcBorders>
              <w:top w:val="nil"/>
              <w:left w:val="nil"/>
              <w:bottom w:val="single" w:color="auto" w:sz="4" w:space="0"/>
              <w:right w:val="single" w:color="000000" w:sz="4" w:space="0"/>
            </w:tcBorders>
            <w:vAlign w:val="center"/>
          </w:tcPr>
          <w:p w14:paraId="27FD8000">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5AF517B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乌鲁木齐市米东区疾病预防控制中心</w:t>
            </w:r>
          </w:p>
        </w:tc>
      </w:tr>
      <w:tr w14:paraId="1828936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6AE1C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226C517">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56ADFA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13883F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95C08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58924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E4860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6B2631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3C130E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249D6C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234E0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45B238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4.80</w:t>
            </w:r>
          </w:p>
        </w:tc>
        <w:tc>
          <w:tcPr>
            <w:tcW w:w="1125" w:type="dxa"/>
            <w:tcBorders>
              <w:top w:val="nil"/>
              <w:left w:val="nil"/>
              <w:bottom w:val="single" w:color="auto" w:sz="4" w:space="0"/>
              <w:right w:val="single" w:color="auto" w:sz="4" w:space="0"/>
            </w:tcBorders>
            <w:noWrap/>
            <w:vAlign w:val="center"/>
          </w:tcPr>
          <w:p w14:paraId="3AB486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4.80</w:t>
            </w:r>
          </w:p>
        </w:tc>
        <w:tc>
          <w:tcPr>
            <w:tcW w:w="1275" w:type="dxa"/>
            <w:gridSpan w:val="2"/>
            <w:tcBorders>
              <w:top w:val="single" w:color="auto" w:sz="4" w:space="0"/>
              <w:left w:val="nil"/>
              <w:bottom w:val="single" w:color="auto" w:sz="4" w:space="0"/>
              <w:right w:val="single" w:color="000000" w:sz="4" w:space="0"/>
            </w:tcBorders>
            <w:noWrap/>
            <w:vAlign w:val="center"/>
          </w:tcPr>
          <w:p w14:paraId="1F8D61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3.23</w:t>
            </w:r>
          </w:p>
        </w:tc>
        <w:tc>
          <w:tcPr>
            <w:tcW w:w="1134" w:type="dxa"/>
            <w:gridSpan w:val="2"/>
            <w:tcBorders>
              <w:top w:val="single" w:color="auto" w:sz="4" w:space="0"/>
              <w:left w:val="nil"/>
              <w:bottom w:val="single" w:color="auto" w:sz="4" w:space="0"/>
              <w:right w:val="single" w:color="auto" w:sz="4" w:space="0"/>
            </w:tcBorders>
            <w:vAlign w:val="center"/>
          </w:tcPr>
          <w:p w14:paraId="62582E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35A2B6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67.29%</w:t>
            </w:r>
          </w:p>
        </w:tc>
        <w:tc>
          <w:tcPr>
            <w:tcW w:w="1275" w:type="dxa"/>
            <w:tcBorders>
              <w:top w:val="nil"/>
              <w:left w:val="nil"/>
              <w:bottom w:val="single" w:color="auto" w:sz="4" w:space="0"/>
              <w:right w:val="single" w:color="auto" w:sz="4" w:space="0"/>
            </w:tcBorders>
            <w:vAlign w:val="center"/>
          </w:tcPr>
          <w:p w14:paraId="7A1742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6.73分</w:t>
            </w:r>
          </w:p>
        </w:tc>
      </w:tr>
      <w:tr w14:paraId="0A984DF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C3A74E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5FB1F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30CB0C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4.80</w:t>
            </w:r>
          </w:p>
        </w:tc>
        <w:tc>
          <w:tcPr>
            <w:tcW w:w="1125" w:type="dxa"/>
            <w:tcBorders>
              <w:top w:val="nil"/>
              <w:left w:val="nil"/>
              <w:bottom w:val="single" w:color="auto" w:sz="4" w:space="0"/>
              <w:right w:val="single" w:color="auto" w:sz="4" w:space="0"/>
            </w:tcBorders>
            <w:noWrap/>
            <w:vAlign w:val="center"/>
          </w:tcPr>
          <w:p w14:paraId="6CF1F9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4.80</w:t>
            </w:r>
          </w:p>
        </w:tc>
        <w:tc>
          <w:tcPr>
            <w:tcW w:w="1275" w:type="dxa"/>
            <w:gridSpan w:val="2"/>
            <w:tcBorders>
              <w:top w:val="single" w:color="auto" w:sz="4" w:space="0"/>
              <w:left w:val="nil"/>
              <w:bottom w:val="single" w:color="auto" w:sz="4" w:space="0"/>
              <w:right w:val="single" w:color="000000" w:sz="4" w:space="0"/>
            </w:tcBorders>
            <w:noWrap/>
            <w:vAlign w:val="center"/>
          </w:tcPr>
          <w:p w14:paraId="1DBF69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3.23</w:t>
            </w:r>
          </w:p>
        </w:tc>
        <w:tc>
          <w:tcPr>
            <w:tcW w:w="1134" w:type="dxa"/>
            <w:gridSpan w:val="2"/>
            <w:tcBorders>
              <w:top w:val="single" w:color="auto" w:sz="4" w:space="0"/>
              <w:left w:val="nil"/>
              <w:bottom w:val="single" w:color="auto" w:sz="4" w:space="0"/>
              <w:right w:val="single" w:color="auto" w:sz="4" w:space="0"/>
            </w:tcBorders>
            <w:vAlign w:val="center"/>
          </w:tcPr>
          <w:p w14:paraId="421D85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226D7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0CA2F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229BCC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D83327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D84A2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7A4FFA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11AA08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7CD5BE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073A2E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8277F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023A7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382DF7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8BD1D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04EF6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3804C0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DCAAA6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B9D5BA2">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0A5F215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用于支付职业病、地方病、鼠疫防治等工作经费。</w:t>
            </w:r>
          </w:p>
        </w:tc>
        <w:tc>
          <w:tcPr>
            <w:tcW w:w="4677" w:type="dxa"/>
            <w:gridSpan w:val="7"/>
            <w:tcBorders>
              <w:top w:val="single" w:color="auto" w:sz="4" w:space="0"/>
              <w:left w:val="nil"/>
              <w:bottom w:val="single" w:color="auto" w:sz="4" w:space="0"/>
              <w:right w:val="single" w:color="000000" w:sz="4" w:space="0"/>
            </w:tcBorders>
          </w:tcPr>
          <w:p w14:paraId="15B7B74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2024年米东区职业病、地方病、鼠疫防治突发公共卫生培训4次，检测性及时有效，基本公共卫生水平显著提高，各项工作经费合计3.23万元。</w:t>
            </w:r>
          </w:p>
        </w:tc>
      </w:tr>
      <w:tr w14:paraId="5056F762">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696C3D66">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881BC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5A750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DEAF9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449B0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510AB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E6FB5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7393E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DE7A6C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8C019E9">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43646A8A">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3603F988">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4AFD6A4">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CB540B8">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4C732D95">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75EC4D58">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FC79BE0">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10164C7">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1B52187">
            <w:pPr>
              <w:rPr>
                <w:rFonts w:hint="eastAsia" w:ascii="宋体" w:hAnsi="宋体" w:eastAsia="宋体" w:cs="宋体"/>
                <w:color w:val="000000"/>
                <w:sz w:val="18"/>
                <w:szCs w:val="18"/>
                <w:lang w:eastAsia="zh-CN"/>
              </w:rPr>
            </w:pPr>
          </w:p>
        </w:tc>
      </w:tr>
      <w:tr w14:paraId="507EC8D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26E341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535B4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63B176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56B341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开展突发公共卫生培训次数</w:t>
            </w:r>
          </w:p>
        </w:tc>
        <w:tc>
          <w:tcPr>
            <w:tcW w:w="1125" w:type="dxa"/>
            <w:tcBorders>
              <w:top w:val="nil"/>
              <w:left w:val="nil"/>
              <w:bottom w:val="single" w:color="auto" w:sz="4" w:space="0"/>
              <w:right w:val="single" w:color="auto" w:sz="4" w:space="0"/>
            </w:tcBorders>
            <w:vAlign w:val="center"/>
          </w:tcPr>
          <w:p w14:paraId="6551EC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&gt;=4次</w:t>
            </w:r>
          </w:p>
        </w:tc>
        <w:tc>
          <w:tcPr>
            <w:tcW w:w="1229" w:type="dxa"/>
            <w:tcBorders>
              <w:top w:val="nil"/>
              <w:left w:val="nil"/>
              <w:bottom w:val="single" w:color="auto" w:sz="4" w:space="0"/>
              <w:right w:val="single" w:color="auto" w:sz="4" w:space="0"/>
            </w:tcBorders>
            <w:vAlign w:val="center"/>
          </w:tcPr>
          <w:p w14:paraId="1EFD45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10次</w:t>
            </w:r>
          </w:p>
        </w:tc>
        <w:tc>
          <w:tcPr>
            <w:tcW w:w="755" w:type="dxa"/>
            <w:gridSpan w:val="2"/>
            <w:tcBorders>
              <w:top w:val="single" w:color="auto" w:sz="4" w:space="0"/>
              <w:left w:val="nil"/>
              <w:bottom w:val="single" w:color="auto" w:sz="4" w:space="0"/>
              <w:right w:val="single" w:color="000000" w:sz="4" w:space="0"/>
            </w:tcBorders>
            <w:vAlign w:val="center"/>
          </w:tcPr>
          <w:p w14:paraId="0AF603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5ABD5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8D9FBB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计划指标4次，完成10次，超额完成任务</w:t>
            </w:r>
          </w:p>
        </w:tc>
      </w:tr>
      <w:tr w14:paraId="38764B8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6ADB0C">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9322077">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3B110E14">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4DC223C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高血压患者规范管理数</w:t>
            </w:r>
          </w:p>
        </w:tc>
        <w:tc>
          <w:tcPr>
            <w:tcW w:w="1125" w:type="dxa"/>
            <w:tcBorders>
              <w:top w:val="nil"/>
              <w:left w:val="nil"/>
              <w:bottom w:val="single" w:color="auto" w:sz="4" w:space="0"/>
              <w:right w:val="single" w:color="auto" w:sz="4" w:space="0"/>
            </w:tcBorders>
            <w:vAlign w:val="center"/>
          </w:tcPr>
          <w:p w14:paraId="1B11E6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&gt;=12000人</w:t>
            </w:r>
          </w:p>
        </w:tc>
        <w:tc>
          <w:tcPr>
            <w:tcW w:w="1229" w:type="dxa"/>
            <w:tcBorders>
              <w:top w:val="nil"/>
              <w:left w:val="nil"/>
              <w:bottom w:val="single" w:color="auto" w:sz="4" w:space="0"/>
              <w:right w:val="single" w:color="auto" w:sz="4" w:space="0"/>
            </w:tcBorders>
            <w:vAlign w:val="center"/>
          </w:tcPr>
          <w:p w14:paraId="368A12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13508人</w:t>
            </w:r>
          </w:p>
        </w:tc>
        <w:tc>
          <w:tcPr>
            <w:tcW w:w="755" w:type="dxa"/>
            <w:gridSpan w:val="2"/>
            <w:tcBorders>
              <w:top w:val="single" w:color="auto" w:sz="4" w:space="0"/>
              <w:left w:val="nil"/>
              <w:bottom w:val="single" w:color="auto" w:sz="4" w:space="0"/>
              <w:right w:val="single" w:color="000000" w:sz="4" w:space="0"/>
            </w:tcBorders>
            <w:vAlign w:val="center"/>
          </w:tcPr>
          <w:p w14:paraId="4BA212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49139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18818A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由于2024年高血压健康宣传效果增强，患者参与率提高，故高血压患者规范管理人数增加。</w:t>
            </w:r>
          </w:p>
        </w:tc>
      </w:tr>
      <w:tr w14:paraId="2426E37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54913C">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264B9A0">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548B227C">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3589DBA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2型糖尿病患者规范管理率 （%）</w:t>
            </w:r>
          </w:p>
        </w:tc>
        <w:tc>
          <w:tcPr>
            <w:tcW w:w="1125" w:type="dxa"/>
            <w:tcBorders>
              <w:top w:val="nil"/>
              <w:left w:val="nil"/>
              <w:bottom w:val="single" w:color="auto" w:sz="4" w:space="0"/>
              <w:right w:val="single" w:color="auto" w:sz="4" w:space="0"/>
            </w:tcBorders>
            <w:vAlign w:val="center"/>
          </w:tcPr>
          <w:p w14:paraId="1FD65E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09E458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80.37%</w:t>
            </w:r>
          </w:p>
        </w:tc>
        <w:tc>
          <w:tcPr>
            <w:tcW w:w="755" w:type="dxa"/>
            <w:gridSpan w:val="2"/>
            <w:tcBorders>
              <w:top w:val="single" w:color="auto" w:sz="4" w:space="0"/>
              <w:left w:val="nil"/>
              <w:bottom w:val="single" w:color="auto" w:sz="4" w:space="0"/>
              <w:right w:val="single" w:color="000000" w:sz="4" w:space="0"/>
            </w:tcBorders>
            <w:vAlign w:val="center"/>
          </w:tcPr>
          <w:p w14:paraId="01E8B7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8D31D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8.93</w:t>
            </w:r>
          </w:p>
        </w:tc>
        <w:tc>
          <w:tcPr>
            <w:tcW w:w="1984" w:type="dxa"/>
            <w:gridSpan w:val="2"/>
            <w:tcBorders>
              <w:top w:val="single" w:color="auto" w:sz="4" w:space="0"/>
              <w:left w:val="nil"/>
              <w:bottom w:val="single" w:color="auto" w:sz="4" w:space="0"/>
              <w:right w:val="single" w:color="auto" w:sz="4" w:space="0"/>
            </w:tcBorders>
            <w:vAlign w:val="center"/>
          </w:tcPr>
          <w:p w14:paraId="21789E9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由于部分患者未按要求服药；人口流动过大，数据统计存在偏差；健康教育覆盖面不足等多方面原因导致。</w:t>
            </w:r>
          </w:p>
        </w:tc>
      </w:tr>
      <w:tr w14:paraId="2A3C416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8B5A7D">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C405883">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30495C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DEB48D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传染病和突发公共卫生事件报告</w:t>
            </w:r>
          </w:p>
        </w:tc>
        <w:tc>
          <w:tcPr>
            <w:tcW w:w="1125" w:type="dxa"/>
            <w:tcBorders>
              <w:top w:val="nil"/>
              <w:left w:val="nil"/>
              <w:bottom w:val="single" w:color="auto" w:sz="4" w:space="0"/>
              <w:right w:val="single" w:color="auto" w:sz="4" w:space="0"/>
            </w:tcBorders>
            <w:vAlign w:val="center"/>
          </w:tcPr>
          <w:p w14:paraId="4878FC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017F6B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55" w:type="dxa"/>
            <w:gridSpan w:val="2"/>
            <w:tcBorders>
              <w:top w:val="single" w:color="auto" w:sz="4" w:space="0"/>
              <w:left w:val="nil"/>
              <w:bottom w:val="single" w:color="auto" w:sz="4" w:space="0"/>
              <w:right w:val="single" w:color="000000" w:sz="4" w:space="0"/>
            </w:tcBorders>
            <w:vAlign w:val="center"/>
          </w:tcPr>
          <w:p w14:paraId="201886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61522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15ACC35">
            <w:pPr>
              <w:jc w:val="center"/>
              <w:rPr>
                <w:rFonts w:hint="eastAsia" w:ascii="宋体" w:hAnsi="宋体" w:eastAsia="宋体" w:cs="宋体"/>
                <w:color w:val="000000"/>
                <w:sz w:val="18"/>
                <w:szCs w:val="18"/>
              </w:rPr>
            </w:pPr>
          </w:p>
        </w:tc>
      </w:tr>
      <w:tr w14:paraId="1C34BB2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2499ED">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BB3E2B6">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60AA92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2BEE1FC1">
            <w:pPr>
              <w:rPr>
                <w:rFonts w:hint="eastAsia" w:ascii="宋体" w:hAnsi="宋体" w:eastAsia="宋体" w:cs="宋体"/>
                <w:color w:val="000000"/>
                <w:sz w:val="18"/>
                <w:szCs w:val="18"/>
              </w:rPr>
            </w:pPr>
            <w:r>
              <w:rPr>
                <w:rFonts w:hint="eastAsia" w:ascii="宋体" w:hAnsi="宋体" w:eastAsia="宋体" w:cs="宋体"/>
                <w:color w:val="000000"/>
                <w:sz w:val="18"/>
                <w:szCs w:val="18"/>
              </w:rPr>
              <w:t>检测及时性</w:t>
            </w:r>
          </w:p>
        </w:tc>
        <w:tc>
          <w:tcPr>
            <w:tcW w:w="1125" w:type="dxa"/>
            <w:tcBorders>
              <w:top w:val="nil"/>
              <w:left w:val="nil"/>
              <w:bottom w:val="single" w:color="auto" w:sz="4" w:space="0"/>
              <w:right w:val="single" w:color="auto" w:sz="4" w:space="0"/>
            </w:tcBorders>
            <w:vAlign w:val="center"/>
          </w:tcPr>
          <w:p w14:paraId="130075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14:paraId="0FB8DB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DD6EF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B952D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D7A873E">
            <w:pPr>
              <w:jc w:val="center"/>
              <w:rPr>
                <w:rFonts w:hint="eastAsia" w:ascii="宋体" w:hAnsi="宋体" w:eastAsia="宋体" w:cs="宋体"/>
                <w:color w:val="000000"/>
                <w:sz w:val="18"/>
                <w:szCs w:val="18"/>
              </w:rPr>
            </w:pPr>
          </w:p>
        </w:tc>
      </w:tr>
      <w:tr w14:paraId="22CDF41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743BA8">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288B3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6B3904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CCA21E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基本公共卫生服务水平显著提高</w:t>
            </w:r>
          </w:p>
        </w:tc>
        <w:tc>
          <w:tcPr>
            <w:tcW w:w="1125" w:type="dxa"/>
            <w:tcBorders>
              <w:top w:val="nil"/>
              <w:left w:val="nil"/>
              <w:bottom w:val="single" w:color="auto" w:sz="4" w:space="0"/>
              <w:right w:val="single" w:color="auto" w:sz="4" w:space="0"/>
            </w:tcBorders>
            <w:vAlign w:val="center"/>
          </w:tcPr>
          <w:p w14:paraId="309016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显著提高</w:t>
            </w:r>
          </w:p>
        </w:tc>
        <w:tc>
          <w:tcPr>
            <w:tcW w:w="1229" w:type="dxa"/>
            <w:tcBorders>
              <w:top w:val="nil"/>
              <w:left w:val="nil"/>
              <w:bottom w:val="single" w:color="auto" w:sz="4" w:space="0"/>
              <w:right w:val="single" w:color="auto" w:sz="4" w:space="0"/>
            </w:tcBorders>
            <w:vAlign w:val="center"/>
          </w:tcPr>
          <w:p w14:paraId="5E3F7A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19413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2F54C3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4DEABAA1">
            <w:pPr>
              <w:jc w:val="center"/>
              <w:rPr>
                <w:rFonts w:hint="eastAsia" w:ascii="宋体" w:hAnsi="宋体" w:eastAsia="宋体" w:cs="宋体"/>
                <w:color w:val="000000"/>
                <w:sz w:val="18"/>
                <w:szCs w:val="18"/>
              </w:rPr>
            </w:pPr>
          </w:p>
        </w:tc>
      </w:tr>
      <w:tr w14:paraId="0233DF1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5318D9B">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4C470A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30E9C3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12713C7">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1125" w:type="dxa"/>
            <w:tcBorders>
              <w:top w:val="nil"/>
              <w:left w:val="nil"/>
              <w:bottom w:val="single" w:color="auto" w:sz="4" w:space="0"/>
              <w:right w:val="single" w:color="auto" w:sz="4" w:space="0"/>
            </w:tcBorders>
            <w:vAlign w:val="center"/>
          </w:tcPr>
          <w:p w14:paraId="0DB47B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59A029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83.4%</w:t>
            </w:r>
          </w:p>
        </w:tc>
        <w:tc>
          <w:tcPr>
            <w:tcW w:w="755" w:type="dxa"/>
            <w:gridSpan w:val="2"/>
            <w:tcBorders>
              <w:top w:val="single" w:color="auto" w:sz="4" w:space="0"/>
              <w:left w:val="nil"/>
              <w:bottom w:val="single" w:color="auto" w:sz="4" w:space="0"/>
              <w:right w:val="single" w:color="000000" w:sz="4" w:space="0"/>
            </w:tcBorders>
            <w:vAlign w:val="center"/>
          </w:tcPr>
          <w:p w14:paraId="4BE6C3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BAAB4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9.27</w:t>
            </w:r>
          </w:p>
        </w:tc>
        <w:tc>
          <w:tcPr>
            <w:tcW w:w="1984" w:type="dxa"/>
            <w:gridSpan w:val="2"/>
            <w:tcBorders>
              <w:top w:val="single" w:color="auto" w:sz="4" w:space="0"/>
              <w:left w:val="nil"/>
              <w:bottom w:val="single" w:color="auto" w:sz="4" w:space="0"/>
              <w:right w:val="single" w:color="auto" w:sz="4" w:space="0"/>
            </w:tcBorders>
            <w:vAlign w:val="center"/>
          </w:tcPr>
          <w:p w14:paraId="669F8C3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通过满意度调查，满意度指标未达预期，需要各级医疗机构加大宣传，提高服务水平</w:t>
            </w:r>
          </w:p>
        </w:tc>
      </w:tr>
      <w:tr w14:paraId="0397F44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59B71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52426F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67E802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94.93分</w:t>
            </w:r>
          </w:p>
        </w:tc>
        <w:tc>
          <w:tcPr>
            <w:tcW w:w="1984" w:type="dxa"/>
            <w:gridSpan w:val="2"/>
            <w:tcBorders>
              <w:top w:val="single" w:color="auto" w:sz="4" w:space="0"/>
              <w:left w:val="nil"/>
              <w:bottom w:val="single" w:color="auto" w:sz="4" w:space="0"/>
              <w:right w:val="single" w:color="auto" w:sz="4" w:space="0"/>
            </w:tcBorders>
            <w:vAlign w:val="center"/>
          </w:tcPr>
          <w:p w14:paraId="03C5CA94">
            <w:pPr>
              <w:jc w:val="center"/>
              <w:rPr>
                <w:rFonts w:hint="eastAsia" w:ascii="宋体" w:hAnsi="宋体" w:eastAsia="宋体" w:cs="宋体"/>
                <w:b/>
                <w:bCs/>
                <w:color w:val="000000"/>
                <w:sz w:val="18"/>
                <w:szCs w:val="18"/>
              </w:rPr>
            </w:pPr>
          </w:p>
        </w:tc>
      </w:tr>
    </w:tbl>
    <w:p w14:paraId="5DC54091">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69D430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14FFA1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5541A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8AA427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乌财社【2023】135号2023年中央基本公共卫生服务补助资金（直达资金）（第二批）（上年结转资金）</w:t>
            </w:r>
          </w:p>
        </w:tc>
      </w:tr>
      <w:tr w14:paraId="340B873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448D6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15AF89B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乌鲁木齐市米东区卫生健康委员会</w:t>
            </w:r>
          </w:p>
        </w:tc>
        <w:tc>
          <w:tcPr>
            <w:tcW w:w="1275" w:type="dxa"/>
            <w:gridSpan w:val="2"/>
            <w:tcBorders>
              <w:top w:val="nil"/>
              <w:left w:val="nil"/>
              <w:bottom w:val="single" w:color="auto" w:sz="4" w:space="0"/>
              <w:right w:val="single" w:color="000000" w:sz="4" w:space="0"/>
            </w:tcBorders>
            <w:vAlign w:val="center"/>
          </w:tcPr>
          <w:p w14:paraId="626D6D33">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6C2FA7B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乌鲁木齐市米东区疾病预防控制中心</w:t>
            </w:r>
          </w:p>
        </w:tc>
      </w:tr>
      <w:tr w14:paraId="3DA2842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48BF1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74EA69A">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5E6A0C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428DD9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4D0C0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548EB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1DBA17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0B12E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74DB1F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A4F1F0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6090D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6F1523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102.00</w:t>
            </w:r>
          </w:p>
        </w:tc>
        <w:tc>
          <w:tcPr>
            <w:tcW w:w="1125" w:type="dxa"/>
            <w:tcBorders>
              <w:top w:val="nil"/>
              <w:left w:val="nil"/>
              <w:bottom w:val="single" w:color="auto" w:sz="4" w:space="0"/>
              <w:right w:val="single" w:color="auto" w:sz="4" w:space="0"/>
            </w:tcBorders>
            <w:noWrap/>
            <w:vAlign w:val="center"/>
          </w:tcPr>
          <w:p w14:paraId="29DD12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22.19</w:t>
            </w:r>
          </w:p>
        </w:tc>
        <w:tc>
          <w:tcPr>
            <w:tcW w:w="1275" w:type="dxa"/>
            <w:gridSpan w:val="2"/>
            <w:tcBorders>
              <w:top w:val="single" w:color="auto" w:sz="4" w:space="0"/>
              <w:left w:val="nil"/>
              <w:bottom w:val="single" w:color="auto" w:sz="4" w:space="0"/>
              <w:right w:val="single" w:color="000000" w:sz="4" w:space="0"/>
            </w:tcBorders>
            <w:noWrap/>
            <w:vAlign w:val="center"/>
          </w:tcPr>
          <w:p w14:paraId="7B91FD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22.19</w:t>
            </w:r>
          </w:p>
        </w:tc>
        <w:tc>
          <w:tcPr>
            <w:tcW w:w="1134" w:type="dxa"/>
            <w:gridSpan w:val="2"/>
            <w:tcBorders>
              <w:top w:val="single" w:color="auto" w:sz="4" w:space="0"/>
              <w:left w:val="nil"/>
              <w:bottom w:val="single" w:color="auto" w:sz="4" w:space="0"/>
              <w:right w:val="single" w:color="auto" w:sz="4" w:space="0"/>
            </w:tcBorders>
            <w:vAlign w:val="center"/>
          </w:tcPr>
          <w:p w14:paraId="34AA86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F306D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62CE2E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0C09EB7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4261DD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F3A5D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57FA0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102.00</w:t>
            </w:r>
          </w:p>
        </w:tc>
        <w:tc>
          <w:tcPr>
            <w:tcW w:w="1125" w:type="dxa"/>
            <w:tcBorders>
              <w:top w:val="nil"/>
              <w:left w:val="nil"/>
              <w:bottom w:val="single" w:color="auto" w:sz="4" w:space="0"/>
              <w:right w:val="single" w:color="auto" w:sz="4" w:space="0"/>
            </w:tcBorders>
            <w:noWrap/>
            <w:vAlign w:val="center"/>
          </w:tcPr>
          <w:p w14:paraId="54F4E3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22.19</w:t>
            </w:r>
          </w:p>
        </w:tc>
        <w:tc>
          <w:tcPr>
            <w:tcW w:w="1275" w:type="dxa"/>
            <w:gridSpan w:val="2"/>
            <w:tcBorders>
              <w:top w:val="single" w:color="auto" w:sz="4" w:space="0"/>
              <w:left w:val="nil"/>
              <w:bottom w:val="single" w:color="auto" w:sz="4" w:space="0"/>
              <w:right w:val="single" w:color="000000" w:sz="4" w:space="0"/>
            </w:tcBorders>
            <w:noWrap/>
            <w:vAlign w:val="center"/>
          </w:tcPr>
          <w:p w14:paraId="7EBA52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22.19</w:t>
            </w:r>
          </w:p>
        </w:tc>
        <w:tc>
          <w:tcPr>
            <w:tcW w:w="1134" w:type="dxa"/>
            <w:gridSpan w:val="2"/>
            <w:tcBorders>
              <w:top w:val="single" w:color="auto" w:sz="4" w:space="0"/>
              <w:left w:val="nil"/>
              <w:bottom w:val="single" w:color="auto" w:sz="4" w:space="0"/>
              <w:right w:val="single" w:color="auto" w:sz="4" w:space="0"/>
            </w:tcBorders>
            <w:vAlign w:val="center"/>
          </w:tcPr>
          <w:p w14:paraId="0F3C54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A2781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766BE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D59837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5D948A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A533A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53C6EB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4963C3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0D14D5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50A7B6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E0C40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6C1AA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FE67EE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E39B4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B14B9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FCC1C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104A09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54E5A42">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7610E91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此项目通过监测碘缺乏病及结核病患者情况、举办宣传预防碘缺乏病、疟疾等相关活动，监测水质，可有效保障人人享有均衡的公共卫生服务，降低相关疾病发生率。</w:t>
            </w:r>
          </w:p>
        </w:tc>
        <w:tc>
          <w:tcPr>
            <w:tcW w:w="4677" w:type="dxa"/>
            <w:gridSpan w:val="7"/>
            <w:tcBorders>
              <w:top w:val="single" w:color="auto" w:sz="4" w:space="0"/>
              <w:left w:val="nil"/>
              <w:bottom w:val="single" w:color="auto" w:sz="4" w:space="0"/>
              <w:right w:val="single" w:color="000000" w:sz="4" w:space="0"/>
            </w:tcBorders>
          </w:tcPr>
          <w:p w14:paraId="0AA21A0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通过项目工作的开展有效预防了鼠疫的发生，加大了对碘缺乏病的宣传和监测，提高了人们对疾病的知晓率，降低了相关疾病的发病率。</w:t>
            </w:r>
          </w:p>
        </w:tc>
      </w:tr>
      <w:tr w14:paraId="6F273B21">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5376C61E">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C84B4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459DF6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188A1C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8314B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A74A5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AA71C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354928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377C23F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40FC691">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4D09C082">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5F13FD7E">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5F264E39">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4AA8ABB">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179DB0D8">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4FB46CE">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7129D6E">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3B37F5D">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E0BFD7A">
            <w:pPr>
              <w:rPr>
                <w:rFonts w:hint="eastAsia" w:ascii="宋体" w:hAnsi="宋体" w:eastAsia="宋体" w:cs="宋体"/>
                <w:color w:val="000000"/>
                <w:sz w:val="18"/>
                <w:szCs w:val="18"/>
                <w:lang w:eastAsia="zh-CN"/>
              </w:rPr>
            </w:pPr>
          </w:p>
        </w:tc>
      </w:tr>
      <w:tr w14:paraId="18E38CE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9F10A0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F3C26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16BDEA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1016DEBB">
            <w:pPr>
              <w:rPr>
                <w:rFonts w:hint="eastAsia" w:ascii="宋体" w:hAnsi="宋体" w:eastAsia="宋体" w:cs="宋体"/>
                <w:color w:val="000000"/>
                <w:sz w:val="18"/>
                <w:szCs w:val="18"/>
              </w:rPr>
            </w:pPr>
            <w:r>
              <w:rPr>
                <w:rFonts w:hint="eastAsia" w:ascii="宋体" w:hAnsi="宋体" w:eastAsia="宋体" w:cs="宋体"/>
                <w:color w:val="000000"/>
                <w:sz w:val="18"/>
                <w:szCs w:val="18"/>
              </w:rPr>
              <w:t>肺结核患者数</w:t>
            </w:r>
          </w:p>
        </w:tc>
        <w:tc>
          <w:tcPr>
            <w:tcW w:w="1125" w:type="dxa"/>
            <w:tcBorders>
              <w:top w:val="nil"/>
              <w:left w:val="nil"/>
              <w:bottom w:val="single" w:color="auto" w:sz="4" w:space="0"/>
              <w:right w:val="single" w:color="auto" w:sz="4" w:space="0"/>
            </w:tcBorders>
            <w:vAlign w:val="center"/>
          </w:tcPr>
          <w:p w14:paraId="4CEDD1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&gt;=200人</w:t>
            </w:r>
          </w:p>
        </w:tc>
        <w:tc>
          <w:tcPr>
            <w:tcW w:w="1229" w:type="dxa"/>
            <w:tcBorders>
              <w:top w:val="nil"/>
              <w:left w:val="nil"/>
              <w:bottom w:val="single" w:color="auto" w:sz="4" w:space="0"/>
              <w:right w:val="single" w:color="auto" w:sz="4" w:space="0"/>
            </w:tcBorders>
            <w:vAlign w:val="center"/>
          </w:tcPr>
          <w:p w14:paraId="44E7CD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204人</w:t>
            </w:r>
          </w:p>
        </w:tc>
        <w:tc>
          <w:tcPr>
            <w:tcW w:w="755" w:type="dxa"/>
            <w:gridSpan w:val="2"/>
            <w:tcBorders>
              <w:top w:val="single" w:color="auto" w:sz="4" w:space="0"/>
              <w:left w:val="nil"/>
              <w:bottom w:val="single" w:color="auto" w:sz="4" w:space="0"/>
              <w:right w:val="single" w:color="000000" w:sz="4" w:space="0"/>
            </w:tcBorders>
            <w:vAlign w:val="center"/>
          </w:tcPr>
          <w:p w14:paraId="4AC631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4F1E7E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03DD4D7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通过设立结核病定点医院，提高了结核病的发现率，规范了结核病的治疗</w:t>
            </w:r>
          </w:p>
        </w:tc>
      </w:tr>
      <w:tr w14:paraId="28030BE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F3F1A6">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0E2CBC8">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66BEB066">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725BA0B">
            <w:pPr>
              <w:rPr>
                <w:rFonts w:hint="eastAsia" w:ascii="宋体" w:hAnsi="宋体" w:eastAsia="宋体" w:cs="宋体"/>
                <w:color w:val="000000"/>
                <w:sz w:val="18"/>
                <w:szCs w:val="18"/>
              </w:rPr>
            </w:pPr>
            <w:r>
              <w:rPr>
                <w:rFonts w:hint="eastAsia" w:ascii="宋体" w:hAnsi="宋体" w:eastAsia="宋体" w:cs="宋体"/>
                <w:color w:val="000000"/>
                <w:sz w:val="18"/>
                <w:szCs w:val="18"/>
              </w:rPr>
              <w:t>碘缺乏病监测人数</w:t>
            </w:r>
          </w:p>
        </w:tc>
        <w:tc>
          <w:tcPr>
            <w:tcW w:w="1125" w:type="dxa"/>
            <w:tcBorders>
              <w:top w:val="nil"/>
              <w:left w:val="nil"/>
              <w:bottom w:val="single" w:color="auto" w:sz="4" w:space="0"/>
              <w:right w:val="single" w:color="auto" w:sz="4" w:space="0"/>
            </w:tcBorders>
            <w:vAlign w:val="center"/>
          </w:tcPr>
          <w:p w14:paraId="5D88B6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&gt;=300人</w:t>
            </w:r>
          </w:p>
        </w:tc>
        <w:tc>
          <w:tcPr>
            <w:tcW w:w="1229" w:type="dxa"/>
            <w:tcBorders>
              <w:top w:val="nil"/>
              <w:left w:val="nil"/>
              <w:bottom w:val="single" w:color="auto" w:sz="4" w:space="0"/>
              <w:right w:val="single" w:color="auto" w:sz="4" w:space="0"/>
            </w:tcBorders>
            <w:vAlign w:val="center"/>
          </w:tcPr>
          <w:p w14:paraId="24F419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350人</w:t>
            </w:r>
          </w:p>
        </w:tc>
        <w:tc>
          <w:tcPr>
            <w:tcW w:w="755" w:type="dxa"/>
            <w:gridSpan w:val="2"/>
            <w:tcBorders>
              <w:top w:val="single" w:color="auto" w:sz="4" w:space="0"/>
              <w:left w:val="nil"/>
              <w:bottom w:val="single" w:color="auto" w:sz="4" w:space="0"/>
              <w:right w:val="single" w:color="000000" w:sz="4" w:space="0"/>
            </w:tcBorders>
            <w:vAlign w:val="center"/>
          </w:tcPr>
          <w:p w14:paraId="4EB06C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50AC45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0558CE6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按照监测方案，对监测范围内所有的人员进行监测，超额完成监测任务</w:t>
            </w:r>
          </w:p>
        </w:tc>
      </w:tr>
      <w:tr w14:paraId="56543C7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49D0FB">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C6646F5">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04196F89">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09D8DAF">
            <w:pPr>
              <w:rPr>
                <w:rFonts w:hint="eastAsia" w:ascii="宋体" w:hAnsi="宋体" w:eastAsia="宋体" w:cs="宋体"/>
                <w:color w:val="000000"/>
                <w:sz w:val="18"/>
                <w:szCs w:val="18"/>
              </w:rPr>
            </w:pPr>
            <w:r>
              <w:rPr>
                <w:rFonts w:hint="eastAsia" w:ascii="宋体" w:hAnsi="宋体" w:eastAsia="宋体" w:cs="宋体"/>
                <w:color w:val="000000"/>
                <w:sz w:val="18"/>
                <w:szCs w:val="18"/>
              </w:rPr>
              <w:t>学生氟癍牙筛查人数</w:t>
            </w:r>
          </w:p>
        </w:tc>
        <w:tc>
          <w:tcPr>
            <w:tcW w:w="1125" w:type="dxa"/>
            <w:tcBorders>
              <w:top w:val="nil"/>
              <w:left w:val="nil"/>
              <w:bottom w:val="single" w:color="auto" w:sz="4" w:space="0"/>
              <w:right w:val="single" w:color="auto" w:sz="4" w:space="0"/>
            </w:tcBorders>
            <w:vAlign w:val="center"/>
          </w:tcPr>
          <w:p w14:paraId="2FBDB1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&gt;=1000人</w:t>
            </w:r>
          </w:p>
        </w:tc>
        <w:tc>
          <w:tcPr>
            <w:tcW w:w="1229" w:type="dxa"/>
            <w:tcBorders>
              <w:top w:val="nil"/>
              <w:left w:val="nil"/>
              <w:bottom w:val="single" w:color="auto" w:sz="4" w:space="0"/>
              <w:right w:val="single" w:color="auto" w:sz="4" w:space="0"/>
            </w:tcBorders>
            <w:vAlign w:val="center"/>
          </w:tcPr>
          <w:p w14:paraId="22E2DE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1054人</w:t>
            </w:r>
          </w:p>
        </w:tc>
        <w:tc>
          <w:tcPr>
            <w:tcW w:w="755" w:type="dxa"/>
            <w:gridSpan w:val="2"/>
            <w:tcBorders>
              <w:top w:val="single" w:color="auto" w:sz="4" w:space="0"/>
              <w:left w:val="nil"/>
              <w:bottom w:val="single" w:color="auto" w:sz="4" w:space="0"/>
              <w:right w:val="single" w:color="000000" w:sz="4" w:space="0"/>
            </w:tcBorders>
            <w:vAlign w:val="center"/>
          </w:tcPr>
          <w:p w14:paraId="6E6BA8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35A54B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65272C1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按照监测方案，对监测人员应检尽捡</w:t>
            </w:r>
          </w:p>
        </w:tc>
      </w:tr>
      <w:tr w14:paraId="050EDEF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D4A1DF">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691754B1">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057E29B5">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7C941DC5">
            <w:pPr>
              <w:rPr>
                <w:rFonts w:hint="eastAsia" w:ascii="宋体" w:hAnsi="宋体" w:eastAsia="宋体" w:cs="宋体"/>
                <w:color w:val="000000"/>
                <w:sz w:val="18"/>
                <w:szCs w:val="18"/>
              </w:rPr>
            </w:pPr>
            <w:r>
              <w:rPr>
                <w:rFonts w:hint="eastAsia" w:ascii="宋体" w:hAnsi="宋体" w:eastAsia="宋体" w:cs="宋体"/>
                <w:color w:val="000000"/>
                <w:sz w:val="18"/>
                <w:szCs w:val="18"/>
              </w:rPr>
              <w:t>碘缺乏病宣传日次数</w:t>
            </w:r>
          </w:p>
        </w:tc>
        <w:tc>
          <w:tcPr>
            <w:tcW w:w="1125" w:type="dxa"/>
            <w:tcBorders>
              <w:top w:val="nil"/>
              <w:left w:val="nil"/>
              <w:bottom w:val="single" w:color="auto" w:sz="4" w:space="0"/>
              <w:right w:val="single" w:color="auto" w:sz="4" w:space="0"/>
            </w:tcBorders>
            <w:vAlign w:val="center"/>
          </w:tcPr>
          <w:p w14:paraId="1F8A90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&gt;=10次</w:t>
            </w:r>
          </w:p>
        </w:tc>
        <w:tc>
          <w:tcPr>
            <w:tcW w:w="1229" w:type="dxa"/>
            <w:tcBorders>
              <w:top w:val="nil"/>
              <w:left w:val="nil"/>
              <w:bottom w:val="single" w:color="auto" w:sz="4" w:space="0"/>
              <w:right w:val="single" w:color="auto" w:sz="4" w:space="0"/>
            </w:tcBorders>
            <w:vAlign w:val="center"/>
          </w:tcPr>
          <w:p w14:paraId="6A735D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10次</w:t>
            </w:r>
          </w:p>
        </w:tc>
        <w:tc>
          <w:tcPr>
            <w:tcW w:w="755" w:type="dxa"/>
            <w:gridSpan w:val="2"/>
            <w:tcBorders>
              <w:top w:val="single" w:color="auto" w:sz="4" w:space="0"/>
              <w:left w:val="nil"/>
              <w:bottom w:val="single" w:color="auto" w:sz="4" w:space="0"/>
              <w:right w:val="single" w:color="000000" w:sz="4" w:space="0"/>
            </w:tcBorders>
            <w:vAlign w:val="center"/>
          </w:tcPr>
          <w:p w14:paraId="6AC406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529002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3BCFD631">
            <w:pPr>
              <w:jc w:val="center"/>
              <w:rPr>
                <w:rFonts w:hint="eastAsia" w:ascii="宋体" w:hAnsi="宋体" w:eastAsia="宋体" w:cs="宋体"/>
                <w:color w:val="000000"/>
                <w:sz w:val="18"/>
                <w:szCs w:val="18"/>
              </w:rPr>
            </w:pPr>
          </w:p>
        </w:tc>
      </w:tr>
      <w:tr w14:paraId="69B50A9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51DC9D">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8DD07D4">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0078D6F3">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AD1BA6C">
            <w:pPr>
              <w:rPr>
                <w:rFonts w:hint="eastAsia" w:ascii="宋体" w:hAnsi="宋体" w:eastAsia="宋体" w:cs="宋体"/>
                <w:color w:val="000000"/>
                <w:sz w:val="18"/>
                <w:szCs w:val="18"/>
              </w:rPr>
            </w:pPr>
            <w:r>
              <w:rPr>
                <w:rFonts w:hint="eastAsia" w:ascii="宋体" w:hAnsi="宋体" w:eastAsia="宋体" w:cs="宋体"/>
                <w:color w:val="000000"/>
                <w:sz w:val="18"/>
                <w:szCs w:val="18"/>
              </w:rPr>
              <w:t>疟疾宣传日次数</w:t>
            </w:r>
          </w:p>
        </w:tc>
        <w:tc>
          <w:tcPr>
            <w:tcW w:w="1125" w:type="dxa"/>
            <w:tcBorders>
              <w:top w:val="nil"/>
              <w:left w:val="nil"/>
              <w:bottom w:val="single" w:color="auto" w:sz="4" w:space="0"/>
              <w:right w:val="single" w:color="auto" w:sz="4" w:space="0"/>
            </w:tcBorders>
            <w:vAlign w:val="center"/>
          </w:tcPr>
          <w:p w14:paraId="4D1E19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&gt;=5次</w:t>
            </w:r>
          </w:p>
        </w:tc>
        <w:tc>
          <w:tcPr>
            <w:tcW w:w="1229" w:type="dxa"/>
            <w:tcBorders>
              <w:top w:val="nil"/>
              <w:left w:val="nil"/>
              <w:bottom w:val="single" w:color="auto" w:sz="4" w:space="0"/>
              <w:right w:val="single" w:color="auto" w:sz="4" w:space="0"/>
            </w:tcBorders>
            <w:vAlign w:val="center"/>
          </w:tcPr>
          <w:p w14:paraId="227EFE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5次</w:t>
            </w:r>
          </w:p>
        </w:tc>
        <w:tc>
          <w:tcPr>
            <w:tcW w:w="755" w:type="dxa"/>
            <w:gridSpan w:val="2"/>
            <w:tcBorders>
              <w:top w:val="single" w:color="auto" w:sz="4" w:space="0"/>
              <w:left w:val="nil"/>
              <w:bottom w:val="single" w:color="auto" w:sz="4" w:space="0"/>
              <w:right w:val="single" w:color="000000" w:sz="4" w:space="0"/>
            </w:tcBorders>
            <w:vAlign w:val="center"/>
          </w:tcPr>
          <w:p w14:paraId="2AB2EE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666A32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5CB9EDC3">
            <w:pPr>
              <w:jc w:val="center"/>
              <w:rPr>
                <w:rFonts w:hint="eastAsia" w:ascii="宋体" w:hAnsi="宋体" w:eastAsia="宋体" w:cs="宋体"/>
                <w:color w:val="000000"/>
                <w:sz w:val="18"/>
                <w:szCs w:val="18"/>
              </w:rPr>
            </w:pPr>
          </w:p>
        </w:tc>
      </w:tr>
      <w:tr w14:paraId="2EA5BA9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A10411">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F2C93CA">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12D54D5">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261D6E1">
            <w:pPr>
              <w:rPr>
                <w:rFonts w:hint="eastAsia" w:ascii="宋体" w:hAnsi="宋体" w:eastAsia="宋体" w:cs="宋体"/>
                <w:color w:val="000000"/>
                <w:sz w:val="18"/>
                <w:szCs w:val="18"/>
              </w:rPr>
            </w:pPr>
            <w:r>
              <w:rPr>
                <w:rFonts w:hint="eastAsia" w:ascii="宋体" w:hAnsi="宋体" w:eastAsia="宋体" w:cs="宋体"/>
                <w:color w:val="000000"/>
                <w:sz w:val="18"/>
                <w:szCs w:val="18"/>
              </w:rPr>
              <w:t>水质检测次数</w:t>
            </w:r>
          </w:p>
        </w:tc>
        <w:tc>
          <w:tcPr>
            <w:tcW w:w="1125" w:type="dxa"/>
            <w:tcBorders>
              <w:top w:val="nil"/>
              <w:left w:val="nil"/>
              <w:bottom w:val="single" w:color="auto" w:sz="4" w:space="0"/>
              <w:right w:val="single" w:color="auto" w:sz="4" w:space="0"/>
            </w:tcBorders>
            <w:vAlign w:val="center"/>
          </w:tcPr>
          <w:p w14:paraId="59D20C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&gt;=2次</w:t>
            </w:r>
          </w:p>
        </w:tc>
        <w:tc>
          <w:tcPr>
            <w:tcW w:w="1229" w:type="dxa"/>
            <w:tcBorders>
              <w:top w:val="nil"/>
              <w:left w:val="nil"/>
              <w:bottom w:val="single" w:color="auto" w:sz="4" w:space="0"/>
              <w:right w:val="single" w:color="auto" w:sz="4" w:space="0"/>
            </w:tcBorders>
            <w:vAlign w:val="center"/>
          </w:tcPr>
          <w:p w14:paraId="34FD1C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755" w:type="dxa"/>
            <w:gridSpan w:val="2"/>
            <w:tcBorders>
              <w:top w:val="single" w:color="auto" w:sz="4" w:space="0"/>
              <w:left w:val="nil"/>
              <w:bottom w:val="single" w:color="auto" w:sz="4" w:space="0"/>
              <w:right w:val="single" w:color="000000" w:sz="4" w:space="0"/>
            </w:tcBorders>
            <w:vAlign w:val="center"/>
          </w:tcPr>
          <w:p w14:paraId="1B09A8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09" w:type="dxa"/>
            <w:gridSpan w:val="2"/>
            <w:tcBorders>
              <w:top w:val="single" w:color="auto" w:sz="4" w:space="0"/>
              <w:left w:val="nil"/>
              <w:bottom w:val="single" w:color="auto" w:sz="4" w:space="0"/>
              <w:right w:val="single" w:color="000000" w:sz="4" w:space="0"/>
            </w:tcBorders>
            <w:vAlign w:val="center"/>
          </w:tcPr>
          <w:p w14:paraId="7A0DA1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1984" w:type="dxa"/>
            <w:gridSpan w:val="2"/>
            <w:tcBorders>
              <w:top w:val="single" w:color="auto" w:sz="4" w:space="0"/>
              <w:left w:val="nil"/>
              <w:bottom w:val="single" w:color="auto" w:sz="4" w:space="0"/>
              <w:right w:val="single" w:color="auto" w:sz="4" w:space="0"/>
            </w:tcBorders>
            <w:vAlign w:val="center"/>
          </w:tcPr>
          <w:p w14:paraId="02AA34CB">
            <w:pPr>
              <w:jc w:val="center"/>
              <w:rPr>
                <w:rFonts w:hint="eastAsia" w:ascii="宋体" w:hAnsi="宋体" w:eastAsia="宋体" w:cs="宋体"/>
                <w:color w:val="000000"/>
                <w:sz w:val="18"/>
                <w:szCs w:val="18"/>
              </w:rPr>
            </w:pPr>
          </w:p>
        </w:tc>
      </w:tr>
      <w:tr w14:paraId="68F82E1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2350ECA">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5A2AE4C">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157C87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B7879E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肺结核患者规则服药率</w:t>
            </w:r>
          </w:p>
        </w:tc>
        <w:tc>
          <w:tcPr>
            <w:tcW w:w="1125" w:type="dxa"/>
            <w:tcBorders>
              <w:top w:val="nil"/>
              <w:left w:val="nil"/>
              <w:bottom w:val="single" w:color="auto" w:sz="4" w:space="0"/>
              <w:right w:val="single" w:color="auto" w:sz="4" w:space="0"/>
            </w:tcBorders>
            <w:vAlign w:val="center"/>
          </w:tcPr>
          <w:p w14:paraId="208F94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4DC9BE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9DE55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0F4E27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7DFDD51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利用定点医院优势，规范病人服药</w:t>
            </w:r>
          </w:p>
        </w:tc>
      </w:tr>
      <w:tr w14:paraId="754C934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3AB99A">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141B7AA0">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7F71CCEE">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649C6B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肺结核患者健康管理率</w:t>
            </w:r>
          </w:p>
        </w:tc>
        <w:tc>
          <w:tcPr>
            <w:tcW w:w="1125" w:type="dxa"/>
            <w:tcBorders>
              <w:top w:val="nil"/>
              <w:left w:val="nil"/>
              <w:bottom w:val="single" w:color="auto" w:sz="4" w:space="0"/>
              <w:right w:val="single" w:color="auto" w:sz="4" w:space="0"/>
            </w:tcBorders>
            <w:vAlign w:val="center"/>
          </w:tcPr>
          <w:p w14:paraId="09F087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3AB6B9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FFFFE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4ECCFC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00AA716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利用定点医院优势，规范病人管理</w:t>
            </w:r>
          </w:p>
        </w:tc>
      </w:tr>
      <w:tr w14:paraId="1F0621B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32DC86">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63190381">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096963E1">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7573E1AA">
            <w:pPr>
              <w:rPr>
                <w:rFonts w:hint="eastAsia" w:ascii="宋体" w:hAnsi="宋体" w:eastAsia="宋体" w:cs="宋体"/>
                <w:color w:val="000000"/>
                <w:sz w:val="18"/>
                <w:szCs w:val="18"/>
              </w:rPr>
            </w:pPr>
            <w:r>
              <w:rPr>
                <w:rFonts w:hint="eastAsia" w:ascii="宋体" w:hAnsi="宋体" w:eastAsia="宋体" w:cs="宋体"/>
                <w:color w:val="000000"/>
                <w:sz w:val="18"/>
                <w:szCs w:val="18"/>
              </w:rPr>
              <w:t>水氟水质监测合格率</w:t>
            </w:r>
          </w:p>
        </w:tc>
        <w:tc>
          <w:tcPr>
            <w:tcW w:w="1125" w:type="dxa"/>
            <w:tcBorders>
              <w:top w:val="nil"/>
              <w:left w:val="nil"/>
              <w:bottom w:val="single" w:color="auto" w:sz="4" w:space="0"/>
              <w:right w:val="single" w:color="auto" w:sz="4" w:space="0"/>
            </w:tcBorders>
            <w:vAlign w:val="center"/>
          </w:tcPr>
          <w:p w14:paraId="081088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757E6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40ABD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09" w:type="dxa"/>
            <w:gridSpan w:val="2"/>
            <w:tcBorders>
              <w:top w:val="single" w:color="auto" w:sz="4" w:space="0"/>
              <w:left w:val="nil"/>
              <w:bottom w:val="single" w:color="auto" w:sz="4" w:space="0"/>
              <w:right w:val="single" w:color="000000" w:sz="4" w:space="0"/>
            </w:tcBorders>
            <w:vAlign w:val="center"/>
          </w:tcPr>
          <w:p w14:paraId="00C0FA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1984" w:type="dxa"/>
            <w:gridSpan w:val="2"/>
            <w:tcBorders>
              <w:top w:val="single" w:color="auto" w:sz="4" w:space="0"/>
              <w:left w:val="nil"/>
              <w:bottom w:val="single" w:color="auto" w:sz="4" w:space="0"/>
              <w:right w:val="single" w:color="auto" w:sz="4" w:space="0"/>
            </w:tcBorders>
            <w:vAlign w:val="center"/>
          </w:tcPr>
          <w:p w14:paraId="76D87430">
            <w:pPr>
              <w:jc w:val="center"/>
              <w:rPr>
                <w:rFonts w:hint="eastAsia" w:ascii="宋体" w:hAnsi="宋体" w:eastAsia="宋体" w:cs="宋体"/>
                <w:color w:val="000000"/>
                <w:sz w:val="18"/>
                <w:szCs w:val="18"/>
              </w:rPr>
            </w:pPr>
          </w:p>
        </w:tc>
      </w:tr>
      <w:tr w14:paraId="485F54D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3322A4">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1A204E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0F6A49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F1E2B79">
            <w:pPr>
              <w:rPr>
                <w:rFonts w:hint="eastAsia" w:ascii="宋体" w:hAnsi="宋体" w:eastAsia="宋体" w:cs="宋体"/>
                <w:color w:val="000000"/>
                <w:sz w:val="18"/>
                <w:szCs w:val="18"/>
              </w:rPr>
            </w:pPr>
            <w:r>
              <w:rPr>
                <w:rFonts w:hint="eastAsia" w:ascii="宋体" w:hAnsi="宋体" w:eastAsia="宋体" w:cs="宋体"/>
                <w:color w:val="000000"/>
                <w:sz w:val="18"/>
                <w:szCs w:val="18"/>
              </w:rPr>
              <w:t>降低碘缺乏病发病率</w:t>
            </w:r>
          </w:p>
        </w:tc>
        <w:tc>
          <w:tcPr>
            <w:tcW w:w="1125" w:type="dxa"/>
            <w:tcBorders>
              <w:top w:val="nil"/>
              <w:left w:val="nil"/>
              <w:bottom w:val="single" w:color="auto" w:sz="4" w:space="0"/>
              <w:right w:val="single" w:color="auto" w:sz="4" w:space="0"/>
            </w:tcBorders>
            <w:vAlign w:val="center"/>
          </w:tcPr>
          <w:p w14:paraId="2014AA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有效降低</w:t>
            </w:r>
          </w:p>
        </w:tc>
        <w:tc>
          <w:tcPr>
            <w:tcW w:w="1229" w:type="dxa"/>
            <w:tcBorders>
              <w:top w:val="nil"/>
              <w:left w:val="nil"/>
              <w:bottom w:val="single" w:color="auto" w:sz="4" w:space="0"/>
              <w:right w:val="single" w:color="auto" w:sz="4" w:space="0"/>
            </w:tcBorders>
            <w:vAlign w:val="center"/>
          </w:tcPr>
          <w:p w14:paraId="5B21FD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A8FBC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B0624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61636880">
            <w:pPr>
              <w:jc w:val="center"/>
              <w:rPr>
                <w:rFonts w:hint="eastAsia" w:ascii="宋体" w:hAnsi="宋体" w:eastAsia="宋体" w:cs="宋体"/>
                <w:color w:val="000000"/>
                <w:sz w:val="18"/>
                <w:szCs w:val="18"/>
              </w:rPr>
            </w:pPr>
          </w:p>
        </w:tc>
      </w:tr>
      <w:tr w14:paraId="7B080C4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7AD5B9">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37A9857">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26F52DA">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D9AEAC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保障基本公共卫生服务</w:t>
            </w:r>
          </w:p>
        </w:tc>
        <w:tc>
          <w:tcPr>
            <w:tcW w:w="1125" w:type="dxa"/>
            <w:tcBorders>
              <w:top w:val="nil"/>
              <w:left w:val="nil"/>
              <w:bottom w:val="single" w:color="auto" w:sz="4" w:space="0"/>
              <w:right w:val="single" w:color="auto" w:sz="4" w:space="0"/>
            </w:tcBorders>
            <w:vAlign w:val="center"/>
          </w:tcPr>
          <w:p w14:paraId="6D5042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0CF757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56590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6F822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A9A0449">
            <w:pPr>
              <w:jc w:val="center"/>
              <w:rPr>
                <w:rFonts w:hint="eastAsia" w:ascii="宋体" w:hAnsi="宋体" w:eastAsia="宋体" w:cs="宋体"/>
                <w:color w:val="000000"/>
                <w:sz w:val="18"/>
                <w:szCs w:val="18"/>
              </w:rPr>
            </w:pPr>
          </w:p>
        </w:tc>
      </w:tr>
      <w:tr w14:paraId="18989A6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5623C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80707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42F52D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490D1145">
            <w:pPr>
              <w:jc w:val="center"/>
              <w:rPr>
                <w:rFonts w:hint="eastAsia" w:ascii="宋体" w:hAnsi="宋体" w:eastAsia="宋体" w:cs="宋体"/>
                <w:b/>
                <w:bCs/>
                <w:color w:val="000000"/>
                <w:sz w:val="18"/>
                <w:szCs w:val="18"/>
              </w:rPr>
            </w:pPr>
          </w:p>
        </w:tc>
      </w:tr>
    </w:tbl>
    <w:p w14:paraId="45F3330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B78B73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4BAACA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16539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8493B9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乌财社【2023】249号中央重大传染病防治经费</w:t>
            </w:r>
          </w:p>
        </w:tc>
      </w:tr>
      <w:tr w14:paraId="17BC8B1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20F39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263F27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米东区卫生健康委员会</w:t>
            </w:r>
          </w:p>
        </w:tc>
        <w:tc>
          <w:tcPr>
            <w:tcW w:w="1275" w:type="dxa"/>
            <w:gridSpan w:val="2"/>
            <w:tcBorders>
              <w:top w:val="nil"/>
              <w:left w:val="nil"/>
              <w:bottom w:val="single" w:color="auto" w:sz="4" w:space="0"/>
              <w:right w:val="single" w:color="000000" w:sz="4" w:space="0"/>
            </w:tcBorders>
            <w:vAlign w:val="center"/>
          </w:tcPr>
          <w:p w14:paraId="3CA0C59D">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D26A6B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乌鲁木齐市米东区疾病预防控制中心</w:t>
            </w:r>
          </w:p>
        </w:tc>
      </w:tr>
      <w:tr w14:paraId="68DFFAA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38503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2C037CC">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267FC1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4C5366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7162D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EB9BC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4FB897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0A22E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BB607B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21E35D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23B67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26B071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254.68</w:t>
            </w:r>
          </w:p>
        </w:tc>
        <w:tc>
          <w:tcPr>
            <w:tcW w:w="1125" w:type="dxa"/>
            <w:tcBorders>
              <w:top w:val="nil"/>
              <w:left w:val="nil"/>
              <w:bottom w:val="single" w:color="auto" w:sz="4" w:space="0"/>
              <w:right w:val="single" w:color="auto" w:sz="4" w:space="0"/>
            </w:tcBorders>
            <w:noWrap/>
            <w:vAlign w:val="center"/>
          </w:tcPr>
          <w:p w14:paraId="6BBF70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254.68</w:t>
            </w:r>
          </w:p>
        </w:tc>
        <w:tc>
          <w:tcPr>
            <w:tcW w:w="1275" w:type="dxa"/>
            <w:gridSpan w:val="2"/>
            <w:tcBorders>
              <w:top w:val="single" w:color="auto" w:sz="4" w:space="0"/>
              <w:left w:val="nil"/>
              <w:bottom w:val="single" w:color="auto" w:sz="4" w:space="0"/>
              <w:right w:val="single" w:color="000000" w:sz="4" w:space="0"/>
            </w:tcBorders>
            <w:noWrap/>
            <w:vAlign w:val="center"/>
          </w:tcPr>
          <w:p w14:paraId="4FB079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207.72</w:t>
            </w:r>
          </w:p>
        </w:tc>
        <w:tc>
          <w:tcPr>
            <w:tcW w:w="1134" w:type="dxa"/>
            <w:gridSpan w:val="2"/>
            <w:tcBorders>
              <w:top w:val="single" w:color="auto" w:sz="4" w:space="0"/>
              <w:left w:val="nil"/>
              <w:bottom w:val="single" w:color="auto" w:sz="4" w:space="0"/>
              <w:right w:val="single" w:color="auto" w:sz="4" w:space="0"/>
            </w:tcBorders>
            <w:vAlign w:val="center"/>
          </w:tcPr>
          <w:p w14:paraId="15EB67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68FCE3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81.56%</w:t>
            </w:r>
          </w:p>
        </w:tc>
        <w:tc>
          <w:tcPr>
            <w:tcW w:w="1275" w:type="dxa"/>
            <w:tcBorders>
              <w:top w:val="nil"/>
              <w:left w:val="nil"/>
              <w:bottom w:val="single" w:color="auto" w:sz="4" w:space="0"/>
              <w:right w:val="single" w:color="auto" w:sz="4" w:space="0"/>
            </w:tcBorders>
            <w:vAlign w:val="center"/>
          </w:tcPr>
          <w:p w14:paraId="7D8CD5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8.16分</w:t>
            </w:r>
          </w:p>
        </w:tc>
      </w:tr>
      <w:tr w14:paraId="50197F1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021887A">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DEE78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42BD52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254.68</w:t>
            </w:r>
          </w:p>
        </w:tc>
        <w:tc>
          <w:tcPr>
            <w:tcW w:w="1125" w:type="dxa"/>
            <w:tcBorders>
              <w:top w:val="nil"/>
              <w:left w:val="nil"/>
              <w:bottom w:val="single" w:color="auto" w:sz="4" w:space="0"/>
              <w:right w:val="single" w:color="auto" w:sz="4" w:space="0"/>
            </w:tcBorders>
            <w:noWrap/>
            <w:vAlign w:val="center"/>
          </w:tcPr>
          <w:p w14:paraId="4442BC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254.68</w:t>
            </w:r>
          </w:p>
        </w:tc>
        <w:tc>
          <w:tcPr>
            <w:tcW w:w="1275" w:type="dxa"/>
            <w:gridSpan w:val="2"/>
            <w:tcBorders>
              <w:top w:val="single" w:color="auto" w:sz="4" w:space="0"/>
              <w:left w:val="nil"/>
              <w:bottom w:val="single" w:color="auto" w:sz="4" w:space="0"/>
              <w:right w:val="single" w:color="000000" w:sz="4" w:space="0"/>
            </w:tcBorders>
            <w:noWrap/>
            <w:vAlign w:val="center"/>
          </w:tcPr>
          <w:p w14:paraId="1A5576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207.72</w:t>
            </w:r>
          </w:p>
        </w:tc>
        <w:tc>
          <w:tcPr>
            <w:tcW w:w="1134" w:type="dxa"/>
            <w:gridSpan w:val="2"/>
            <w:tcBorders>
              <w:top w:val="single" w:color="auto" w:sz="4" w:space="0"/>
              <w:left w:val="nil"/>
              <w:bottom w:val="single" w:color="auto" w:sz="4" w:space="0"/>
              <w:right w:val="single" w:color="auto" w:sz="4" w:space="0"/>
            </w:tcBorders>
            <w:vAlign w:val="center"/>
          </w:tcPr>
          <w:p w14:paraId="015F90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F614E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32C7C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6E9DDF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C22949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CC772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586F7A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773A49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7A3EA6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125E05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807BE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47DC3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F6D0FA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0563F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08314B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5C7B8B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279B91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9F48DD3">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690218F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通过开展我区免疫规划，结核病防治，</w:t>
            </w: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检测工作等重大传染病等项目，积极保障患者身体健康，提高人民健康生活水平，从而促进我区公共卫生工作健康有序发展，实现健康中国的最终目标。</w:t>
            </w:r>
          </w:p>
        </w:tc>
        <w:tc>
          <w:tcPr>
            <w:tcW w:w="4677" w:type="dxa"/>
            <w:gridSpan w:val="7"/>
            <w:tcBorders>
              <w:top w:val="single" w:color="auto" w:sz="4" w:space="0"/>
              <w:left w:val="nil"/>
              <w:bottom w:val="single" w:color="auto" w:sz="4" w:space="0"/>
              <w:right w:val="single" w:color="000000" w:sz="4" w:space="0"/>
            </w:tcBorders>
          </w:tcPr>
          <w:p w14:paraId="406E44C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开展了多种形式的地方病和结核病宣传教育培训，地方病防治效果较好，有效控制</w:t>
            </w: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处于低流行水平，促进我区公共卫生工作健康有序发展，实现健康中国的最终目标。</w:t>
            </w:r>
          </w:p>
        </w:tc>
      </w:tr>
      <w:tr w14:paraId="1D115419">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29739155">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01861A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B384F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49FE1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9C08B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5FFF61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C808E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1F002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B3E61B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E82957C">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61F02286">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495CFD59">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02C6B61">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C7EF2A0">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123C168D">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07C7518B">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F9AF4FD">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D9B3485">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CB8A5FC">
            <w:pPr>
              <w:rPr>
                <w:rFonts w:hint="eastAsia" w:ascii="宋体" w:hAnsi="宋体" w:eastAsia="宋体" w:cs="宋体"/>
                <w:color w:val="000000"/>
                <w:sz w:val="18"/>
                <w:szCs w:val="18"/>
                <w:lang w:eastAsia="zh-CN"/>
              </w:rPr>
            </w:pPr>
          </w:p>
        </w:tc>
      </w:tr>
      <w:tr w14:paraId="6EE0C339">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172C15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4A1CE6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744B72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6639AE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开展多种形式地方病宣传教育次数</w:t>
            </w:r>
          </w:p>
        </w:tc>
        <w:tc>
          <w:tcPr>
            <w:tcW w:w="1125" w:type="dxa"/>
            <w:tcBorders>
              <w:top w:val="nil"/>
              <w:left w:val="nil"/>
              <w:bottom w:val="single" w:color="auto" w:sz="4" w:space="0"/>
              <w:right w:val="single" w:color="auto" w:sz="4" w:space="0"/>
            </w:tcBorders>
            <w:vAlign w:val="center"/>
          </w:tcPr>
          <w:p w14:paraId="0E6E0D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&gt;=2次</w:t>
            </w:r>
          </w:p>
        </w:tc>
        <w:tc>
          <w:tcPr>
            <w:tcW w:w="1229" w:type="dxa"/>
            <w:tcBorders>
              <w:top w:val="nil"/>
              <w:left w:val="nil"/>
              <w:bottom w:val="single" w:color="auto" w:sz="4" w:space="0"/>
              <w:right w:val="single" w:color="auto" w:sz="4" w:space="0"/>
            </w:tcBorders>
            <w:vAlign w:val="center"/>
          </w:tcPr>
          <w:p w14:paraId="33B891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755" w:type="dxa"/>
            <w:gridSpan w:val="2"/>
            <w:tcBorders>
              <w:top w:val="single" w:color="auto" w:sz="4" w:space="0"/>
              <w:left w:val="nil"/>
              <w:bottom w:val="single" w:color="auto" w:sz="4" w:space="0"/>
              <w:right w:val="single" w:color="000000" w:sz="4" w:space="0"/>
            </w:tcBorders>
            <w:vAlign w:val="center"/>
          </w:tcPr>
          <w:p w14:paraId="419652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C2F24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FE0F482">
            <w:pPr>
              <w:jc w:val="center"/>
              <w:rPr>
                <w:rFonts w:hint="eastAsia" w:ascii="宋体" w:hAnsi="宋体" w:eastAsia="宋体" w:cs="宋体"/>
                <w:color w:val="000000"/>
                <w:sz w:val="18"/>
                <w:szCs w:val="18"/>
              </w:rPr>
            </w:pPr>
          </w:p>
        </w:tc>
      </w:tr>
      <w:tr w14:paraId="6C01707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2E3C9A">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2EA5AA6">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3337E1A9">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58596F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结核病防治工作培训次数</w:t>
            </w:r>
          </w:p>
        </w:tc>
        <w:tc>
          <w:tcPr>
            <w:tcW w:w="1125" w:type="dxa"/>
            <w:tcBorders>
              <w:top w:val="nil"/>
              <w:left w:val="nil"/>
              <w:bottom w:val="single" w:color="auto" w:sz="4" w:space="0"/>
              <w:right w:val="single" w:color="auto" w:sz="4" w:space="0"/>
            </w:tcBorders>
            <w:vAlign w:val="center"/>
          </w:tcPr>
          <w:p w14:paraId="384605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&gt;=4次</w:t>
            </w:r>
          </w:p>
        </w:tc>
        <w:tc>
          <w:tcPr>
            <w:tcW w:w="1229" w:type="dxa"/>
            <w:tcBorders>
              <w:top w:val="nil"/>
              <w:left w:val="nil"/>
              <w:bottom w:val="single" w:color="auto" w:sz="4" w:space="0"/>
              <w:right w:val="single" w:color="auto" w:sz="4" w:space="0"/>
            </w:tcBorders>
            <w:vAlign w:val="center"/>
          </w:tcPr>
          <w:p w14:paraId="5A7F49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4次</w:t>
            </w:r>
          </w:p>
        </w:tc>
        <w:tc>
          <w:tcPr>
            <w:tcW w:w="755" w:type="dxa"/>
            <w:gridSpan w:val="2"/>
            <w:tcBorders>
              <w:top w:val="single" w:color="auto" w:sz="4" w:space="0"/>
              <w:left w:val="nil"/>
              <w:bottom w:val="single" w:color="auto" w:sz="4" w:space="0"/>
              <w:right w:val="single" w:color="000000" w:sz="4" w:space="0"/>
            </w:tcBorders>
            <w:vAlign w:val="center"/>
          </w:tcPr>
          <w:p w14:paraId="790876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E7F27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24E2F63">
            <w:pPr>
              <w:jc w:val="center"/>
              <w:rPr>
                <w:rFonts w:hint="eastAsia" w:ascii="宋体" w:hAnsi="宋体" w:eastAsia="宋体" w:cs="宋体"/>
                <w:color w:val="000000"/>
                <w:sz w:val="18"/>
                <w:szCs w:val="18"/>
              </w:rPr>
            </w:pPr>
          </w:p>
        </w:tc>
      </w:tr>
      <w:tr w14:paraId="61E7518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CD261D">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9DE9390">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112BC81">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81AD1C7">
            <w:pPr>
              <w:rPr>
                <w:rFonts w:hint="eastAsia" w:ascii="宋体" w:hAnsi="宋体" w:eastAsia="宋体" w:cs="宋体"/>
                <w:color w:val="000000"/>
                <w:sz w:val="18"/>
                <w:szCs w:val="18"/>
              </w:rPr>
            </w:pPr>
            <w:r>
              <w:rPr>
                <w:rFonts w:hint="eastAsia" w:ascii="宋体" w:hAnsi="宋体" w:eastAsia="宋体" w:cs="宋体"/>
                <w:color w:val="000000"/>
                <w:sz w:val="18"/>
                <w:szCs w:val="18"/>
              </w:rPr>
              <w:t>包虫病主动筛查人数</w:t>
            </w:r>
          </w:p>
        </w:tc>
        <w:tc>
          <w:tcPr>
            <w:tcW w:w="1125" w:type="dxa"/>
            <w:tcBorders>
              <w:top w:val="nil"/>
              <w:left w:val="nil"/>
              <w:bottom w:val="single" w:color="auto" w:sz="4" w:space="0"/>
              <w:right w:val="single" w:color="auto" w:sz="4" w:space="0"/>
            </w:tcBorders>
            <w:vAlign w:val="center"/>
          </w:tcPr>
          <w:p w14:paraId="0BEA5F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=4500人</w:t>
            </w:r>
          </w:p>
        </w:tc>
        <w:tc>
          <w:tcPr>
            <w:tcW w:w="1229" w:type="dxa"/>
            <w:tcBorders>
              <w:top w:val="nil"/>
              <w:left w:val="nil"/>
              <w:bottom w:val="single" w:color="auto" w:sz="4" w:space="0"/>
              <w:right w:val="single" w:color="auto" w:sz="4" w:space="0"/>
            </w:tcBorders>
            <w:vAlign w:val="center"/>
          </w:tcPr>
          <w:p w14:paraId="522FD1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4500人</w:t>
            </w:r>
          </w:p>
        </w:tc>
        <w:tc>
          <w:tcPr>
            <w:tcW w:w="755" w:type="dxa"/>
            <w:gridSpan w:val="2"/>
            <w:tcBorders>
              <w:top w:val="single" w:color="auto" w:sz="4" w:space="0"/>
              <w:left w:val="nil"/>
              <w:bottom w:val="single" w:color="auto" w:sz="4" w:space="0"/>
              <w:right w:val="single" w:color="000000" w:sz="4" w:space="0"/>
            </w:tcBorders>
            <w:vAlign w:val="center"/>
          </w:tcPr>
          <w:p w14:paraId="50E05D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7E0F3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7648C9B">
            <w:pPr>
              <w:jc w:val="center"/>
              <w:rPr>
                <w:rFonts w:hint="eastAsia" w:ascii="宋体" w:hAnsi="宋体" w:eastAsia="宋体" w:cs="宋体"/>
                <w:color w:val="000000"/>
                <w:sz w:val="18"/>
                <w:szCs w:val="18"/>
              </w:rPr>
            </w:pPr>
          </w:p>
        </w:tc>
      </w:tr>
      <w:tr w14:paraId="0A875AF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1ACE8B">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7089CDB">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014B50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498C8A2">
            <w:pPr>
              <w:rPr>
                <w:rFonts w:hint="eastAsia" w:ascii="宋体" w:hAnsi="宋体" w:eastAsia="宋体" w:cs="宋体"/>
                <w:color w:val="000000"/>
                <w:sz w:val="18"/>
                <w:szCs w:val="18"/>
              </w:rPr>
            </w:pPr>
            <w:r>
              <w:rPr>
                <w:rFonts w:hint="eastAsia" w:ascii="宋体" w:hAnsi="宋体" w:eastAsia="宋体" w:cs="宋体"/>
                <w:color w:val="000000"/>
                <w:sz w:val="18"/>
                <w:szCs w:val="18"/>
              </w:rPr>
              <w:t>地方病防治完成率</w:t>
            </w:r>
          </w:p>
        </w:tc>
        <w:tc>
          <w:tcPr>
            <w:tcW w:w="1125" w:type="dxa"/>
            <w:tcBorders>
              <w:top w:val="nil"/>
              <w:left w:val="nil"/>
              <w:bottom w:val="single" w:color="auto" w:sz="4" w:space="0"/>
              <w:right w:val="single" w:color="auto" w:sz="4" w:space="0"/>
            </w:tcBorders>
            <w:vAlign w:val="center"/>
          </w:tcPr>
          <w:p w14:paraId="16CC8A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45843E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116.67%</w:t>
            </w:r>
          </w:p>
        </w:tc>
        <w:tc>
          <w:tcPr>
            <w:tcW w:w="755" w:type="dxa"/>
            <w:gridSpan w:val="2"/>
            <w:tcBorders>
              <w:top w:val="single" w:color="auto" w:sz="4" w:space="0"/>
              <w:left w:val="nil"/>
              <w:bottom w:val="single" w:color="auto" w:sz="4" w:space="0"/>
              <w:right w:val="single" w:color="000000" w:sz="4" w:space="0"/>
            </w:tcBorders>
            <w:vAlign w:val="center"/>
          </w:tcPr>
          <w:p w14:paraId="77A948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AD4A3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0CD2CF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按照监测方案，抽取符合监测的儿童及孕妇，超额完成监测任务</w:t>
            </w:r>
          </w:p>
        </w:tc>
      </w:tr>
      <w:tr w14:paraId="7149153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FDFBBE">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5046304E">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55D181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6F7C773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传染病和突发公共卫生事件报告及时率</w:t>
            </w:r>
          </w:p>
        </w:tc>
        <w:tc>
          <w:tcPr>
            <w:tcW w:w="1125" w:type="dxa"/>
            <w:tcBorders>
              <w:top w:val="nil"/>
              <w:left w:val="nil"/>
              <w:bottom w:val="single" w:color="auto" w:sz="4" w:space="0"/>
              <w:right w:val="single" w:color="auto" w:sz="4" w:space="0"/>
            </w:tcBorders>
            <w:vAlign w:val="center"/>
          </w:tcPr>
          <w:p w14:paraId="008F6C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14:paraId="7A54FD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3808E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9C851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2D7A674">
            <w:pPr>
              <w:jc w:val="center"/>
              <w:rPr>
                <w:rFonts w:hint="eastAsia" w:ascii="宋体" w:hAnsi="宋体" w:eastAsia="宋体" w:cs="宋体"/>
                <w:color w:val="000000"/>
                <w:sz w:val="18"/>
                <w:szCs w:val="18"/>
              </w:rPr>
            </w:pPr>
          </w:p>
        </w:tc>
      </w:tr>
      <w:tr w14:paraId="3CC8605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073020">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AF505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2AB619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FA6905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有效控制</w:t>
            </w: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处于低流行水平</w:t>
            </w:r>
          </w:p>
        </w:tc>
        <w:tc>
          <w:tcPr>
            <w:tcW w:w="1125" w:type="dxa"/>
            <w:tcBorders>
              <w:top w:val="nil"/>
              <w:left w:val="nil"/>
              <w:bottom w:val="single" w:color="auto" w:sz="4" w:space="0"/>
              <w:right w:val="single" w:color="auto" w:sz="4" w:space="0"/>
            </w:tcBorders>
            <w:vAlign w:val="center"/>
          </w:tcPr>
          <w:p w14:paraId="6BFA92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有效控制</w:t>
            </w:r>
          </w:p>
        </w:tc>
        <w:tc>
          <w:tcPr>
            <w:tcW w:w="1229" w:type="dxa"/>
            <w:tcBorders>
              <w:top w:val="nil"/>
              <w:left w:val="nil"/>
              <w:bottom w:val="single" w:color="auto" w:sz="4" w:space="0"/>
              <w:right w:val="single" w:color="auto" w:sz="4" w:space="0"/>
            </w:tcBorders>
            <w:vAlign w:val="center"/>
          </w:tcPr>
          <w:p w14:paraId="7C12FC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ABB0D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1FAFD4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4F39DF65">
            <w:pPr>
              <w:jc w:val="center"/>
              <w:rPr>
                <w:rFonts w:hint="eastAsia" w:ascii="宋体" w:hAnsi="宋体" w:eastAsia="宋体" w:cs="宋体"/>
                <w:color w:val="000000"/>
                <w:sz w:val="18"/>
                <w:szCs w:val="18"/>
              </w:rPr>
            </w:pPr>
          </w:p>
        </w:tc>
      </w:tr>
      <w:tr w14:paraId="4FEA574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BE0E1B4">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9F1D0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613AC8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78BE4AC5">
            <w:pPr>
              <w:rPr>
                <w:rFonts w:hint="eastAsia" w:ascii="宋体" w:hAnsi="宋体" w:eastAsia="宋体" w:cs="宋体"/>
                <w:color w:val="000000"/>
                <w:sz w:val="18"/>
                <w:szCs w:val="18"/>
              </w:rPr>
            </w:pPr>
            <w:r>
              <w:rPr>
                <w:rFonts w:hint="eastAsia" w:ascii="宋体" w:hAnsi="宋体" w:eastAsia="宋体" w:cs="宋体"/>
                <w:color w:val="000000"/>
                <w:sz w:val="18"/>
                <w:szCs w:val="18"/>
              </w:rPr>
              <w:t>服务对象满意度（%）</w:t>
            </w:r>
          </w:p>
        </w:tc>
        <w:tc>
          <w:tcPr>
            <w:tcW w:w="1125" w:type="dxa"/>
            <w:tcBorders>
              <w:top w:val="nil"/>
              <w:left w:val="nil"/>
              <w:bottom w:val="single" w:color="auto" w:sz="4" w:space="0"/>
              <w:right w:val="single" w:color="auto" w:sz="4" w:space="0"/>
            </w:tcBorders>
            <w:vAlign w:val="center"/>
          </w:tcPr>
          <w:p w14:paraId="544B44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079425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7D8DD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745AC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A956E5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发放20份调查表，满意度均为一般及满意，因此满意度较好</w:t>
            </w:r>
          </w:p>
        </w:tc>
      </w:tr>
      <w:tr w14:paraId="7E6C1A2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F4DF0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0D0DB4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6AA9D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98.16分</w:t>
            </w:r>
          </w:p>
        </w:tc>
        <w:tc>
          <w:tcPr>
            <w:tcW w:w="1984" w:type="dxa"/>
            <w:gridSpan w:val="2"/>
            <w:tcBorders>
              <w:top w:val="single" w:color="auto" w:sz="4" w:space="0"/>
              <w:left w:val="nil"/>
              <w:bottom w:val="single" w:color="auto" w:sz="4" w:space="0"/>
              <w:right w:val="single" w:color="auto" w:sz="4" w:space="0"/>
            </w:tcBorders>
            <w:vAlign w:val="center"/>
          </w:tcPr>
          <w:p w14:paraId="62D11AFA">
            <w:pPr>
              <w:jc w:val="center"/>
              <w:rPr>
                <w:rFonts w:hint="eastAsia" w:ascii="宋体" w:hAnsi="宋体" w:eastAsia="宋体" w:cs="宋体"/>
                <w:b/>
                <w:bCs/>
                <w:color w:val="000000"/>
                <w:sz w:val="18"/>
                <w:szCs w:val="18"/>
              </w:rPr>
            </w:pPr>
          </w:p>
        </w:tc>
      </w:tr>
    </w:tbl>
    <w:p w14:paraId="4814B20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C282FB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EF6A4E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4FA9D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C2F7DE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乌财社【2023】254号2024年自治区公共卫生服务（地方公共卫生）（自治区直达资金）</w:t>
            </w:r>
          </w:p>
        </w:tc>
      </w:tr>
      <w:tr w14:paraId="5BF2C9D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30F6A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BEC561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乌鲁木齐市米东区卫生健康委员会</w:t>
            </w:r>
          </w:p>
        </w:tc>
        <w:tc>
          <w:tcPr>
            <w:tcW w:w="1275" w:type="dxa"/>
            <w:gridSpan w:val="2"/>
            <w:tcBorders>
              <w:top w:val="nil"/>
              <w:left w:val="nil"/>
              <w:bottom w:val="single" w:color="auto" w:sz="4" w:space="0"/>
              <w:right w:val="single" w:color="000000" w:sz="4" w:space="0"/>
            </w:tcBorders>
            <w:vAlign w:val="center"/>
          </w:tcPr>
          <w:p w14:paraId="4D6E1633">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000AE0E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乌鲁木齐市米东区疾病预防控制中心</w:t>
            </w:r>
          </w:p>
        </w:tc>
      </w:tr>
      <w:tr w14:paraId="230DF7E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E3675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285D5CA">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BB8E2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7DA39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C4083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728650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466F73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A291E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C19627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637F14E">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A6A7F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678FDF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w:t>
            </w:r>
          </w:p>
        </w:tc>
        <w:tc>
          <w:tcPr>
            <w:tcW w:w="1125" w:type="dxa"/>
            <w:tcBorders>
              <w:top w:val="nil"/>
              <w:left w:val="nil"/>
              <w:bottom w:val="single" w:color="auto" w:sz="4" w:space="0"/>
              <w:right w:val="single" w:color="auto" w:sz="4" w:space="0"/>
            </w:tcBorders>
            <w:noWrap/>
            <w:vAlign w:val="center"/>
          </w:tcPr>
          <w:p w14:paraId="79B36B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w:t>
            </w:r>
          </w:p>
        </w:tc>
        <w:tc>
          <w:tcPr>
            <w:tcW w:w="1275" w:type="dxa"/>
            <w:gridSpan w:val="2"/>
            <w:tcBorders>
              <w:top w:val="single" w:color="auto" w:sz="4" w:space="0"/>
              <w:left w:val="nil"/>
              <w:bottom w:val="single" w:color="auto" w:sz="4" w:space="0"/>
              <w:right w:val="single" w:color="000000" w:sz="4" w:space="0"/>
            </w:tcBorders>
            <w:noWrap/>
            <w:vAlign w:val="center"/>
          </w:tcPr>
          <w:p w14:paraId="6FD941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w:t>
            </w:r>
          </w:p>
        </w:tc>
        <w:tc>
          <w:tcPr>
            <w:tcW w:w="1134" w:type="dxa"/>
            <w:gridSpan w:val="2"/>
            <w:tcBorders>
              <w:top w:val="single" w:color="auto" w:sz="4" w:space="0"/>
              <w:left w:val="nil"/>
              <w:bottom w:val="single" w:color="auto" w:sz="4" w:space="0"/>
              <w:right w:val="single" w:color="auto" w:sz="4" w:space="0"/>
            </w:tcBorders>
            <w:vAlign w:val="center"/>
          </w:tcPr>
          <w:p w14:paraId="7B55AD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C9359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211EBC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4901509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FBACB54">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1308C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269056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w:t>
            </w:r>
          </w:p>
        </w:tc>
        <w:tc>
          <w:tcPr>
            <w:tcW w:w="1125" w:type="dxa"/>
            <w:tcBorders>
              <w:top w:val="nil"/>
              <w:left w:val="nil"/>
              <w:bottom w:val="single" w:color="auto" w:sz="4" w:space="0"/>
              <w:right w:val="single" w:color="auto" w:sz="4" w:space="0"/>
            </w:tcBorders>
            <w:noWrap/>
            <w:vAlign w:val="center"/>
          </w:tcPr>
          <w:p w14:paraId="6002CE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w:t>
            </w:r>
          </w:p>
        </w:tc>
        <w:tc>
          <w:tcPr>
            <w:tcW w:w="1275" w:type="dxa"/>
            <w:gridSpan w:val="2"/>
            <w:tcBorders>
              <w:top w:val="single" w:color="auto" w:sz="4" w:space="0"/>
              <w:left w:val="nil"/>
              <w:bottom w:val="single" w:color="auto" w:sz="4" w:space="0"/>
              <w:right w:val="single" w:color="000000" w:sz="4" w:space="0"/>
            </w:tcBorders>
            <w:noWrap/>
            <w:vAlign w:val="center"/>
          </w:tcPr>
          <w:p w14:paraId="505D4F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w:t>
            </w:r>
          </w:p>
        </w:tc>
        <w:tc>
          <w:tcPr>
            <w:tcW w:w="1134" w:type="dxa"/>
            <w:gridSpan w:val="2"/>
            <w:tcBorders>
              <w:top w:val="single" w:color="auto" w:sz="4" w:space="0"/>
              <w:left w:val="nil"/>
              <w:bottom w:val="single" w:color="auto" w:sz="4" w:space="0"/>
              <w:right w:val="single" w:color="auto" w:sz="4" w:space="0"/>
            </w:tcBorders>
            <w:vAlign w:val="center"/>
          </w:tcPr>
          <w:p w14:paraId="5C53E5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0F018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DAEC1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0BF6AB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B78CF1B">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C94C8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5A3B86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3E21C6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3F5F11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62D193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7D253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EA225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9D47DC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F30F4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1659C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77D1CF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E60A55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05149FC">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6BE07D0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通过扩大监测结果及灭鼠灭蚤效果评价综合评估此次动物间鼠疫为局部散点发生，保障鼠疫不能造成扩散。</w:t>
            </w:r>
          </w:p>
        </w:tc>
        <w:tc>
          <w:tcPr>
            <w:tcW w:w="4677" w:type="dxa"/>
            <w:gridSpan w:val="7"/>
            <w:tcBorders>
              <w:top w:val="single" w:color="auto" w:sz="4" w:space="0"/>
              <w:left w:val="nil"/>
              <w:bottom w:val="single" w:color="auto" w:sz="4" w:space="0"/>
              <w:right w:val="single" w:color="000000" w:sz="4" w:space="0"/>
            </w:tcBorders>
          </w:tcPr>
          <w:p w14:paraId="26B28F9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扩大监测结果及灭鼠灭蚤效果评价，保障鼠疫不能造成扩散。</w:t>
            </w:r>
          </w:p>
        </w:tc>
      </w:tr>
      <w:tr w14:paraId="053C1345">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43AEA829">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1DE646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04603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AC7CA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3172D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B08A3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070E94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BAB81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B9C006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A46FCD7">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49031E23">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5F7F18B">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1E06BB7">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BBFC9E5">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0E0AD58A">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269E146">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D492AEA">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CC4DB03">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80084CD">
            <w:pPr>
              <w:rPr>
                <w:rFonts w:hint="eastAsia" w:ascii="宋体" w:hAnsi="宋体" w:eastAsia="宋体" w:cs="宋体"/>
                <w:color w:val="000000"/>
                <w:sz w:val="18"/>
                <w:szCs w:val="18"/>
                <w:lang w:eastAsia="zh-CN"/>
              </w:rPr>
            </w:pPr>
          </w:p>
        </w:tc>
      </w:tr>
      <w:tr w14:paraId="0F35695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5F1332A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7543E1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4ADC1B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FAF93D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鼠疫疫源地人间、动物间传播培训次数</w:t>
            </w:r>
          </w:p>
        </w:tc>
        <w:tc>
          <w:tcPr>
            <w:tcW w:w="1125" w:type="dxa"/>
            <w:tcBorders>
              <w:top w:val="nil"/>
              <w:left w:val="nil"/>
              <w:bottom w:val="single" w:color="auto" w:sz="4" w:space="0"/>
              <w:right w:val="single" w:color="auto" w:sz="4" w:space="0"/>
            </w:tcBorders>
            <w:vAlign w:val="center"/>
          </w:tcPr>
          <w:p w14:paraId="7FE339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&gt;=4次</w:t>
            </w:r>
          </w:p>
        </w:tc>
        <w:tc>
          <w:tcPr>
            <w:tcW w:w="1229" w:type="dxa"/>
            <w:tcBorders>
              <w:top w:val="nil"/>
              <w:left w:val="nil"/>
              <w:bottom w:val="single" w:color="auto" w:sz="4" w:space="0"/>
              <w:right w:val="single" w:color="auto" w:sz="4" w:space="0"/>
            </w:tcBorders>
            <w:vAlign w:val="center"/>
          </w:tcPr>
          <w:p w14:paraId="20C4DB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5次</w:t>
            </w:r>
          </w:p>
        </w:tc>
        <w:tc>
          <w:tcPr>
            <w:tcW w:w="755" w:type="dxa"/>
            <w:gridSpan w:val="2"/>
            <w:tcBorders>
              <w:top w:val="single" w:color="auto" w:sz="4" w:space="0"/>
              <w:left w:val="nil"/>
              <w:bottom w:val="single" w:color="auto" w:sz="4" w:space="0"/>
              <w:right w:val="single" w:color="000000" w:sz="4" w:space="0"/>
            </w:tcBorders>
            <w:vAlign w:val="center"/>
          </w:tcPr>
          <w:p w14:paraId="152F0E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101C9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90A1DA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为了防止人间鼠疫的发生，我单位工作人员积极开展鼠疫防治知识的培训和应急演练工作，超额完成既定目标</w:t>
            </w:r>
          </w:p>
        </w:tc>
      </w:tr>
      <w:tr w14:paraId="429CF44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6B3DE8">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318AE77A">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215C8782">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10ECD00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鼠疫防治应急演练次数</w:t>
            </w:r>
          </w:p>
        </w:tc>
        <w:tc>
          <w:tcPr>
            <w:tcW w:w="1125" w:type="dxa"/>
            <w:tcBorders>
              <w:top w:val="nil"/>
              <w:left w:val="nil"/>
              <w:bottom w:val="single" w:color="auto" w:sz="4" w:space="0"/>
              <w:right w:val="single" w:color="auto" w:sz="4" w:space="0"/>
            </w:tcBorders>
            <w:vAlign w:val="center"/>
          </w:tcPr>
          <w:p w14:paraId="470E43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&gt;=1次</w:t>
            </w:r>
          </w:p>
        </w:tc>
        <w:tc>
          <w:tcPr>
            <w:tcW w:w="1229" w:type="dxa"/>
            <w:tcBorders>
              <w:top w:val="nil"/>
              <w:left w:val="nil"/>
              <w:bottom w:val="single" w:color="auto" w:sz="4" w:space="0"/>
              <w:right w:val="single" w:color="auto" w:sz="4" w:space="0"/>
            </w:tcBorders>
            <w:vAlign w:val="center"/>
          </w:tcPr>
          <w:p w14:paraId="5AD417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1次</w:t>
            </w:r>
          </w:p>
        </w:tc>
        <w:tc>
          <w:tcPr>
            <w:tcW w:w="755" w:type="dxa"/>
            <w:gridSpan w:val="2"/>
            <w:tcBorders>
              <w:top w:val="single" w:color="auto" w:sz="4" w:space="0"/>
              <w:left w:val="nil"/>
              <w:bottom w:val="single" w:color="auto" w:sz="4" w:space="0"/>
              <w:right w:val="single" w:color="000000" w:sz="4" w:space="0"/>
            </w:tcBorders>
            <w:vAlign w:val="center"/>
          </w:tcPr>
          <w:p w14:paraId="34C4EE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8BF21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F1CB72D">
            <w:pPr>
              <w:jc w:val="center"/>
              <w:rPr>
                <w:rFonts w:hint="eastAsia" w:ascii="宋体" w:hAnsi="宋体" w:eastAsia="宋体" w:cs="宋体"/>
                <w:color w:val="000000"/>
                <w:sz w:val="18"/>
                <w:szCs w:val="18"/>
              </w:rPr>
            </w:pPr>
          </w:p>
        </w:tc>
      </w:tr>
      <w:tr w14:paraId="73DD4F7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B931CB">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D7B243C">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2B2404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52BBAEF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鼠疫疫源地人间、动物间处置率%</w:t>
            </w:r>
          </w:p>
        </w:tc>
        <w:tc>
          <w:tcPr>
            <w:tcW w:w="1125" w:type="dxa"/>
            <w:tcBorders>
              <w:top w:val="nil"/>
              <w:left w:val="nil"/>
              <w:bottom w:val="single" w:color="auto" w:sz="4" w:space="0"/>
              <w:right w:val="single" w:color="auto" w:sz="4" w:space="0"/>
            </w:tcBorders>
            <w:vAlign w:val="center"/>
          </w:tcPr>
          <w:p w14:paraId="1DA7D6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14:paraId="4764C2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73077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E6AB8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09CFACF">
            <w:pPr>
              <w:jc w:val="center"/>
              <w:rPr>
                <w:rFonts w:hint="eastAsia" w:ascii="宋体" w:hAnsi="宋体" w:eastAsia="宋体" w:cs="宋体"/>
                <w:color w:val="000000"/>
                <w:sz w:val="18"/>
                <w:szCs w:val="18"/>
              </w:rPr>
            </w:pPr>
          </w:p>
        </w:tc>
      </w:tr>
      <w:tr w14:paraId="0905647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19436A7">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E5B98FA">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167F49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41ADFBA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传染病和突发公共卫生事件报告及时率</w:t>
            </w:r>
          </w:p>
        </w:tc>
        <w:tc>
          <w:tcPr>
            <w:tcW w:w="1125" w:type="dxa"/>
            <w:tcBorders>
              <w:top w:val="nil"/>
              <w:left w:val="nil"/>
              <w:bottom w:val="single" w:color="auto" w:sz="4" w:space="0"/>
              <w:right w:val="single" w:color="auto" w:sz="4" w:space="0"/>
            </w:tcBorders>
            <w:vAlign w:val="center"/>
          </w:tcPr>
          <w:p w14:paraId="6F2E97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3C16D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AE11A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473D5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4833B71">
            <w:pPr>
              <w:jc w:val="center"/>
              <w:rPr>
                <w:rFonts w:hint="eastAsia" w:ascii="宋体" w:hAnsi="宋体" w:eastAsia="宋体" w:cs="宋体"/>
                <w:color w:val="000000"/>
                <w:sz w:val="18"/>
                <w:szCs w:val="18"/>
              </w:rPr>
            </w:pPr>
          </w:p>
        </w:tc>
      </w:tr>
      <w:tr w14:paraId="33BEE2E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9C0477">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BE6A048">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5981BC7">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9DC4F1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全区监测单位完成时限</w:t>
            </w:r>
          </w:p>
        </w:tc>
        <w:tc>
          <w:tcPr>
            <w:tcW w:w="1125" w:type="dxa"/>
            <w:tcBorders>
              <w:top w:val="nil"/>
              <w:left w:val="nil"/>
              <w:bottom w:val="single" w:color="auto" w:sz="4" w:space="0"/>
              <w:right w:val="single" w:color="auto" w:sz="4" w:space="0"/>
            </w:tcBorders>
            <w:vAlign w:val="center"/>
          </w:tcPr>
          <w:p w14:paraId="704C90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2024年11月30日</w:t>
            </w:r>
          </w:p>
        </w:tc>
        <w:tc>
          <w:tcPr>
            <w:tcW w:w="1229" w:type="dxa"/>
            <w:tcBorders>
              <w:top w:val="nil"/>
              <w:left w:val="nil"/>
              <w:bottom w:val="single" w:color="auto" w:sz="4" w:space="0"/>
              <w:right w:val="single" w:color="auto" w:sz="4" w:space="0"/>
            </w:tcBorders>
            <w:vAlign w:val="center"/>
          </w:tcPr>
          <w:p w14:paraId="31CC35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2024年11月30日</w:t>
            </w:r>
          </w:p>
        </w:tc>
        <w:tc>
          <w:tcPr>
            <w:tcW w:w="755" w:type="dxa"/>
            <w:gridSpan w:val="2"/>
            <w:tcBorders>
              <w:top w:val="single" w:color="auto" w:sz="4" w:space="0"/>
              <w:left w:val="nil"/>
              <w:bottom w:val="single" w:color="auto" w:sz="4" w:space="0"/>
              <w:right w:val="single" w:color="000000" w:sz="4" w:space="0"/>
            </w:tcBorders>
            <w:vAlign w:val="center"/>
          </w:tcPr>
          <w:p w14:paraId="1151C6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F4E96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6DCA63F">
            <w:pPr>
              <w:jc w:val="center"/>
              <w:rPr>
                <w:rFonts w:hint="eastAsia" w:ascii="宋体" w:hAnsi="宋体" w:eastAsia="宋体" w:cs="宋体"/>
                <w:color w:val="000000"/>
                <w:sz w:val="18"/>
                <w:szCs w:val="18"/>
              </w:rPr>
            </w:pPr>
          </w:p>
        </w:tc>
      </w:tr>
      <w:tr w14:paraId="4FD7DA8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EC92E8">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7E8B1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63055A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57608F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提高人间鼠疫健康意识</w:t>
            </w:r>
          </w:p>
        </w:tc>
        <w:tc>
          <w:tcPr>
            <w:tcW w:w="1125" w:type="dxa"/>
            <w:tcBorders>
              <w:top w:val="nil"/>
              <w:left w:val="nil"/>
              <w:bottom w:val="single" w:color="auto" w:sz="4" w:space="0"/>
              <w:right w:val="single" w:color="auto" w:sz="4" w:space="0"/>
            </w:tcBorders>
            <w:vAlign w:val="center"/>
          </w:tcPr>
          <w:p w14:paraId="4472B9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4A0A7C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BEB30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68AC47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67AB2E1D">
            <w:pPr>
              <w:jc w:val="center"/>
              <w:rPr>
                <w:rFonts w:hint="eastAsia" w:ascii="宋体" w:hAnsi="宋体" w:eastAsia="宋体" w:cs="宋体"/>
                <w:color w:val="000000"/>
                <w:sz w:val="18"/>
                <w:szCs w:val="18"/>
              </w:rPr>
            </w:pPr>
          </w:p>
        </w:tc>
      </w:tr>
      <w:tr w14:paraId="6E8EB3D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B50212">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B86F1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0DE0BF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60F2FCE2">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1125" w:type="dxa"/>
            <w:tcBorders>
              <w:top w:val="nil"/>
              <w:left w:val="nil"/>
              <w:bottom w:val="single" w:color="auto" w:sz="4" w:space="0"/>
              <w:right w:val="single" w:color="auto" w:sz="4" w:space="0"/>
            </w:tcBorders>
            <w:vAlign w:val="center"/>
          </w:tcPr>
          <w:p w14:paraId="29D78C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6881C1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19B89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BCB14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430DDE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经过对服务对象的满意度调查，受教群众对我单位的鼠疫防治工作非常满意</w:t>
            </w:r>
          </w:p>
        </w:tc>
      </w:tr>
      <w:tr w14:paraId="4312151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48F86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17BC08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71D8A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508D0049">
            <w:pPr>
              <w:jc w:val="center"/>
              <w:rPr>
                <w:rFonts w:hint="eastAsia" w:ascii="宋体" w:hAnsi="宋体" w:eastAsia="宋体" w:cs="宋体"/>
                <w:b/>
                <w:bCs/>
                <w:color w:val="000000"/>
                <w:sz w:val="18"/>
                <w:szCs w:val="18"/>
              </w:rPr>
            </w:pPr>
          </w:p>
        </w:tc>
      </w:tr>
    </w:tbl>
    <w:p w14:paraId="741418E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1C0830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AA4D8A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9F236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1BCB9EC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乌财社【2023】266号中央财政基本公共卫生服务【直达资金】</w:t>
            </w:r>
          </w:p>
        </w:tc>
      </w:tr>
      <w:tr w14:paraId="2B13B42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FE404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D11121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米东区卫生健康委员会</w:t>
            </w:r>
          </w:p>
        </w:tc>
        <w:tc>
          <w:tcPr>
            <w:tcW w:w="1275" w:type="dxa"/>
            <w:gridSpan w:val="2"/>
            <w:tcBorders>
              <w:top w:val="nil"/>
              <w:left w:val="nil"/>
              <w:bottom w:val="single" w:color="auto" w:sz="4" w:space="0"/>
              <w:right w:val="single" w:color="000000" w:sz="4" w:space="0"/>
            </w:tcBorders>
            <w:vAlign w:val="center"/>
          </w:tcPr>
          <w:p w14:paraId="5E054B8E">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1E021E1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乌鲁木齐市米东区疾病预防控制中心</w:t>
            </w:r>
          </w:p>
        </w:tc>
      </w:tr>
      <w:tr w14:paraId="2B43306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134623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77F5E6E">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2A4F7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7D295B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BAF1A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D985C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7B2634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1C9C4D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37B02B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63FC65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FD8EC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028AA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50.60</w:t>
            </w:r>
          </w:p>
        </w:tc>
        <w:tc>
          <w:tcPr>
            <w:tcW w:w="1125" w:type="dxa"/>
            <w:tcBorders>
              <w:top w:val="nil"/>
              <w:left w:val="nil"/>
              <w:bottom w:val="single" w:color="auto" w:sz="4" w:space="0"/>
              <w:right w:val="single" w:color="auto" w:sz="4" w:space="0"/>
            </w:tcBorders>
            <w:noWrap/>
            <w:vAlign w:val="center"/>
          </w:tcPr>
          <w:p w14:paraId="6D0F4C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50.60</w:t>
            </w:r>
          </w:p>
        </w:tc>
        <w:tc>
          <w:tcPr>
            <w:tcW w:w="1275" w:type="dxa"/>
            <w:gridSpan w:val="2"/>
            <w:tcBorders>
              <w:top w:val="single" w:color="auto" w:sz="4" w:space="0"/>
              <w:left w:val="nil"/>
              <w:bottom w:val="single" w:color="auto" w:sz="4" w:space="0"/>
              <w:right w:val="single" w:color="000000" w:sz="4" w:space="0"/>
            </w:tcBorders>
            <w:noWrap/>
            <w:vAlign w:val="center"/>
          </w:tcPr>
          <w:p w14:paraId="3468B8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49.95</w:t>
            </w:r>
          </w:p>
        </w:tc>
        <w:tc>
          <w:tcPr>
            <w:tcW w:w="1134" w:type="dxa"/>
            <w:gridSpan w:val="2"/>
            <w:tcBorders>
              <w:top w:val="single" w:color="auto" w:sz="4" w:space="0"/>
              <w:left w:val="nil"/>
              <w:bottom w:val="single" w:color="auto" w:sz="4" w:space="0"/>
              <w:right w:val="single" w:color="auto" w:sz="4" w:space="0"/>
            </w:tcBorders>
            <w:vAlign w:val="center"/>
          </w:tcPr>
          <w:p w14:paraId="2C1E87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5001FA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98.72%</w:t>
            </w:r>
          </w:p>
        </w:tc>
        <w:tc>
          <w:tcPr>
            <w:tcW w:w="1275" w:type="dxa"/>
            <w:tcBorders>
              <w:top w:val="nil"/>
              <w:left w:val="nil"/>
              <w:bottom w:val="single" w:color="auto" w:sz="4" w:space="0"/>
              <w:right w:val="single" w:color="auto" w:sz="4" w:space="0"/>
            </w:tcBorders>
            <w:vAlign w:val="center"/>
          </w:tcPr>
          <w:p w14:paraId="7F36E8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9.87分</w:t>
            </w:r>
          </w:p>
        </w:tc>
      </w:tr>
      <w:tr w14:paraId="7CE605B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219092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5C600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277D94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50.60</w:t>
            </w:r>
          </w:p>
        </w:tc>
        <w:tc>
          <w:tcPr>
            <w:tcW w:w="1125" w:type="dxa"/>
            <w:tcBorders>
              <w:top w:val="nil"/>
              <w:left w:val="nil"/>
              <w:bottom w:val="single" w:color="auto" w:sz="4" w:space="0"/>
              <w:right w:val="single" w:color="auto" w:sz="4" w:space="0"/>
            </w:tcBorders>
            <w:noWrap/>
            <w:vAlign w:val="center"/>
          </w:tcPr>
          <w:p w14:paraId="6E7655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50.60</w:t>
            </w:r>
          </w:p>
        </w:tc>
        <w:tc>
          <w:tcPr>
            <w:tcW w:w="1275" w:type="dxa"/>
            <w:gridSpan w:val="2"/>
            <w:tcBorders>
              <w:top w:val="single" w:color="auto" w:sz="4" w:space="0"/>
              <w:left w:val="nil"/>
              <w:bottom w:val="single" w:color="auto" w:sz="4" w:space="0"/>
              <w:right w:val="single" w:color="000000" w:sz="4" w:space="0"/>
            </w:tcBorders>
            <w:noWrap/>
            <w:vAlign w:val="center"/>
          </w:tcPr>
          <w:p w14:paraId="174804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49.95</w:t>
            </w:r>
          </w:p>
        </w:tc>
        <w:tc>
          <w:tcPr>
            <w:tcW w:w="1134" w:type="dxa"/>
            <w:gridSpan w:val="2"/>
            <w:tcBorders>
              <w:top w:val="single" w:color="auto" w:sz="4" w:space="0"/>
              <w:left w:val="nil"/>
              <w:bottom w:val="single" w:color="auto" w:sz="4" w:space="0"/>
              <w:right w:val="single" w:color="auto" w:sz="4" w:space="0"/>
            </w:tcBorders>
            <w:vAlign w:val="center"/>
          </w:tcPr>
          <w:p w14:paraId="53C1AC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E8A42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F4453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F229C3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DA93DE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E2265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73A8A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351393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216F81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13B089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6C9B4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63280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84BD67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074A1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FFA41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767D9D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3E756F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EEA27DF">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1D709C8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通过继续加强职业病地方病，鼠疫防治，食品安全标准制定工作的质量，加强宣传次数，提高宣传效果，从而提高全区人员职业病，地方病等健康意识。</w:t>
            </w:r>
          </w:p>
        </w:tc>
        <w:tc>
          <w:tcPr>
            <w:tcW w:w="4677" w:type="dxa"/>
            <w:gridSpan w:val="7"/>
            <w:tcBorders>
              <w:top w:val="single" w:color="auto" w:sz="4" w:space="0"/>
              <w:left w:val="nil"/>
              <w:bottom w:val="single" w:color="auto" w:sz="4" w:space="0"/>
              <w:right w:val="single" w:color="000000" w:sz="4" w:space="0"/>
            </w:tcBorders>
          </w:tcPr>
          <w:p w14:paraId="436DCBB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全年实际完成鼠疫演练培训次数4次，举办人间鼠疫健康培训4次，传染病和突发公共卫生事件报告及时。</w:t>
            </w:r>
          </w:p>
        </w:tc>
      </w:tr>
      <w:tr w14:paraId="42143B41">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082A9CEA">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4E2907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37E7E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D3B06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26EB2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D1404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0DA600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1D0CF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E93CA8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A1F6BB1">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06F00FAC">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4CC3D73D">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55AE4835">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6DCE922">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33786EC1">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233C76BD">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C4E35ED">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233CB9D">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0B58B3C">
            <w:pPr>
              <w:rPr>
                <w:rFonts w:hint="eastAsia" w:ascii="宋体" w:hAnsi="宋体" w:eastAsia="宋体" w:cs="宋体"/>
                <w:color w:val="000000"/>
                <w:sz w:val="18"/>
                <w:szCs w:val="18"/>
                <w:lang w:eastAsia="zh-CN"/>
              </w:rPr>
            </w:pPr>
          </w:p>
        </w:tc>
      </w:tr>
      <w:tr w14:paraId="224B224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F7B5C0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F723B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3C66B3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71ED734">
            <w:pPr>
              <w:rPr>
                <w:rFonts w:hint="eastAsia" w:ascii="宋体" w:hAnsi="宋体" w:eastAsia="宋体" w:cs="宋体"/>
                <w:color w:val="000000"/>
                <w:sz w:val="18"/>
                <w:szCs w:val="18"/>
              </w:rPr>
            </w:pPr>
            <w:r>
              <w:rPr>
                <w:rFonts w:hint="eastAsia" w:ascii="宋体" w:hAnsi="宋体" w:eastAsia="宋体" w:cs="宋体"/>
                <w:color w:val="000000"/>
                <w:sz w:val="18"/>
                <w:szCs w:val="18"/>
              </w:rPr>
              <w:t>鼠疫演练培训次数</w:t>
            </w:r>
          </w:p>
        </w:tc>
        <w:tc>
          <w:tcPr>
            <w:tcW w:w="1125" w:type="dxa"/>
            <w:tcBorders>
              <w:top w:val="nil"/>
              <w:left w:val="nil"/>
              <w:bottom w:val="single" w:color="auto" w:sz="4" w:space="0"/>
              <w:right w:val="single" w:color="auto" w:sz="4" w:space="0"/>
            </w:tcBorders>
            <w:vAlign w:val="center"/>
          </w:tcPr>
          <w:p w14:paraId="7C822B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&gt;=4次</w:t>
            </w:r>
          </w:p>
        </w:tc>
        <w:tc>
          <w:tcPr>
            <w:tcW w:w="1229" w:type="dxa"/>
            <w:tcBorders>
              <w:top w:val="nil"/>
              <w:left w:val="nil"/>
              <w:bottom w:val="single" w:color="auto" w:sz="4" w:space="0"/>
              <w:right w:val="single" w:color="auto" w:sz="4" w:space="0"/>
            </w:tcBorders>
            <w:vAlign w:val="center"/>
          </w:tcPr>
          <w:p w14:paraId="58D331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5次</w:t>
            </w:r>
          </w:p>
        </w:tc>
        <w:tc>
          <w:tcPr>
            <w:tcW w:w="755" w:type="dxa"/>
            <w:gridSpan w:val="2"/>
            <w:tcBorders>
              <w:top w:val="single" w:color="auto" w:sz="4" w:space="0"/>
              <w:left w:val="nil"/>
              <w:bottom w:val="single" w:color="auto" w:sz="4" w:space="0"/>
              <w:right w:val="single" w:color="000000" w:sz="4" w:space="0"/>
            </w:tcBorders>
            <w:vAlign w:val="center"/>
          </w:tcPr>
          <w:p w14:paraId="0D1912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C8383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136B54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单位领导重视，积极联系各乡镇街道开展演练</w:t>
            </w:r>
          </w:p>
        </w:tc>
      </w:tr>
      <w:tr w14:paraId="2F54B29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DF4D71">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1F1665DD">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0CDA2F2E">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0E28A28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高血压患者规范管理数 （人次）</w:t>
            </w:r>
          </w:p>
        </w:tc>
        <w:tc>
          <w:tcPr>
            <w:tcW w:w="1125" w:type="dxa"/>
            <w:tcBorders>
              <w:top w:val="nil"/>
              <w:left w:val="nil"/>
              <w:bottom w:val="single" w:color="auto" w:sz="4" w:space="0"/>
              <w:right w:val="single" w:color="auto" w:sz="4" w:space="0"/>
            </w:tcBorders>
            <w:vAlign w:val="center"/>
          </w:tcPr>
          <w:p w14:paraId="5C2AA3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&gt;=12000人</w:t>
            </w:r>
          </w:p>
        </w:tc>
        <w:tc>
          <w:tcPr>
            <w:tcW w:w="1229" w:type="dxa"/>
            <w:tcBorders>
              <w:top w:val="nil"/>
              <w:left w:val="nil"/>
              <w:bottom w:val="single" w:color="auto" w:sz="4" w:space="0"/>
              <w:right w:val="single" w:color="auto" w:sz="4" w:space="0"/>
            </w:tcBorders>
            <w:vAlign w:val="center"/>
          </w:tcPr>
          <w:p w14:paraId="31D6EF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13508人</w:t>
            </w:r>
          </w:p>
        </w:tc>
        <w:tc>
          <w:tcPr>
            <w:tcW w:w="755" w:type="dxa"/>
            <w:gridSpan w:val="2"/>
            <w:tcBorders>
              <w:top w:val="single" w:color="auto" w:sz="4" w:space="0"/>
              <w:left w:val="nil"/>
              <w:bottom w:val="single" w:color="auto" w:sz="4" w:space="0"/>
              <w:right w:val="single" w:color="000000" w:sz="4" w:space="0"/>
            </w:tcBorders>
            <w:vAlign w:val="center"/>
          </w:tcPr>
          <w:p w14:paraId="368192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49B77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8D9835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人民群众的防病意识极强，生活条件好，发现的高血压病人增加，管理人数相应也增加</w:t>
            </w:r>
          </w:p>
        </w:tc>
      </w:tr>
      <w:tr w14:paraId="450A3AB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73A84A">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0B70E7DB">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13670789">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4FD5E3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举办人间鼠疫健康培训</w:t>
            </w:r>
          </w:p>
        </w:tc>
        <w:tc>
          <w:tcPr>
            <w:tcW w:w="1125" w:type="dxa"/>
            <w:tcBorders>
              <w:top w:val="nil"/>
              <w:left w:val="nil"/>
              <w:bottom w:val="single" w:color="auto" w:sz="4" w:space="0"/>
              <w:right w:val="single" w:color="auto" w:sz="4" w:space="0"/>
            </w:tcBorders>
            <w:vAlign w:val="center"/>
          </w:tcPr>
          <w:p w14:paraId="5597D9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&gt;=1次</w:t>
            </w:r>
          </w:p>
        </w:tc>
        <w:tc>
          <w:tcPr>
            <w:tcW w:w="1229" w:type="dxa"/>
            <w:tcBorders>
              <w:top w:val="nil"/>
              <w:left w:val="nil"/>
              <w:bottom w:val="single" w:color="auto" w:sz="4" w:space="0"/>
              <w:right w:val="single" w:color="auto" w:sz="4" w:space="0"/>
            </w:tcBorders>
            <w:vAlign w:val="center"/>
          </w:tcPr>
          <w:p w14:paraId="20421E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1次</w:t>
            </w:r>
          </w:p>
        </w:tc>
        <w:tc>
          <w:tcPr>
            <w:tcW w:w="755" w:type="dxa"/>
            <w:gridSpan w:val="2"/>
            <w:tcBorders>
              <w:top w:val="single" w:color="auto" w:sz="4" w:space="0"/>
              <w:left w:val="nil"/>
              <w:bottom w:val="single" w:color="auto" w:sz="4" w:space="0"/>
              <w:right w:val="single" w:color="000000" w:sz="4" w:space="0"/>
            </w:tcBorders>
            <w:vAlign w:val="center"/>
          </w:tcPr>
          <w:p w14:paraId="0EFD59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7591E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3B003AB">
            <w:pPr>
              <w:jc w:val="center"/>
              <w:rPr>
                <w:rFonts w:hint="eastAsia" w:ascii="宋体" w:hAnsi="宋体" w:eastAsia="宋体" w:cs="宋体"/>
                <w:color w:val="000000"/>
                <w:sz w:val="18"/>
                <w:szCs w:val="18"/>
              </w:rPr>
            </w:pPr>
          </w:p>
        </w:tc>
      </w:tr>
      <w:tr w14:paraId="6077D93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36DD30">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8A6F4A8">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0B029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0CEC72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val="en-US" w:eastAsia="zh-CN"/>
              </w:rPr>
              <w:t>传染</w:t>
            </w:r>
            <w:r>
              <w:rPr>
                <w:rFonts w:hint="eastAsia" w:ascii="宋体" w:hAnsi="宋体" w:eastAsia="宋体" w:cs="宋体"/>
                <w:color w:val="000000"/>
                <w:sz w:val="18"/>
                <w:szCs w:val="18"/>
                <w:lang w:eastAsia="zh-CN"/>
              </w:rPr>
              <w:t>病传染发病控制率</w:t>
            </w:r>
          </w:p>
        </w:tc>
        <w:tc>
          <w:tcPr>
            <w:tcW w:w="1125" w:type="dxa"/>
            <w:tcBorders>
              <w:top w:val="nil"/>
              <w:left w:val="nil"/>
              <w:bottom w:val="single" w:color="auto" w:sz="4" w:space="0"/>
              <w:right w:val="single" w:color="auto" w:sz="4" w:space="0"/>
            </w:tcBorders>
            <w:vAlign w:val="center"/>
          </w:tcPr>
          <w:p w14:paraId="77E7DB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657225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98.99%</w:t>
            </w:r>
          </w:p>
        </w:tc>
        <w:tc>
          <w:tcPr>
            <w:tcW w:w="755" w:type="dxa"/>
            <w:gridSpan w:val="2"/>
            <w:tcBorders>
              <w:top w:val="single" w:color="auto" w:sz="4" w:space="0"/>
              <w:left w:val="nil"/>
              <w:bottom w:val="single" w:color="auto" w:sz="4" w:space="0"/>
              <w:right w:val="single" w:color="000000" w:sz="4" w:space="0"/>
            </w:tcBorders>
            <w:vAlign w:val="center"/>
          </w:tcPr>
          <w:p w14:paraId="54A3BB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E6808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DA5952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对新发</w:t>
            </w:r>
            <w:r>
              <w:rPr>
                <w:rFonts w:hint="eastAsia" w:ascii="宋体" w:hAnsi="宋体" w:eastAsia="宋体" w:cs="宋体"/>
                <w:color w:val="000000"/>
                <w:sz w:val="18"/>
                <w:szCs w:val="18"/>
                <w:lang w:val="en-US" w:eastAsia="zh-CN"/>
              </w:rPr>
              <w:t>传染</w:t>
            </w:r>
            <w:r>
              <w:rPr>
                <w:rFonts w:hint="eastAsia" w:ascii="宋体" w:hAnsi="宋体" w:eastAsia="宋体" w:cs="宋体"/>
                <w:color w:val="000000"/>
                <w:sz w:val="18"/>
                <w:szCs w:val="18"/>
                <w:lang w:eastAsia="zh-CN"/>
              </w:rPr>
              <w:t>病人做到规范管理，没有遗漏HIV感染者及患者</w:t>
            </w:r>
          </w:p>
        </w:tc>
      </w:tr>
      <w:tr w14:paraId="363D7AB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F59B68">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66976555">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75110F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7FFC1BC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传染病和突发公共卫生事件报告及时率</w:t>
            </w:r>
          </w:p>
        </w:tc>
        <w:tc>
          <w:tcPr>
            <w:tcW w:w="1125" w:type="dxa"/>
            <w:tcBorders>
              <w:top w:val="nil"/>
              <w:left w:val="nil"/>
              <w:bottom w:val="single" w:color="auto" w:sz="4" w:space="0"/>
              <w:right w:val="single" w:color="auto" w:sz="4" w:space="0"/>
            </w:tcBorders>
            <w:vAlign w:val="center"/>
          </w:tcPr>
          <w:p w14:paraId="38B776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ED99E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0ABD1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B862E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1A94116">
            <w:pPr>
              <w:jc w:val="center"/>
              <w:rPr>
                <w:rFonts w:hint="eastAsia" w:ascii="宋体" w:hAnsi="宋体" w:eastAsia="宋体" w:cs="宋体"/>
                <w:color w:val="000000"/>
                <w:sz w:val="18"/>
                <w:szCs w:val="18"/>
              </w:rPr>
            </w:pPr>
          </w:p>
        </w:tc>
      </w:tr>
      <w:tr w14:paraId="661341C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D7A86C">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4EB303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3F6B73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6C21646D">
            <w:pPr>
              <w:rPr>
                <w:rFonts w:hint="eastAsia" w:ascii="宋体" w:hAnsi="宋体" w:eastAsia="宋体" w:cs="宋体"/>
                <w:color w:val="000000"/>
                <w:sz w:val="18"/>
                <w:szCs w:val="18"/>
              </w:rPr>
            </w:pPr>
            <w:r>
              <w:rPr>
                <w:rFonts w:hint="eastAsia" w:ascii="宋体" w:hAnsi="宋体" w:eastAsia="宋体" w:cs="宋体"/>
                <w:color w:val="000000"/>
                <w:sz w:val="18"/>
                <w:szCs w:val="18"/>
              </w:rPr>
              <w:t>保障人员健康率</w:t>
            </w:r>
          </w:p>
        </w:tc>
        <w:tc>
          <w:tcPr>
            <w:tcW w:w="1125" w:type="dxa"/>
            <w:tcBorders>
              <w:top w:val="nil"/>
              <w:left w:val="nil"/>
              <w:bottom w:val="single" w:color="auto" w:sz="4" w:space="0"/>
              <w:right w:val="single" w:color="auto" w:sz="4" w:space="0"/>
            </w:tcBorders>
            <w:vAlign w:val="center"/>
          </w:tcPr>
          <w:p w14:paraId="57BA6E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72BC84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B5E01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0BF9B9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77BC9B6">
            <w:pPr>
              <w:jc w:val="center"/>
              <w:rPr>
                <w:rFonts w:hint="eastAsia" w:ascii="宋体" w:hAnsi="宋体" w:eastAsia="宋体" w:cs="宋体"/>
                <w:color w:val="000000"/>
                <w:sz w:val="18"/>
                <w:szCs w:val="18"/>
              </w:rPr>
            </w:pPr>
          </w:p>
        </w:tc>
      </w:tr>
      <w:tr w14:paraId="755255F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9D9700">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7DC72AB">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443994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生态效益指标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4C3D8E0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鼠疫地绿地面积保有率（%）</w:t>
            </w:r>
          </w:p>
        </w:tc>
        <w:tc>
          <w:tcPr>
            <w:tcW w:w="1125" w:type="dxa"/>
            <w:tcBorders>
              <w:top w:val="nil"/>
              <w:left w:val="nil"/>
              <w:bottom w:val="single" w:color="auto" w:sz="4" w:space="0"/>
              <w:right w:val="single" w:color="auto" w:sz="4" w:space="0"/>
            </w:tcBorders>
            <w:vAlign w:val="center"/>
          </w:tcPr>
          <w:p w14:paraId="7C342F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1229" w:type="dxa"/>
            <w:tcBorders>
              <w:top w:val="nil"/>
              <w:left w:val="nil"/>
              <w:bottom w:val="single" w:color="auto" w:sz="4" w:space="0"/>
              <w:right w:val="single" w:color="auto" w:sz="4" w:space="0"/>
            </w:tcBorders>
            <w:vAlign w:val="center"/>
          </w:tcPr>
          <w:p w14:paraId="42A981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3A7F5C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ADF43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DC7BF81">
            <w:pPr>
              <w:jc w:val="center"/>
              <w:rPr>
                <w:rFonts w:hint="eastAsia" w:ascii="宋体" w:hAnsi="宋体" w:eastAsia="宋体" w:cs="宋体"/>
                <w:color w:val="000000"/>
                <w:sz w:val="18"/>
                <w:szCs w:val="18"/>
              </w:rPr>
            </w:pPr>
          </w:p>
        </w:tc>
      </w:tr>
      <w:tr w14:paraId="269839E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868F6D">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FA6B1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354352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077F382C">
            <w:pPr>
              <w:rPr>
                <w:rFonts w:hint="eastAsia" w:ascii="宋体" w:hAnsi="宋体" w:eastAsia="宋体" w:cs="宋体"/>
                <w:color w:val="000000"/>
                <w:sz w:val="18"/>
                <w:szCs w:val="18"/>
              </w:rPr>
            </w:pPr>
            <w:r>
              <w:rPr>
                <w:rFonts w:hint="eastAsia" w:ascii="宋体" w:hAnsi="宋体" w:eastAsia="宋体" w:cs="宋体"/>
                <w:color w:val="000000"/>
                <w:sz w:val="18"/>
                <w:szCs w:val="18"/>
              </w:rPr>
              <w:t>服务对象满意度（%）</w:t>
            </w:r>
          </w:p>
        </w:tc>
        <w:tc>
          <w:tcPr>
            <w:tcW w:w="1125" w:type="dxa"/>
            <w:tcBorders>
              <w:top w:val="nil"/>
              <w:left w:val="nil"/>
              <w:bottom w:val="single" w:color="auto" w:sz="4" w:space="0"/>
              <w:right w:val="single" w:color="auto" w:sz="4" w:space="0"/>
            </w:tcBorders>
            <w:vAlign w:val="center"/>
          </w:tcPr>
          <w:p w14:paraId="4E138C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6E560C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83.4%</w:t>
            </w:r>
          </w:p>
        </w:tc>
        <w:tc>
          <w:tcPr>
            <w:tcW w:w="755" w:type="dxa"/>
            <w:gridSpan w:val="2"/>
            <w:tcBorders>
              <w:top w:val="single" w:color="auto" w:sz="4" w:space="0"/>
              <w:left w:val="nil"/>
              <w:bottom w:val="single" w:color="auto" w:sz="4" w:space="0"/>
              <w:right w:val="single" w:color="000000" w:sz="4" w:space="0"/>
            </w:tcBorders>
            <w:vAlign w:val="center"/>
          </w:tcPr>
          <w:p w14:paraId="04EACF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B79F3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9.3</w:t>
            </w:r>
          </w:p>
        </w:tc>
        <w:tc>
          <w:tcPr>
            <w:tcW w:w="1984" w:type="dxa"/>
            <w:gridSpan w:val="2"/>
            <w:tcBorders>
              <w:top w:val="single" w:color="auto" w:sz="4" w:space="0"/>
              <w:left w:val="nil"/>
              <w:bottom w:val="single" w:color="auto" w:sz="4" w:space="0"/>
              <w:right w:val="single" w:color="auto" w:sz="4" w:space="0"/>
            </w:tcBorders>
            <w:vAlign w:val="center"/>
          </w:tcPr>
          <w:p w14:paraId="2D3898C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通过调查慢病服务对象满意度未达到预期，需各级医疗机构加大宣传力度，提高服务水平</w:t>
            </w:r>
          </w:p>
        </w:tc>
      </w:tr>
      <w:tr w14:paraId="3085DC2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2B3BD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4D8160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086396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99.17分</w:t>
            </w:r>
          </w:p>
        </w:tc>
        <w:tc>
          <w:tcPr>
            <w:tcW w:w="1984" w:type="dxa"/>
            <w:gridSpan w:val="2"/>
            <w:tcBorders>
              <w:top w:val="single" w:color="auto" w:sz="4" w:space="0"/>
              <w:left w:val="nil"/>
              <w:bottom w:val="single" w:color="auto" w:sz="4" w:space="0"/>
              <w:right w:val="single" w:color="auto" w:sz="4" w:space="0"/>
            </w:tcBorders>
            <w:vAlign w:val="center"/>
          </w:tcPr>
          <w:p w14:paraId="675C0BCE">
            <w:pPr>
              <w:jc w:val="center"/>
              <w:rPr>
                <w:rFonts w:hint="eastAsia" w:ascii="宋体" w:hAnsi="宋体" w:eastAsia="宋体" w:cs="宋体"/>
                <w:b/>
                <w:bCs/>
                <w:color w:val="000000"/>
                <w:sz w:val="18"/>
                <w:szCs w:val="18"/>
              </w:rPr>
            </w:pPr>
          </w:p>
        </w:tc>
      </w:tr>
    </w:tbl>
    <w:p w14:paraId="5ABCDC1A">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CD2557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551FDF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F8229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35C749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乌财社【2024】88号2024年中央重大公共卫生服务补助资金</w:t>
            </w:r>
          </w:p>
        </w:tc>
      </w:tr>
      <w:tr w14:paraId="70A34FE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D6A37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B2F94E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米东区卫生健康委员会</w:t>
            </w:r>
          </w:p>
        </w:tc>
        <w:tc>
          <w:tcPr>
            <w:tcW w:w="1275" w:type="dxa"/>
            <w:gridSpan w:val="2"/>
            <w:tcBorders>
              <w:top w:val="nil"/>
              <w:left w:val="nil"/>
              <w:bottom w:val="single" w:color="auto" w:sz="4" w:space="0"/>
              <w:right w:val="single" w:color="000000" w:sz="4" w:space="0"/>
            </w:tcBorders>
            <w:vAlign w:val="center"/>
          </w:tcPr>
          <w:p w14:paraId="07BD2306">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78C2BF0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乌鲁木齐市米东区疾病预防控制中心</w:t>
            </w:r>
          </w:p>
        </w:tc>
      </w:tr>
      <w:tr w14:paraId="261EB58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8F759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EBBD30A">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00121D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41D8DE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86B8C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6A5AF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2DA81F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79FD3F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E45A20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DB42A61">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02F5C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69A2D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74.54</w:t>
            </w:r>
          </w:p>
        </w:tc>
        <w:tc>
          <w:tcPr>
            <w:tcW w:w="1125" w:type="dxa"/>
            <w:tcBorders>
              <w:top w:val="nil"/>
              <w:left w:val="nil"/>
              <w:bottom w:val="single" w:color="auto" w:sz="4" w:space="0"/>
              <w:right w:val="single" w:color="auto" w:sz="4" w:space="0"/>
            </w:tcBorders>
            <w:noWrap/>
            <w:vAlign w:val="center"/>
          </w:tcPr>
          <w:p w14:paraId="70D225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74.54</w:t>
            </w:r>
          </w:p>
        </w:tc>
        <w:tc>
          <w:tcPr>
            <w:tcW w:w="1275" w:type="dxa"/>
            <w:gridSpan w:val="2"/>
            <w:tcBorders>
              <w:top w:val="single" w:color="auto" w:sz="4" w:space="0"/>
              <w:left w:val="nil"/>
              <w:bottom w:val="single" w:color="auto" w:sz="4" w:space="0"/>
              <w:right w:val="single" w:color="000000" w:sz="4" w:space="0"/>
            </w:tcBorders>
            <w:noWrap/>
            <w:vAlign w:val="center"/>
          </w:tcPr>
          <w:p w14:paraId="6EB686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66.38</w:t>
            </w:r>
          </w:p>
        </w:tc>
        <w:tc>
          <w:tcPr>
            <w:tcW w:w="1134" w:type="dxa"/>
            <w:gridSpan w:val="2"/>
            <w:tcBorders>
              <w:top w:val="single" w:color="auto" w:sz="4" w:space="0"/>
              <w:left w:val="nil"/>
              <w:bottom w:val="single" w:color="auto" w:sz="4" w:space="0"/>
              <w:right w:val="single" w:color="auto" w:sz="4" w:space="0"/>
            </w:tcBorders>
            <w:vAlign w:val="center"/>
          </w:tcPr>
          <w:p w14:paraId="220AA2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15A00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89.05%</w:t>
            </w:r>
          </w:p>
        </w:tc>
        <w:tc>
          <w:tcPr>
            <w:tcW w:w="1275" w:type="dxa"/>
            <w:tcBorders>
              <w:top w:val="nil"/>
              <w:left w:val="nil"/>
              <w:bottom w:val="single" w:color="auto" w:sz="4" w:space="0"/>
              <w:right w:val="single" w:color="auto" w:sz="4" w:space="0"/>
            </w:tcBorders>
            <w:vAlign w:val="center"/>
          </w:tcPr>
          <w:p w14:paraId="25203D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8.91分</w:t>
            </w:r>
          </w:p>
        </w:tc>
      </w:tr>
      <w:tr w14:paraId="32C6C9F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EB5261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7477F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BB00E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74.54</w:t>
            </w:r>
          </w:p>
        </w:tc>
        <w:tc>
          <w:tcPr>
            <w:tcW w:w="1125" w:type="dxa"/>
            <w:tcBorders>
              <w:top w:val="nil"/>
              <w:left w:val="nil"/>
              <w:bottom w:val="single" w:color="auto" w:sz="4" w:space="0"/>
              <w:right w:val="single" w:color="auto" w:sz="4" w:space="0"/>
            </w:tcBorders>
            <w:noWrap/>
            <w:vAlign w:val="center"/>
          </w:tcPr>
          <w:p w14:paraId="15E677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74.54</w:t>
            </w:r>
          </w:p>
        </w:tc>
        <w:tc>
          <w:tcPr>
            <w:tcW w:w="1275" w:type="dxa"/>
            <w:gridSpan w:val="2"/>
            <w:tcBorders>
              <w:top w:val="single" w:color="auto" w:sz="4" w:space="0"/>
              <w:left w:val="nil"/>
              <w:bottom w:val="single" w:color="auto" w:sz="4" w:space="0"/>
              <w:right w:val="single" w:color="000000" w:sz="4" w:space="0"/>
            </w:tcBorders>
            <w:noWrap/>
            <w:vAlign w:val="center"/>
          </w:tcPr>
          <w:p w14:paraId="72CDEC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66.38</w:t>
            </w:r>
          </w:p>
        </w:tc>
        <w:tc>
          <w:tcPr>
            <w:tcW w:w="1134" w:type="dxa"/>
            <w:gridSpan w:val="2"/>
            <w:tcBorders>
              <w:top w:val="single" w:color="auto" w:sz="4" w:space="0"/>
              <w:left w:val="nil"/>
              <w:bottom w:val="single" w:color="auto" w:sz="4" w:space="0"/>
              <w:right w:val="single" w:color="auto" w:sz="4" w:space="0"/>
            </w:tcBorders>
            <w:vAlign w:val="center"/>
          </w:tcPr>
          <w:p w14:paraId="235E58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8FDDE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8B9B9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7B3BDE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9DC097D">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B098E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CB867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38E1F7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1471EB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5BD83E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F0FC6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730EA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186781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B2201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0E8A51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424802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DA718C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BEAB1B0">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128EAF5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通过开展我区结核病检测，慢性病工作检测，保障我区2024年中央重大公共卫生服务有效开展，构建“预防为主”的公共卫生体系，降低传染病风险，提升全民健康素养，最终实现健康公平与健康中国战略目标。</w:t>
            </w:r>
          </w:p>
        </w:tc>
        <w:tc>
          <w:tcPr>
            <w:tcW w:w="4677" w:type="dxa"/>
            <w:gridSpan w:val="7"/>
            <w:tcBorders>
              <w:top w:val="single" w:color="auto" w:sz="4" w:space="0"/>
              <w:left w:val="nil"/>
              <w:bottom w:val="single" w:color="auto" w:sz="4" w:space="0"/>
              <w:right w:val="single" w:color="000000" w:sz="4" w:space="0"/>
            </w:tcBorders>
          </w:tcPr>
          <w:p w14:paraId="1B5464E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有效控制了肺结核等管理率，提升全民健康素养，最终实现健康公平与健康中国战略目标，降低传染病风险。</w:t>
            </w:r>
          </w:p>
        </w:tc>
      </w:tr>
      <w:tr w14:paraId="4AB6D46B">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4E7B6B2D">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6995D4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B7D28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22A18F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9C4CF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6B29F6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FB93E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3B7B5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CE1752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A8CD15B">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506C9892">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30C561AA">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5AFAD1D">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8FFD9E4">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68717400">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178FAFCB">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33E1705">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CD9BBCB">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370C580">
            <w:pPr>
              <w:rPr>
                <w:rFonts w:hint="eastAsia" w:ascii="宋体" w:hAnsi="宋体" w:eastAsia="宋体" w:cs="宋体"/>
                <w:color w:val="000000"/>
                <w:sz w:val="18"/>
                <w:szCs w:val="18"/>
                <w:lang w:eastAsia="zh-CN"/>
              </w:rPr>
            </w:pPr>
          </w:p>
        </w:tc>
      </w:tr>
      <w:tr w14:paraId="0CEE5B8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612099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A4C11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3D6B2A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CBED034">
            <w:pPr>
              <w:rPr>
                <w:rFonts w:hint="eastAsia" w:ascii="宋体" w:hAnsi="宋体" w:eastAsia="宋体" w:cs="宋体"/>
                <w:color w:val="000000"/>
                <w:sz w:val="18"/>
                <w:szCs w:val="18"/>
              </w:rPr>
            </w:pPr>
            <w:r>
              <w:rPr>
                <w:rFonts w:hint="eastAsia" w:ascii="宋体" w:hAnsi="宋体" w:eastAsia="宋体" w:cs="宋体"/>
                <w:color w:val="000000"/>
                <w:sz w:val="18"/>
                <w:szCs w:val="18"/>
              </w:rPr>
              <w:t>肺结核患者治疗人数</w:t>
            </w:r>
          </w:p>
        </w:tc>
        <w:tc>
          <w:tcPr>
            <w:tcW w:w="1125" w:type="dxa"/>
            <w:tcBorders>
              <w:top w:val="nil"/>
              <w:left w:val="nil"/>
              <w:bottom w:val="single" w:color="auto" w:sz="4" w:space="0"/>
              <w:right w:val="single" w:color="auto" w:sz="4" w:space="0"/>
            </w:tcBorders>
            <w:vAlign w:val="center"/>
          </w:tcPr>
          <w:p w14:paraId="3AB7BE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=700人</w:t>
            </w:r>
          </w:p>
        </w:tc>
        <w:tc>
          <w:tcPr>
            <w:tcW w:w="1229" w:type="dxa"/>
            <w:tcBorders>
              <w:top w:val="nil"/>
              <w:left w:val="nil"/>
              <w:bottom w:val="single" w:color="auto" w:sz="4" w:space="0"/>
              <w:right w:val="single" w:color="auto" w:sz="4" w:space="0"/>
            </w:tcBorders>
            <w:vAlign w:val="center"/>
          </w:tcPr>
          <w:p w14:paraId="1EF06C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750人</w:t>
            </w:r>
          </w:p>
        </w:tc>
        <w:tc>
          <w:tcPr>
            <w:tcW w:w="755" w:type="dxa"/>
            <w:gridSpan w:val="2"/>
            <w:tcBorders>
              <w:top w:val="single" w:color="auto" w:sz="4" w:space="0"/>
              <w:left w:val="nil"/>
              <w:bottom w:val="single" w:color="auto" w:sz="4" w:space="0"/>
              <w:right w:val="single" w:color="000000" w:sz="4" w:space="0"/>
            </w:tcBorders>
            <w:vAlign w:val="center"/>
          </w:tcPr>
          <w:p w14:paraId="369A34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1283B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0DF015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通过无结核社区的创建，积极发现结核病人，因此结核病人数有所增加。</w:t>
            </w:r>
          </w:p>
        </w:tc>
      </w:tr>
      <w:tr w14:paraId="3E921A9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796EDA">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0E0EDCA1">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162CBC1E">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A2F6682">
            <w:pPr>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传染</w:t>
            </w:r>
            <w:r>
              <w:rPr>
                <w:rFonts w:hint="eastAsia" w:ascii="宋体" w:hAnsi="宋体" w:eastAsia="宋体" w:cs="宋体"/>
                <w:color w:val="000000"/>
                <w:sz w:val="18"/>
                <w:szCs w:val="18"/>
              </w:rPr>
              <w:t>病患者管理率</w:t>
            </w:r>
          </w:p>
        </w:tc>
        <w:tc>
          <w:tcPr>
            <w:tcW w:w="1125" w:type="dxa"/>
            <w:tcBorders>
              <w:top w:val="nil"/>
              <w:left w:val="nil"/>
              <w:bottom w:val="single" w:color="auto" w:sz="4" w:space="0"/>
              <w:right w:val="single" w:color="auto" w:sz="4" w:space="0"/>
            </w:tcBorders>
            <w:vAlign w:val="center"/>
          </w:tcPr>
          <w:p w14:paraId="0FC0C3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&gt;=85%</w:t>
            </w:r>
          </w:p>
        </w:tc>
        <w:tc>
          <w:tcPr>
            <w:tcW w:w="1229" w:type="dxa"/>
            <w:tcBorders>
              <w:top w:val="nil"/>
              <w:left w:val="nil"/>
              <w:bottom w:val="single" w:color="auto" w:sz="4" w:space="0"/>
              <w:right w:val="single" w:color="auto" w:sz="4" w:space="0"/>
            </w:tcBorders>
            <w:vAlign w:val="center"/>
          </w:tcPr>
          <w:p w14:paraId="7651FB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98.99%</w:t>
            </w:r>
          </w:p>
        </w:tc>
        <w:tc>
          <w:tcPr>
            <w:tcW w:w="755" w:type="dxa"/>
            <w:gridSpan w:val="2"/>
            <w:tcBorders>
              <w:top w:val="single" w:color="auto" w:sz="4" w:space="0"/>
              <w:left w:val="nil"/>
              <w:bottom w:val="single" w:color="auto" w:sz="4" w:space="0"/>
              <w:right w:val="single" w:color="000000" w:sz="4" w:space="0"/>
            </w:tcBorders>
            <w:vAlign w:val="center"/>
          </w:tcPr>
          <w:p w14:paraId="429EA5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B83A1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022BD5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通过加强</w:t>
            </w: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的网报，及时发现病人，提高了患者的管理率</w:t>
            </w:r>
          </w:p>
        </w:tc>
      </w:tr>
      <w:tr w14:paraId="71BF9D3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397449">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6D26021D">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47671B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F9992C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肺结核患者治疗成功率</w:t>
            </w:r>
          </w:p>
        </w:tc>
        <w:tc>
          <w:tcPr>
            <w:tcW w:w="1125" w:type="dxa"/>
            <w:tcBorders>
              <w:top w:val="nil"/>
              <w:left w:val="nil"/>
              <w:bottom w:val="single" w:color="auto" w:sz="4" w:space="0"/>
              <w:right w:val="single" w:color="auto" w:sz="4" w:space="0"/>
            </w:tcBorders>
            <w:vAlign w:val="center"/>
          </w:tcPr>
          <w:p w14:paraId="710C89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&gt;=93.58%</w:t>
            </w:r>
          </w:p>
        </w:tc>
        <w:tc>
          <w:tcPr>
            <w:tcW w:w="1229" w:type="dxa"/>
            <w:tcBorders>
              <w:top w:val="nil"/>
              <w:left w:val="nil"/>
              <w:bottom w:val="single" w:color="auto" w:sz="4" w:space="0"/>
              <w:right w:val="single" w:color="auto" w:sz="4" w:space="0"/>
            </w:tcBorders>
            <w:vAlign w:val="center"/>
          </w:tcPr>
          <w:p w14:paraId="7C7A7B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95.59%</w:t>
            </w:r>
          </w:p>
        </w:tc>
        <w:tc>
          <w:tcPr>
            <w:tcW w:w="755" w:type="dxa"/>
            <w:gridSpan w:val="2"/>
            <w:tcBorders>
              <w:top w:val="single" w:color="auto" w:sz="4" w:space="0"/>
              <w:left w:val="nil"/>
              <w:bottom w:val="single" w:color="auto" w:sz="4" w:space="0"/>
              <w:right w:val="single" w:color="000000" w:sz="4" w:space="0"/>
            </w:tcBorders>
            <w:vAlign w:val="center"/>
          </w:tcPr>
          <w:p w14:paraId="495C2E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00DE2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B040DE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随着医学水平的提高和人民生活水平的提高，肺结核病人的治疗成功率也在不断的提升。</w:t>
            </w:r>
          </w:p>
        </w:tc>
      </w:tr>
      <w:tr w14:paraId="0E19C60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2A552E">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1886979D">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5FC338FD">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3B2C72D3">
            <w:pPr>
              <w:rPr>
                <w:rFonts w:hint="eastAsia" w:ascii="宋体" w:hAnsi="宋体" w:eastAsia="宋体" w:cs="宋体"/>
                <w:color w:val="000000"/>
                <w:sz w:val="18"/>
                <w:szCs w:val="18"/>
              </w:rPr>
            </w:pPr>
            <w:r>
              <w:rPr>
                <w:rFonts w:hint="eastAsia" w:ascii="宋体" w:hAnsi="宋体" w:eastAsia="宋体" w:cs="宋体"/>
                <w:color w:val="000000"/>
                <w:sz w:val="18"/>
                <w:szCs w:val="18"/>
              </w:rPr>
              <w:t>肺结核健康管理率</w:t>
            </w:r>
          </w:p>
        </w:tc>
        <w:tc>
          <w:tcPr>
            <w:tcW w:w="1125" w:type="dxa"/>
            <w:tcBorders>
              <w:top w:val="nil"/>
              <w:left w:val="nil"/>
              <w:bottom w:val="single" w:color="auto" w:sz="4" w:space="0"/>
              <w:right w:val="single" w:color="auto" w:sz="4" w:space="0"/>
            </w:tcBorders>
            <w:vAlign w:val="center"/>
          </w:tcPr>
          <w:p w14:paraId="2AD4B8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14:paraId="5504CE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2AF13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D0399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DA583F9">
            <w:pPr>
              <w:jc w:val="center"/>
              <w:rPr>
                <w:rFonts w:hint="eastAsia" w:ascii="宋体" w:hAnsi="宋体" w:eastAsia="宋体" w:cs="宋体"/>
                <w:color w:val="000000"/>
                <w:sz w:val="18"/>
                <w:szCs w:val="18"/>
              </w:rPr>
            </w:pPr>
          </w:p>
        </w:tc>
      </w:tr>
      <w:tr w14:paraId="28EA75E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7946600">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D5843BD">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551EBF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5C3A2AA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传染病和突发公共卫生事件报告及时率</w:t>
            </w:r>
          </w:p>
        </w:tc>
        <w:tc>
          <w:tcPr>
            <w:tcW w:w="1125" w:type="dxa"/>
            <w:tcBorders>
              <w:top w:val="nil"/>
              <w:left w:val="nil"/>
              <w:bottom w:val="single" w:color="auto" w:sz="4" w:space="0"/>
              <w:right w:val="single" w:color="auto" w:sz="4" w:space="0"/>
            </w:tcBorders>
            <w:vAlign w:val="center"/>
          </w:tcPr>
          <w:p w14:paraId="67D2D8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及时有效</w:t>
            </w:r>
          </w:p>
        </w:tc>
        <w:tc>
          <w:tcPr>
            <w:tcW w:w="1229" w:type="dxa"/>
            <w:tcBorders>
              <w:top w:val="nil"/>
              <w:left w:val="nil"/>
              <w:bottom w:val="single" w:color="auto" w:sz="4" w:space="0"/>
              <w:right w:val="single" w:color="auto" w:sz="4" w:space="0"/>
            </w:tcBorders>
            <w:vAlign w:val="center"/>
          </w:tcPr>
          <w:p w14:paraId="760D4D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3CF41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2F9C2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F2D0926">
            <w:pPr>
              <w:jc w:val="center"/>
              <w:rPr>
                <w:rFonts w:hint="eastAsia" w:ascii="宋体" w:hAnsi="宋体" w:eastAsia="宋体" w:cs="宋体"/>
                <w:color w:val="000000"/>
                <w:sz w:val="18"/>
                <w:szCs w:val="18"/>
              </w:rPr>
            </w:pPr>
          </w:p>
        </w:tc>
      </w:tr>
      <w:tr w14:paraId="32B4D49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9AD5DEB">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8E014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39646F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27FE07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有效降低了结核病患者增长率</w:t>
            </w:r>
          </w:p>
        </w:tc>
        <w:tc>
          <w:tcPr>
            <w:tcW w:w="1125" w:type="dxa"/>
            <w:tcBorders>
              <w:top w:val="nil"/>
              <w:left w:val="nil"/>
              <w:bottom w:val="single" w:color="auto" w:sz="4" w:space="0"/>
              <w:right w:val="single" w:color="auto" w:sz="4" w:space="0"/>
            </w:tcBorders>
            <w:vAlign w:val="center"/>
          </w:tcPr>
          <w:p w14:paraId="40FB8A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有效降低</w:t>
            </w:r>
          </w:p>
        </w:tc>
        <w:tc>
          <w:tcPr>
            <w:tcW w:w="1229" w:type="dxa"/>
            <w:tcBorders>
              <w:top w:val="nil"/>
              <w:left w:val="nil"/>
              <w:bottom w:val="single" w:color="auto" w:sz="4" w:space="0"/>
              <w:right w:val="single" w:color="auto" w:sz="4" w:space="0"/>
            </w:tcBorders>
            <w:vAlign w:val="center"/>
          </w:tcPr>
          <w:p w14:paraId="2E12D9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89225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40F5F3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182AC24F">
            <w:pPr>
              <w:jc w:val="center"/>
              <w:rPr>
                <w:rFonts w:hint="eastAsia" w:ascii="宋体" w:hAnsi="宋体" w:eastAsia="宋体" w:cs="宋体"/>
                <w:color w:val="000000"/>
                <w:sz w:val="18"/>
                <w:szCs w:val="18"/>
              </w:rPr>
            </w:pPr>
          </w:p>
        </w:tc>
      </w:tr>
      <w:tr w14:paraId="462E2E5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A53EC3">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C61DD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0E9C3D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3E143F09">
            <w:pPr>
              <w:rPr>
                <w:rFonts w:hint="eastAsia" w:ascii="宋体" w:hAnsi="宋体" w:eastAsia="宋体" w:cs="宋体"/>
                <w:color w:val="000000"/>
                <w:sz w:val="18"/>
                <w:szCs w:val="18"/>
              </w:rPr>
            </w:pPr>
            <w:r>
              <w:rPr>
                <w:rFonts w:hint="eastAsia" w:ascii="宋体" w:hAnsi="宋体" w:eastAsia="宋体" w:cs="宋体"/>
                <w:color w:val="000000"/>
                <w:sz w:val="18"/>
                <w:szCs w:val="18"/>
              </w:rPr>
              <w:t>服务对象满意度（%）</w:t>
            </w:r>
          </w:p>
        </w:tc>
        <w:tc>
          <w:tcPr>
            <w:tcW w:w="1125" w:type="dxa"/>
            <w:tcBorders>
              <w:top w:val="nil"/>
              <w:left w:val="nil"/>
              <w:bottom w:val="single" w:color="auto" w:sz="4" w:space="0"/>
              <w:right w:val="single" w:color="auto" w:sz="4" w:space="0"/>
            </w:tcBorders>
            <w:vAlign w:val="center"/>
          </w:tcPr>
          <w:p w14:paraId="07483E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095F0A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1C760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06DBA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85C215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我单位收集20份满意度调查表，结果均为满意，因此满意度为100%</w:t>
            </w:r>
          </w:p>
        </w:tc>
      </w:tr>
      <w:tr w14:paraId="2635586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E4295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46C073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67D1D4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98.91分</w:t>
            </w:r>
          </w:p>
        </w:tc>
        <w:tc>
          <w:tcPr>
            <w:tcW w:w="1984" w:type="dxa"/>
            <w:gridSpan w:val="2"/>
            <w:tcBorders>
              <w:top w:val="single" w:color="auto" w:sz="4" w:space="0"/>
              <w:left w:val="nil"/>
              <w:bottom w:val="single" w:color="auto" w:sz="4" w:space="0"/>
              <w:right w:val="single" w:color="auto" w:sz="4" w:space="0"/>
            </w:tcBorders>
            <w:vAlign w:val="center"/>
          </w:tcPr>
          <w:p w14:paraId="253C26F9">
            <w:pPr>
              <w:jc w:val="center"/>
              <w:rPr>
                <w:rFonts w:hint="eastAsia" w:ascii="宋体" w:hAnsi="宋体" w:eastAsia="宋体" w:cs="宋体"/>
                <w:b/>
                <w:bCs/>
                <w:color w:val="000000"/>
                <w:sz w:val="18"/>
                <w:szCs w:val="18"/>
              </w:rPr>
            </w:pPr>
          </w:p>
        </w:tc>
      </w:tr>
    </w:tbl>
    <w:p w14:paraId="5E27EE97">
      <w:pPr>
        <w:rPr>
          <w:rFonts w:hint="eastAsia" w:ascii="宋体" w:hAnsi="宋体" w:eastAsia="宋体" w:cs="宋体"/>
          <w:b/>
          <w:bCs/>
          <w:sz w:val="18"/>
          <w:szCs w:val="18"/>
          <w:lang w:eastAsia="zh-CN"/>
        </w:rPr>
      </w:pPr>
    </w:p>
    <w:p w14:paraId="15A022E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2E6FB69A">
      <w:pPr>
        <w:spacing w:after="0" w:line="240" w:lineRule="auto"/>
        <w:ind w:firstLine="640" w:firstLineChars="200"/>
        <w:jc w:val="both"/>
        <w:rPr>
          <w:rFonts w:hint="eastAsia" w:ascii="仿宋_GB2312" w:eastAsia="仿宋_GB2312"/>
          <w:sz w:val="32"/>
          <w:szCs w:val="32"/>
          <w:lang w:eastAsia="zh-CN"/>
        </w:rPr>
      </w:pPr>
      <w:bookmarkStart w:id="13" w:name="_Hlk207053964"/>
      <w:r>
        <w:rPr>
          <w:rFonts w:hint="eastAsia" w:ascii="仿宋_GB2312" w:eastAsia="仿宋_GB2312"/>
          <w:sz w:val="32"/>
          <w:szCs w:val="32"/>
          <w:lang w:eastAsia="zh-CN"/>
        </w:rPr>
        <w:t>我单位2024年度无政府采购支出，授予中小企业合同金额0.00万元</w:t>
      </w:r>
      <w:bookmarkEnd w:id="13"/>
      <w:r>
        <w:rPr>
          <w:rFonts w:ascii="仿宋_GB2312" w:eastAsia="仿宋_GB2312"/>
          <w:sz w:val="32"/>
          <w:szCs w:val="32"/>
          <w:lang w:eastAsia="zh-CN"/>
        </w:rPr>
        <w:t>。</w:t>
      </w:r>
    </w:p>
    <w:p w14:paraId="74C7D2F5">
      <w:pPr>
        <w:rPr>
          <w:rFonts w:hint="eastAsia"/>
          <w:lang w:eastAsia="zh-CN"/>
        </w:rPr>
      </w:pPr>
      <w:r>
        <w:rPr>
          <w:sz w:val="0"/>
          <w:szCs w:val="0"/>
          <w:lang w:eastAsia="zh-CN"/>
        </w:rPr>
        <w:br w:type="page"/>
      </w:r>
    </w:p>
    <w:p w14:paraId="577B275F">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5080146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1A05D1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5A071E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C7242D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7CBB76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28CEF3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494C087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442F63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2DF4A8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10DE2F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6DB111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406063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BB3FDF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FEDE6B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6D64596">
      <w:pPr>
        <w:rPr>
          <w:rFonts w:hint="eastAsia"/>
          <w:lang w:eastAsia="zh-CN"/>
        </w:rPr>
      </w:pPr>
      <w:r>
        <w:rPr>
          <w:sz w:val="0"/>
          <w:szCs w:val="0"/>
          <w:lang w:eastAsia="zh-CN"/>
        </w:rPr>
        <w:br w:type="page"/>
      </w:r>
    </w:p>
    <w:p w14:paraId="102AAECD">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598A83D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61BF063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508E3FE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33178AE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3814401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1F43129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8AF6FF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FC7404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3B53C50">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084B31"/>
    <w:rsid w:val="0006742A"/>
    <w:rsid w:val="00084B31"/>
    <w:rsid w:val="001A3C3A"/>
    <w:rsid w:val="00361D98"/>
    <w:rsid w:val="007F0AF2"/>
    <w:rsid w:val="00CD0E3D"/>
    <w:rsid w:val="00E105A5"/>
    <w:rsid w:val="249F5477"/>
    <w:rsid w:val="6DEB5739"/>
    <w:rsid w:val="751A3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widowControl w:val="0"/>
      <w:tabs>
        <w:tab w:val="center" w:pos="4153"/>
        <w:tab w:val="right" w:pos="8306"/>
      </w:tabs>
      <w:snapToGrid w:val="0"/>
      <w:spacing w:after="0" w:line="240" w:lineRule="auto"/>
    </w:pPr>
    <w:rPr>
      <w:kern w:val="2"/>
      <w:sz w:val="18"/>
      <w:szCs w:val="18"/>
      <w:lang w:eastAsia="zh-CN"/>
      <w14:ligatures w14:val="standardContextual"/>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kern w:val="2"/>
      <w:sz w:val="18"/>
      <w:szCs w:val="18"/>
      <w:lang w:eastAsia="zh-CN"/>
      <w14:ligatures w14:val="standardContextual"/>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32</Pages>
  <Words>7248</Words>
  <Characters>8391</Characters>
  <Lines>1327</Lines>
  <Paragraphs>1017</Paragraphs>
  <TotalTime>43</TotalTime>
  <ScaleCrop>false</ScaleCrop>
  <LinksUpToDate>false</LinksUpToDate>
  <CharactersWithSpaces>8399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2025-10-09T02:46:00Z</dcterms:created>
  <dc:creator>回上.LAPTOP-7R4U860U</dc:creator>
  <cp:lastModifiedBy>谢凤</cp:lastModifiedBy>
  <dcterms:modified xsi:type="dcterms:W3CDTF">2025-11-17T10:08:03Z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eyJoZGlkIjoiMWExYjI5YmI4NTg2YzA1MWY0Y2ZkOGYyMDM2NmExMGEiLCJ1c2VySWQiOiIxMTk3MDAxNzMxIn0=</vt:lpwstr>
  </property>
  <property fmtid="{D5CDD505-2E9C-101B-9397-08002B2CF9AE}" pid="4" name="ICV">
    <vt:lpwstr>D676921126B148CBA1C800B920C6217E_12</vt:lpwstr>
  </property>
</Properties>
</file>