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FF31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16595DAA">
      <w:pPr>
        <w:spacing w:line="540" w:lineRule="exact"/>
        <w:jc w:val="center"/>
        <w:rPr>
          <w:rFonts w:ascii="华文中宋" w:hAnsi="华文中宋" w:eastAsia="华文中宋" w:cs="宋体"/>
          <w:b/>
          <w:kern w:val="0"/>
          <w:sz w:val="52"/>
          <w:szCs w:val="52"/>
        </w:rPr>
      </w:pPr>
    </w:p>
    <w:p w14:paraId="514FC9F0">
      <w:pPr>
        <w:spacing w:line="540" w:lineRule="exact"/>
        <w:jc w:val="center"/>
        <w:rPr>
          <w:rFonts w:ascii="华文中宋" w:hAnsi="华文中宋" w:eastAsia="华文中宋" w:cs="宋体"/>
          <w:b/>
          <w:kern w:val="0"/>
          <w:sz w:val="52"/>
          <w:szCs w:val="52"/>
        </w:rPr>
      </w:pPr>
    </w:p>
    <w:p w14:paraId="09FF360F">
      <w:pPr>
        <w:spacing w:line="540" w:lineRule="exact"/>
        <w:jc w:val="center"/>
        <w:rPr>
          <w:rFonts w:ascii="华文中宋" w:hAnsi="华文中宋" w:eastAsia="华文中宋" w:cs="宋体"/>
          <w:b/>
          <w:kern w:val="0"/>
          <w:sz w:val="52"/>
          <w:szCs w:val="52"/>
        </w:rPr>
      </w:pPr>
    </w:p>
    <w:p w14:paraId="52F834FD">
      <w:pPr>
        <w:spacing w:line="540" w:lineRule="exact"/>
        <w:jc w:val="center"/>
        <w:rPr>
          <w:rFonts w:ascii="华文中宋" w:hAnsi="华文中宋" w:eastAsia="华文中宋" w:cs="宋体"/>
          <w:b/>
          <w:kern w:val="0"/>
          <w:sz w:val="52"/>
          <w:szCs w:val="52"/>
        </w:rPr>
      </w:pPr>
    </w:p>
    <w:p w14:paraId="1DB16B9B">
      <w:pPr>
        <w:spacing w:line="540" w:lineRule="exact"/>
        <w:jc w:val="center"/>
        <w:rPr>
          <w:rFonts w:ascii="华文中宋" w:hAnsi="华文中宋" w:eastAsia="华文中宋" w:cs="宋体"/>
          <w:b/>
          <w:kern w:val="0"/>
          <w:sz w:val="52"/>
          <w:szCs w:val="52"/>
        </w:rPr>
      </w:pPr>
    </w:p>
    <w:p w14:paraId="5EB8B972">
      <w:pPr>
        <w:spacing w:line="540" w:lineRule="exact"/>
        <w:jc w:val="center"/>
        <w:rPr>
          <w:rFonts w:ascii="华文中宋" w:hAnsi="华文中宋" w:eastAsia="华文中宋" w:cs="宋体"/>
          <w:b/>
          <w:kern w:val="0"/>
          <w:sz w:val="52"/>
          <w:szCs w:val="52"/>
        </w:rPr>
      </w:pPr>
    </w:p>
    <w:p w14:paraId="2643B8C1">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11377EC1">
      <w:pPr>
        <w:spacing w:line="540" w:lineRule="exact"/>
        <w:jc w:val="center"/>
        <w:rPr>
          <w:rFonts w:ascii="华文中宋" w:hAnsi="华文中宋" w:eastAsia="华文中宋" w:cs="宋体"/>
          <w:b/>
          <w:kern w:val="0"/>
          <w:sz w:val="52"/>
          <w:szCs w:val="52"/>
        </w:rPr>
      </w:pPr>
    </w:p>
    <w:p w14:paraId="2AEF15F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6E435002">
      <w:pPr>
        <w:spacing w:line="540" w:lineRule="exact"/>
        <w:jc w:val="center"/>
        <w:rPr>
          <w:rFonts w:hAnsi="宋体" w:eastAsia="仿宋_GB2312" w:cs="宋体"/>
          <w:kern w:val="0"/>
          <w:sz w:val="30"/>
          <w:szCs w:val="30"/>
        </w:rPr>
      </w:pPr>
    </w:p>
    <w:p w14:paraId="7842C608">
      <w:pPr>
        <w:spacing w:line="540" w:lineRule="exact"/>
        <w:jc w:val="center"/>
        <w:rPr>
          <w:rFonts w:hAnsi="宋体" w:eastAsia="仿宋_GB2312" w:cs="宋体"/>
          <w:kern w:val="0"/>
          <w:sz w:val="30"/>
          <w:szCs w:val="30"/>
        </w:rPr>
      </w:pPr>
    </w:p>
    <w:p w14:paraId="09D8D527">
      <w:pPr>
        <w:spacing w:line="540" w:lineRule="exact"/>
        <w:jc w:val="center"/>
        <w:rPr>
          <w:rFonts w:hAnsi="宋体" w:eastAsia="仿宋_GB2312" w:cs="宋体"/>
          <w:kern w:val="0"/>
          <w:sz w:val="30"/>
          <w:szCs w:val="30"/>
        </w:rPr>
      </w:pPr>
    </w:p>
    <w:p w14:paraId="65C12BEE">
      <w:pPr>
        <w:spacing w:line="540" w:lineRule="exact"/>
        <w:jc w:val="center"/>
        <w:rPr>
          <w:rFonts w:hAnsi="宋体" w:eastAsia="仿宋_GB2312" w:cs="宋体"/>
          <w:kern w:val="0"/>
          <w:sz w:val="30"/>
          <w:szCs w:val="30"/>
        </w:rPr>
      </w:pPr>
    </w:p>
    <w:p w14:paraId="5F6C3780">
      <w:pPr>
        <w:spacing w:line="540" w:lineRule="exact"/>
        <w:jc w:val="center"/>
        <w:rPr>
          <w:rFonts w:hAnsi="宋体" w:eastAsia="仿宋_GB2312" w:cs="宋体"/>
          <w:kern w:val="0"/>
          <w:sz w:val="30"/>
          <w:szCs w:val="30"/>
        </w:rPr>
      </w:pPr>
    </w:p>
    <w:p w14:paraId="2E8EB18D">
      <w:pPr>
        <w:spacing w:line="540" w:lineRule="exact"/>
        <w:jc w:val="center"/>
        <w:rPr>
          <w:rFonts w:hAnsi="宋体" w:eastAsia="仿宋_GB2312" w:cs="宋体"/>
          <w:kern w:val="0"/>
          <w:sz w:val="30"/>
          <w:szCs w:val="30"/>
        </w:rPr>
      </w:pPr>
    </w:p>
    <w:p w14:paraId="7854A777">
      <w:pPr>
        <w:spacing w:line="540" w:lineRule="exact"/>
        <w:rPr>
          <w:rFonts w:hAnsi="宋体" w:eastAsia="仿宋_GB2312" w:cs="宋体"/>
          <w:kern w:val="0"/>
          <w:sz w:val="30"/>
          <w:szCs w:val="30"/>
        </w:rPr>
      </w:pPr>
    </w:p>
    <w:p w14:paraId="123C4E7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4A4104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2024年中国流动科技馆主题展览采购项目</w:t>
      </w:r>
    </w:p>
    <w:p w14:paraId="086BF85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乌鲁木齐市米东区科学技术协会</w:t>
      </w:r>
    </w:p>
    <w:p w14:paraId="195D764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乌鲁木齐市米东区科学技术协会</w:t>
      </w:r>
    </w:p>
    <w:p w14:paraId="2722E59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郑琴</w:t>
      </w:r>
    </w:p>
    <w:p w14:paraId="4D8BF01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14:paraId="147CC4EA">
      <w:pPr>
        <w:spacing w:line="700" w:lineRule="exact"/>
        <w:ind w:firstLine="708" w:firstLineChars="236"/>
        <w:jc w:val="left"/>
        <w:rPr>
          <w:rFonts w:hAnsi="宋体" w:eastAsia="仿宋_GB2312" w:cs="宋体"/>
          <w:kern w:val="0"/>
          <w:sz w:val="30"/>
          <w:szCs w:val="30"/>
        </w:rPr>
      </w:pPr>
    </w:p>
    <w:p w14:paraId="09AFB0B0">
      <w:pPr>
        <w:spacing w:line="540" w:lineRule="exact"/>
        <w:rPr>
          <w:rStyle w:val="18"/>
          <w:rFonts w:ascii="黑体" w:hAnsi="黑体" w:eastAsia="黑体"/>
          <w:b w:val="0"/>
          <w:spacing w:val="-4"/>
          <w:sz w:val="32"/>
          <w:szCs w:val="32"/>
        </w:rPr>
      </w:pPr>
    </w:p>
    <w:p w14:paraId="2D28250D">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2E967D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7395CE2F">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为贯彻落实党的二十大精神，落实《关于新时代进一步加强科学技术普及工作的意见》《全民科学素质行动规划纲要（2021—2035年）》《现代科技馆体系发展“十四五”规划（2021—2025年）》的相关要求，服务国家科普能力建设，推动流动科普工作高质量发展，流动科技馆在米东区罗落成，将有效地改善基层科技工作馆等科普阵地相对薄弱现状，为更多的公众提供参与科普的机遇，进一步提高公共科学素质，特别是对引导广大青少年树立科学思想，掌握科学方法、增强创新精神和实践能力具有十分重要的意义。</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根据《中国科协科普部关于申报2024年中国流动科技馆项目的通知》（科协普函础字〔2023〕5号）相关要求：①围绕物理、生物、天文、健康、科技前沿等领域，设计主题展区，米东区科协采购科普展品16套、配套科普宣传物资6套及科普图书，依托展品开展可操作、可体验的互动实践，增强观众参与感。②项目执行单位和接展单位需做好展览资源的管理和运行保障，并配套专职工作团队，结合地方实际情况，开展业务培训及评价工作,确保完成巡展任务;</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①米东区科协采购生命健康主题展览模块—应急安全—科学“救”有力量的展品16套、科普配套科物资6套，展品主要围绕应急安全知识科普与体验展开，通过各类互动展品、多媒体设备，帮助参观者提升安全意识和应急处理能力，具体实施内容如下：</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1.？火灾预防与应对：设计“模拟火灾报警系统”，参观者通过操作报警按钮、选择火灾类型等，模拟真实火灾报警流程，了解报警要点。“消防标识识别”展品，以触摸显示屏形式，展示各类消防标识，参观者点击标识回答含义，系统实时反馈对错，加深对消防标识的记忆 。演示体验：设置“灭火器使用演示区”，利用仿真灭火器和模拟火源，让参观者在专业人员指导下，亲身体验不同类型灭火器的使用方法，掌握灭火技巧。“家庭火灾隐患排查模拟场景”，还原家庭客厅、厨房等场景，参观者找出其中隐藏的火灾隐患，如私拉电线、乱扔烟头、易燃物靠近火源等，学习家庭火灾预防知识。</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地震避险与自救：“地震模拟体验平台”，通过机械装置模拟不同震级的地震效果，参观者在平台上感受地震晃动，学习正确的避震姿势和逃生路线。“地震知识问答机”，采用抢答形式，设置关于地震成因、危害、自救方法等问题，激发参观者学习兴趣，巩固地震知识 。多媒体展示：播放地震科普纪录片，介绍地震发生原理、国内外重大地震案例及应对经验；利用虚拟现实（VR）设备，让参观者沉浸式体验地震发生时室内外的避险过程，增强自救互救能力。</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3.？交通安全教育：“交通规则互动游戏”，以投影互动形式，模拟十字路口交通场景，参观者通过身体动作控制虚拟角色过马路，判断交通信号灯、避让车辆，学习交通规则。“汽车安全知识体验区”，展示汽车安全带、安全气囊等安全装置的工作原理，参观者可模拟汽车碰撞场景，感受安全装置的重要性 。演示体验：举办“自行车安全骑行培训”，专业人员讲解自行车骑行安全要点，如佩戴头盔、遵守交通规则等，并现场指导参观者进行安全骑行练习。</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4.？急救知识科普：“心肺复苏模拟训练器”，配备语音提示和动作反馈系统，参观者在训练器上进行心肺复苏操作练习，系统实时纠正按压位置、频率和深度，帮助掌握心肺复苏技能。“急救包扎模拟道具”，提供模拟伤口和包扎材料，参观者学习不同伤口的包扎方法，如头部包扎、手臂包扎、腿部包扎等 。演示体验：邀请专业医护人员进行急救知识讲座和现场演示，内容包括海姆立克急救法、常见外伤处理等；设置“急救知识问答挑战区”，参观者通过答题赢取小礼品，强化急救知识记忆。</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5.？自然灾害预警与防范：“气象灾害预警互动屏”，展示台风、暴雨、雷电等气象灾害的预警信号和防范措施，参观者可通过触摸屏幕了解不同预警级别的含义和应对方法。“洪水灾害模拟沙盘”，模拟洪水发生过程，参观者通过操作沙盘上的设施，如堤坝加固、人员转移等，学习洪水灾害防范和应对策略 。多媒体展示：制作自然灾害科普动画，生动形象地介绍各类自然灾害的形成原因、危害及防范措施；设置“自然灾害实时监测数据展示区”，展示当地气象、地质等灾害的实时监测数据，让参观者了解灾害监测预警体系;</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②区科协将展品安置在石化街道朝阳社区活动中心，合理划分展品展示区、科普活动区、休息区等功能区域。展示区根据展品主题有序排列；科普活动区配备桌椅、多媒体设备，用于开展科普讲座、实验演示；休息区设置座椅、饮水机，为观众提供便利。</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中国科协科普部关于申报2024年中国流动科技馆项目的通知》（科协普函础字〔2023〕5号）号文件批准，项目系2024年自治区资金，共安排预算49.98万元，于2024年年中追加批复项目，年中无调整情况，实际到位49.98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①该项目资金预算49.98万元。②资金投入采购科普巡展展品、科普图书、科普宣传物资，采购科学“救”有力量巡展展品47.78万元，采购配套科普图书、科普宣传物资2.2万元，最终使用资金49.98万元，资金已全部使用。③预算执行率达100%。</w:t>
      </w:r>
    </w:p>
    <w:p w14:paraId="0A35D373">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244889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社会效益指标、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该项目为当年一次性项目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通过采购中国流动科技馆主题展览资源项目应急安全—科学“救”有力量的展品，展品主要围绕应急安全知识科普与体验展开，通过各类互动展品、多媒体设备，帮助参观者提升安全意识和应急处理能力，进一步发挥科普展览资源，科学组织实施展览活动，开展特色科普活动，进一步提升辖区各类群众的科学素质，营造良好科学氛围。</w:t>
      </w:r>
    </w:p>
    <w:p w14:paraId="4580D2E0">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8A4412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1C3444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项目依托流动科技馆服务基层公众，搭建科普资源共建共享平台，提升辖区各类群众特别是青少年的科学素质。在绩效指标设计方面，已明确量化目标，包括科普展品采购数量16套、开展各类科普活动5场次等，构建起较为完整的绩效评价指标体系，能够完整的体现出项目的目标与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项目严格按照政府招标采购流程推进，使用经费前召开三重一大会议，10月正式招标开标，11月正式与乙方公司签订合同、落实资金到位，12月展品顺利运送并安装到位，经过验收展品质量数量均达标。按计划圆满完成采购22套科普展品、开展5场科普活动，流动科技馆顺利在米东区落成，填补了我区科技展馆的空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科普展品采购严格按照政府项目招标流程进行，货品安装后均经过科协、社区、验收第三方人员联合验收，并出具验收报告，开展科普活动也保存活动照片、信息等资料，确保项目执行情况可量化、可核查，有效保障项目实施质量与成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2024年中国流动科技馆主题展览资源项目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（1）绩效评价的对象：2024年中国流动科技馆主题展览资源项目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2.项目范围：2024年中国流动科技馆主题展览资源项目的基本情况、评价工作的开展情况、项目实现的产出情况、取得的效益情况、主要经验及做法、存在的问题及原因分析，以及综合性价结论等。</w:t>
      </w:r>
    </w:p>
    <w:p w14:paraId="594883B4">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7C2BF03">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流动科技馆建设数量</w:t>
      </w:r>
      <w:r>
        <w:rPr>
          <w:rStyle w:val="18"/>
          <w:rFonts w:hint="eastAsia" w:eastAsia="楷体"/>
          <w:b w:val="0"/>
          <w:bCs w:val="0"/>
          <w:spacing w:val="-4"/>
          <w:sz w:val="32"/>
          <w:szCs w:val="32"/>
        </w:rPr>
        <w:tab/>
        <w:t>项目实施的实际产出数与计划产出数比较，用以反映和考核项目产出数量目标的实现程度。</w:t>
      </w:r>
      <w:r>
        <w:rPr>
          <w:rStyle w:val="18"/>
          <w:rFonts w:hint="eastAsia" w:eastAsia="楷体"/>
          <w:b w:val="0"/>
          <w:bCs w:val="0"/>
          <w:spacing w:val="-4"/>
          <w:sz w:val="32"/>
          <w:szCs w:val="32"/>
        </w:rPr>
        <w:tab/>
        <w:t>实际产出数：一定时期（本年度或项目期）内项目实际产出的产品或提供的服务数量。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计划产出数：项目绩效目标确定的在一定时期（本年度或项目期）内计划产出的产品或提供的服务数量。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科普展品采购数量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开展各类科普活动场次</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流动科技馆打造合格率</w:t>
      </w:r>
      <w:r>
        <w:rPr>
          <w:rStyle w:val="18"/>
          <w:rFonts w:hint="eastAsia" w:eastAsia="楷体"/>
          <w:b w:val="0"/>
          <w:bCs w:val="0"/>
          <w:spacing w:val="-4"/>
          <w:sz w:val="32"/>
          <w:szCs w:val="32"/>
        </w:rPr>
        <w:tab/>
        <w:t>项目完成的质量达标产出数与实际产出数的比率，用以反映和考核项目产出质量目标的实现程度。</w:t>
      </w:r>
      <w:r>
        <w:rPr>
          <w:rStyle w:val="18"/>
          <w:rFonts w:hint="eastAsia" w:eastAsia="楷体"/>
          <w:b w:val="0"/>
          <w:bCs w:val="0"/>
          <w:spacing w:val="-4"/>
          <w:sz w:val="32"/>
          <w:szCs w:val="32"/>
        </w:rPr>
        <w:tab/>
        <w:t>质量合格率=（质量达标产出数/实际产出数）×100%。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科普展品采购验收合格率</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采购科普展品使用经费</w:t>
      </w:r>
      <w:r>
        <w:rPr>
          <w:rStyle w:val="18"/>
          <w:rFonts w:hint="eastAsia" w:eastAsia="楷体"/>
          <w:b w:val="0"/>
          <w:bCs w:val="0"/>
          <w:spacing w:val="-4"/>
          <w:sz w:val="32"/>
          <w:szCs w:val="32"/>
        </w:rPr>
        <w:tab/>
        <w:t>完成项目计划工作目标的实际成本与计划成本比较，用以反映和考核项目的成本节约程度。</w:t>
      </w:r>
      <w:r>
        <w:rPr>
          <w:rStyle w:val="18"/>
          <w:rFonts w:hint="eastAsia" w:eastAsia="楷体"/>
          <w:b w:val="0"/>
          <w:bCs w:val="0"/>
          <w:spacing w:val="-4"/>
          <w:sz w:val="32"/>
          <w:szCs w:val="32"/>
        </w:rPr>
        <w:tab/>
        <w:t>实际成本：项目实施单位如期、保质、保量完成既定工作目标实际所耗费的支出。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计划成本：项目实施单位为完成工作目标计划安排的支出，一般以项目预算为参考。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采购科普宣传物资使用经费</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开展各类科普活动居民群众参与度</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项目实施所产生的社会效益、经济效益、生态效益、可持续影响等。可根据项目实际情况有选择地设置和细化。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科普展品居民群众满意度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社会公众或服务对象是指因该项目实施而受到影响的部门（单位）、群体或个人。一般采取社会调查的方式。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中国流动科技馆主题展览资源项目特点，本次评价主要采用比较法和公众评判法，在资金使用方面，科协决算执行严格遵循支出标准，资金使用方向精准契合采购科普展品、配套科普图书和科普物资等核心需求。从项目实现社会效应来看，通过开展科普讲座、实操、调查问卷等了解公众对流动科技馆的展品、活动，科学兴趣提升、科学知识掌握程度等情况有了明确的了解，经公众评判法抽样调查显示，项目实施获得广泛认可，群众满意度高达90%以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·《中国科协科普部关于申报2024年中国流动科技馆项目的通知》（科协普函础字〔2023〕5号）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·《现代科技馆体系发展“十四五”规划（2021—2025年）》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·《关于开展2024年中国流动科技馆项目展览资源固定使用申请及资产处置的通知》：科协办函普字〔2022〕127号</w:t>
      </w:r>
    </w:p>
    <w:p w14:paraId="2C090C3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345CFD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绩效评价工作过程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4BE1562D">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A3ADD17">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中国流动科技馆主题展览资源项目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流动科技馆建设数量</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科普展品采购数量</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开展各类科普活动场次</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流动科技馆打造合格率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科普展品采购验收合格率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采购科普展品使用经费</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采购科普宣传物资使用经费</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项目效益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群众满意度</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该项目资金区财政及时拨付，单位在此次评价期间内，有序完成设定目标的全部工作任务。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一是建成顺利流动科技馆1个，采购科普展品22套，组织开展特色科普宣传活动5场次。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是社会效益。提升公众科学素养：通过展示互动展品、举办科普讲座等活动，向公众传播科学知识、科学方法和科学思想，有助于提升公众对科学的认知水平和理解能力，培养科学思维和创新精神。促进教育公平：能深入到偏远地区、基层社区，让那些缺乏优质科普资源的人群也有机会接触到丰富的科学知识，缩小城乡、地区之间在科普教育方面的差距，促进教育公平。激发青少年科学兴趣：有趣的互动体验和新奇的科学展示，能激发青少年对科学的好奇心和兴趣，为培养未来的科技人才奠定基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三是经济效益。带动相关产业发展：在项目实施过程中，涉及</w:t>
      </w:r>
      <w:bookmarkStart w:id="0" w:name="_GoBack"/>
      <w:bookmarkEnd w:id="0"/>
      <w:r>
        <w:rPr>
          <w:rStyle w:val="18"/>
          <w:rFonts w:hint="eastAsia" w:eastAsia="楷体"/>
          <w:b w:val="0"/>
          <w:bCs w:val="0"/>
          <w:spacing w:val="-4"/>
          <w:sz w:val="32"/>
          <w:szCs w:val="32"/>
        </w:rPr>
        <w:t>展品研发制造、运输物流、场地租赁、活动策划等多个领域，能够带动相关产业的发展，创造一定的经济效益和就业机会。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是文化效益。丰富文化生活：为公众提供了一种新颖的文化体验形式，丰富了人们的业余文化生活，满足了公众对科学文化的需求，有助于营造浓厚的文化氛围。传播科学文化：有助于在社会上传播科学文化，弘扬科学精神，让科学文化成为社会文化的重要组成部分，推动全社会形成崇尚科学、尊重知识的良好风尚。</w:t>
      </w:r>
    </w:p>
    <w:p w14:paraId="66375CCA">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D56978E">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DFFA38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本项目立项根据《关于新时代进一步加强科学技术普及工作的意见》《全民科学素质行动规划纲要（2021—2035年）》《中国科学技术协会科普发展规划（2021—2025年）》《现代科技馆体系发展“十四五”规划（2021—2025年）》的相关要求，推动流动科普工作高质量发展，实现科普服务公平普惠、赋能基层，符合国家法律法规、政策要求。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项目按照《中国科协科普部关于申报2024年中国流动科技馆项目的通知》（科协普函础字〔2023〕5号）规定的程序申请设立，审批文件、材料符合相关要求，故立项程序规范，得4分。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其中，目标已细化为具体的绩效指标比如：建设流动科技馆数量=1个、科普展品采购数量=16套、开展各类科普活动≥5场；实际完成情况：建设流动科技馆数量=1个、科普展品采购数量=22套、开展各类科普活动=5场,都达到了预期目标，并且具有确切的评价标准，且指标设定均与目标相关。各项指标均能在现实条件下收集到相关数据进行佐证，如流动科技馆合同书、验收报告、资金申请拨付凭据、资金拨付凭据等，并与当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一是合理的成本核算，对展品购置、运输车辆及设备采购等固定成本进行准确估算。考虑展品的质量、品牌、技术含量以及运输设备的性能、载重量等因素，确保预算能满足长期使用需求。二是参考行业标准：团队参考同类科普项目的预算标准和经验数据，结合自身特点进行调整，使预算编制更科学合理。故预算编制科学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47.78万元用于展品购置，以确保有丰富多样、符合科普需求的展品，这是流动科技馆的核心资源，占到资金的95%，剩余2.2万元用于采购配套的科普图书和科普宣传资料，占到资金的5%，该项目没有超预算，没有其他挪用现象故。故资金分配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155247CD">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472A6EC">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资金到位率：我单位2024年年初科普项目经费保障机制－2024年中国流动科技馆主题展览资源项目预算49.98万元，全年预算49.98万元，故资金到位率100%，故资金到位率指标得分5分。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预算执行率：米东区财政拨付资金49.98万元，科协于2024年支付10月支付定金23.89万元，12月支付尾款23.89万元及配套科普宣传资料2.2万元，资金执行率100%。故预算执行率得分为5分。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中华人民共和国政府采购法》和《政府采购竞争性磋商采购方式管理暂行办法》（财库〔2014〕214号）管理制度以及有关《关于印发&lt;乌鲁木齐市本级部门预算绩效目标管理暂行办法&gt;的通知》（乌财预〔2018〕56号）专项资金管理办法的规定。同时，资金的拨付有政府采购、政府招标审批程序，符合项目预算批复或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管理制度健全性：米东区科协已制定相应的《中国流动科技馆培训手册》和《中国流动科技馆代管协议》管理制度，且制度合法、合规、完整，为项目顺利实施提供重要保障。故管理制度健全性得分为3分。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米东区科协严格遵守《中共中央国务院关于全面实施预算绩效管理的意见》（中发〔2018〕34号）《关于印发&lt;乌鲁木齐市本级部门预算绩效目标管理暂行办法&gt;的通知》（乌财预〔2018〕56号）法律法规和相关管理规定，项目调整及支出调整手续完备，整体管理合理有序，项目完成后，及时将项目合同、项目验收报告、会计凭证、固定资产入库单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6D0FC4FC">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E380E0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项目产出指标由3个二级指标和7个三级指标构成，权重为40分，实际得分40分。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数量指标“流动科技馆建设数量”的目标值是1个，2024年度我单位实际完成1个，原因是已在石化街道朝阳社区顺利安置科普展品，科普阵地成功建设，实际完成率：100%，故实际完成率得分为5分。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数量指标“科普展品采购数量”的目标值是16套，2024年度我单位实际完成22套，原因是另采购6套配套的科普宣传展品，实际完成率：137%，故实际完成率得分为5分。故实际完成率得分为5分。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数量指标“开展各类科普活动场次”的目标值是5场次，2024年度我单位实际完成5场次，原因是联合乌鲁木齐市第87中学、社区居民开展活动5场次，实际完成率：100%，故实际完成率得分为5分。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综上，数量指标得分为15分。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流动科技馆打造合格率”目标值设定为=100%，建成后经过验收合格率为100%，“科普展品采购验收合格率”目标值设定为=100%，建成后经过验收合格率为100%，验收小组由科协、社区、第三方验收机构共同组成，验收报告、照片等证明材料均由科协妥善存档备查：质量达标率得分为15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项目完成时间：目标值为2个月，实际完成时间为2个月。完全达到预期标准，故实际完成率100%。故项目完成时间得分为5分。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综上，时效指标得分为5分。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采购科普展品使用经费：目标值设定为&lt;=47.78万元，2024年度我单位实际采购支出经费47.78万元，原因是按照招标合同米东区科协已于2024年10月和12月支付款项47.78万元给供应商上海智慧圆科普教育设备有限公司，采购展品16套，均已运输并在朝阳社区安装完成、验收合格。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采购科普宣传物资使用经费：目标值设定为&lt;=2.2万元，2024年度我单位实际采购支出经费2.2万元，原因是科协于12月支付款项2.2万元给供应商北京拓奥科技有限公司，采购配套科普展品6套和科普图书，物资已全部收到，实际完成率：100%，故实际完成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综上，项目无超支情况，项目资金全部完成，得分为10分。</w:t>
      </w:r>
    </w:p>
    <w:p w14:paraId="4EFB6E06">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D40F164">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项目效益指标由1个二级指标和1个三级指标构成，权重为10分，实际得分10分。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经济效益指标：不适用。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社会效益指标：评价指标“开展各类科普活动居民群众参与度”，指标值：不断提高，实际完成值：完全达到预期。本项目的实施带来了很多积极意义。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1.？激发科学兴趣：通过展示有趣的科技展品，如声光体验、电磁探秘等互动展品，以寓教于乐的方式，让居民尤其是青少年亲身操作体验，激发了他们对科学的好奇心和探索欲 。像在一些站点，孩子们对展品兴趣浓厚，动手操作时不断发出赞叹，在游戏中探索科学奥秘，在心里种下科学的种子。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2.？普及科学知识：将原本在科技馆中的科普资源送到居民家门口，让平时接触科技展览机会少的群众，特别是县域、农村地区居民，有机会学习到科学知识，有效弥补了科普资源空间缺口 。展品涉及多学科知识，从光学、电磁学到数学等，拓宽了居民的科学视野，提升了科学素养。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3.？营造科学氛围：开展各类科普活动，如科普讲座、科学实验表演等，吸引大量居民参与，在社区、学校、农村等地营造了热爱科学、尊重科学、崇尚科学的社会氛围 ，形成讲科学、爱科学、学科学、用科学的良好风尚。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4.？促进亲子互动与社区融合：很多科普活动以亲子家庭为单位参与，家长和孩子共同参观、体验展品，在互动中增进亲子关系。同时，也为社区居民提供了交流互动的平台，增强了社区凝聚力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5.？提升科普服务能力：流动科技馆项目推动了县级科技馆的发展，一些地区依托该项目成立县级科技馆，提升了地方整体的科普服务能力和水平，改善了科普阵地相对薄弱的现状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5D22B6A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科普展品居民群众满意度”，指标值：≥90%，实际完成值：100%。通过设置问卷调查的方式进行考评评价，共计调查样本总量为20个样本，有效调查问卷20份。其中，统计“满意及非常满意”的平均值为100%。故满意度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56B6879F">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588F0CB">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展品展示与互动体验：精选涵盖多学科领域的展品，注重互动性，像力学、光学等基础科学展品以及前沿科技展品，都能吸引观众动手操作，激发其探索欲。同时，定期维护展品，确保运行稳定，根据观众反馈调整展品布局与展示方式，提升体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2.科普教育活动：搭配展品开展科普讲座、科学实验秀等活动，邀请专家深入浅出讲解科学知识，演示有趣实验，增强观众理解。还组织青少年科技竞赛，鼓励动手实践，培养创新思维与团队合作能力。</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3.场地运营与管理：选择交通便利、人流量大的场地，如学校、社区活动中心等，提前规划场地布局，设置引导标识，方便观众参观。建立完善管理制度，规范工作人员职责，做好参观人数统计与安全保障工作。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4.宣传推广：利用线上线下多种渠道宣传，线上通过官网、社交媒体发布信息，线下在合作单位张贴海报、发放传单，与媒体合作报道，提高项目知名度与影响力，吸引更多观众参与。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1.？参与不均衡：部分地区可能存在参与人群集中在学生群体，其他年龄段居民参与度不高的情况；或者在城市社区参与度较高，偏远农村地区因交通不便等因素参与受限。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2.？持续性问题：活动巡展时间有限，活动结束后，居民持续接触科普资源的渠道可能不足，难以保持活动期间的参与热情和学习效果。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3.？理解深度有限：部分居民可能只是浅层次体验展品，对于背后科学原理的理解不够深入，科普效果在知识传递深度上存在一定局限。</w:t>
      </w:r>
    </w:p>
    <w:p w14:paraId="65A8FAD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7306A759">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有关建议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预算管理：一是科学编制预算：结合展览计划、展品维护需求、人员费用等因素，制定详细的年度预算，明确各项资金的用途和额度，并预留一定比例的应急资金。二是严格预算执行：建立预算执行跟踪机制，定期对比实际支出与预算，及时发现偏差并采取措施纠正，确保资金按计划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资金来源多元化：一是争取政府支持：积极与政府相关部门沟通，争取更多的财政拨款，用于展品更新、场地租赁等方面。二是拓展社会赞助：与企业、基金会等合作，通过冠名赞助、项目合作等方式吸引社会资金，同时为赞助方提供宣传展示等回报。三是开展收费项目：在不影响公益性质的前提下，适当开展一些收费项目，如特色科普课程、纪念品销售等，增加资金来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成本控制：一是优化展品采购：建立供应商评估机制，在保证展品质量的前提下，通过招标、谈判等方式降低采购成本。同时，注重展品的通用性和可维护性，减少后期更换和维修成本。二是合理安排人员：根据项目实际需求，合理配置工作人员，避免人员冗余。可通过志愿者招募等方式，降低人力成本。三是节约运营成本：加强对场地租赁、设备使用等方面的管理，合理控制水电费、运输费等运营费用。例如，优化展览布局，提高场地利用率；根据观众流量合理安排开放时间，降低能耗。</w:t>
      </w:r>
    </w:p>
    <w:p w14:paraId="6262D4BD">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1EB234F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其他需要说明的问题</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流动科技馆项目安排准确，未发现背离项目立项初衷，展区设置紧密围绕“激发科学兴趣、启迪科学思维”的核心目标，以模块化科普展品、互动式体验装置及主体科普活动，精准覆盖青少年、社区居民等重点群体，有效填补了基层科普资源供给缺口，切实将前沿科学知识转化为通俗易懂的互动体验，充分发挥流动科技馆在提升全民科学素质、缩小科普资源差距方面的重要作用。</w:t>
      </w:r>
    </w:p>
    <w:p w14:paraId="34056E72">
      <w:pPr>
        <w:spacing w:line="540" w:lineRule="exact"/>
        <w:ind w:firstLine="624" w:firstLineChars="200"/>
        <w:rPr>
          <w:rStyle w:val="18"/>
          <w:rFonts w:ascii="仿宋" w:hAnsi="仿宋" w:eastAsia="仿宋"/>
          <w:b w:val="0"/>
          <w:spacing w:val="-4"/>
          <w:sz w:val="32"/>
          <w:szCs w:val="32"/>
        </w:rPr>
      </w:pPr>
    </w:p>
    <w:p w14:paraId="670A337D">
      <w:pPr>
        <w:spacing w:line="540" w:lineRule="exact"/>
        <w:ind w:firstLine="624" w:firstLineChars="200"/>
        <w:rPr>
          <w:rStyle w:val="18"/>
          <w:rFonts w:ascii="仿宋" w:hAnsi="仿宋" w:eastAsia="仿宋"/>
          <w:b w:val="0"/>
          <w:spacing w:val="-4"/>
          <w:sz w:val="32"/>
          <w:szCs w:val="32"/>
        </w:rPr>
      </w:pPr>
    </w:p>
    <w:p w14:paraId="24FFE22D">
      <w:pPr>
        <w:spacing w:line="540" w:lineRule="exact"/>
        <w:ind w:firstLine="624" w:firstLineChars="200"/>
        <w:rPr>
          <w:rStyle w:val="18"/>
          <w:rFonts w:ascii="仿宋" w:hAnsi="仿宋" w:eastAsia="仿宋"/>
          <w:b w:val="0"/>
          <w:spacing w:val="-4"/>
          <w:sz w:val="32"/>
          <w:szCs w:val="32"/>
        </w:rPr>
      </w:pPr>
    </w:p>
    <w:p w14:paraId="45FE9872">
      <w:pPr>
        <w:spacing w:line="540" w:lineRule="exact"/>
        <w:ind w:firstLine="624" w:firstLineChars="200"/>
        <w:rPr>
          <w:rStyle w:val="18"/>
          <w:rFonts w:ascii="仿宋" w:hAnsi="仿宋" w:eastAsia="仿宋"/>
          <w:b w:val="0"/>
          <w:spacing w:val="-4"/>
          <w:sz w:val="32"/>
          <w:szCs w:val="32"/>
        </w:rPr>
      </w:pPr>
    </w:p>
    <w:p w14:paraId="4E22A7CC">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8B61A5F">
        <w:pPr>
          <w:pStyle w:val="12"/>
          <w:jc w:val="center"/>
        </w:pPr>
        <w:r>
          <w:fldChar w:fldCharType="begin"/>
        </w:r>
        <w:r>
          <w:instrText xml:space="preserve">PAGE   \* MERGEFORMAT</w:instrText>
        </w:r>
        <w:r>
          <w:fldChar w:fldCharType="separate"/>
        </w:r>
        <w:r>
          <w:rPr>
            <w:lang w:val="zh-CN"/>
          </w:rPr>
          <w:t>2</w:t>
        </w:r>
        <w:r>
          <w:fldChar w:fldCharType="end"/>
        </w:r>
      </w:p>
    </w:sdtContent>
  </w:sdt>
  <w:p w14:paraId="256C6E0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2ED3F3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37</Pages>
  <Words>11274</Words>
  <Characters>11744</Characters>
  <Lines>4</Lines>
  <Paragraphs>1</Paragraphs>
  <TotalTime>3</TotalTime>
  <ScaleCrop>false</ScaleCrop>
  <LinksUpToDate>false</LinksUpToDate>
  <CharactersWithSpaces>11969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2025-11-17T07:20:56Z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