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CAC61D">
      <w:pPr>
        <w:spacing w:after="0" w:line="240" w:lineRule="auto"/>
        <w:rPr>
          <w:rFonts w:hint="eastAsia" w:ascii="宋体" w:eastAsia="宋体"/>
          <w:sz w:val="32"/>
          <w:szCs w:val="32"/>
        </w:rPr>
      </w:pPr>
    </w:p>
    <w:p w14:paraId="411F0E8B">
      <w:pPr>
        <w:spacing w:after="0" w:line="240" w:lineRule="auto"/>
        <w:rPr>
          <w:rFonts w:hint="eastAsia" w:ascii="宋体" w:eastAsia="宋体"/>
          <w:sz w:val="44"/>
          <w:szCs w:val="44"/>
        </w:rPr>
      </w:pPr>
    </w:p>
    <w:p w14:paraId="5F7DB353">
      <w:pPr>
        <w:spacing w:after="0" w:line="240" w:lineRule="auto"/>
        <w:rPr>
          <w:rFonts w:hint="eastAsia" w:ascii="宋体" w:eastAsia="宋体"/>
          <w:sz w:val="44"/>
          <w:szCs w:val="44"/>
        </w:rPr>
      </w:pPr>
    </w:p>
    <w:p w14:paraId="74556645">
      <w:pPr>
        <w:spacing w:after="0" w:line="240" w:lineRule="auto"/>
        <w:rPr>
          <w:rFonts w:hint="eastAsia" w:ascii="宋体" w:eastAsia="宋体"/>
          <w:sz w:val="44"/>
          <w:szCs w:val="44"/>
        </w:rPr>
      </w:pPr>
    </w:p>
    <w:p w14:paraId="0B414D38">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乌鲁木齐市米东区金融服务中心</w:t>
      </w:r>
    </w:p>
    <w:p w14:paraId="633C2366">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1526F9E4">
      <w:pPr>
        <w:rPr>
          <w:rFonts w:hint="eastAsia"/>
          <w:lang w:eastAsia="zh-CN"/>
        </w:rPr>
      </w:pPr>
      <w:r>
        <w:rPr>
          <w:sz w:val="0"/>
          <w:szCs w:val="0"/>
          <w:lang w:eastAsia="zh-CN"/>
        </w:rPr>
        <w:br w:type="page"/>
      </w:r>
    </w:p>
    <w:p w14:paraId="134D60A5">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1A8151FE">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6E332BA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3C1E903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7B8F7335">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4943A14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428FFA4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2881B14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127A430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7769A49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2ADC91F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6AD8B1D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162B10F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0D35E25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6739EA7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33E3D70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46BD098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5D24302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505912E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0436F89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4BEC90E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4D80B18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5D279BA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538B2910">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1CB32B06">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2086415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5985C7B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7C4B0C1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661BEE6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5895BEA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03C019B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BA6229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2F89064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6C246A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561C65DB">
      <w:pPr>
        <w:rPr>
          <w:rFonts w:hint="eastAsia"/>
          <w:lang w:eastAsia="zh-CN"/>
        </w:rPr>
      </w:pPr>
      <w:r>
        <w:rPr>
          <w:sz w:val="0"/>
          <w:szCs w:val="0"/>
          <w:lang w:eastAsia="zh-CN"/>
        </w:rPr>
        <w:br w:type="page"/>
      </w:r>
    </w:p>
    <w:p w14:paraId="1A7C5475">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2EC0D47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749EFA3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（一）研究分析金融业运行情况及工作动态，并提出相关意见、建议。</w:t>
      </w:r>
    </w:p>
    <w:p w14:paraId="77A112E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（二）围绕涉及金融产业发展、建立新型投融资体制等重大课题开展分析研究，并提出相关意见、建议。</w:t>
      </w:r>
    </w:p>
    <w:p w14:paraId="36A28E8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（三）引导、推动各类金融机构的发展，为建立多层次金融服务体系、金融项目招商等提供宣传、政策咨询等服务；参与协调金融产业服务质量的提档升级工作。</w:t>
      </w:r>
    </w:p>
    <w:p w14:paraId="1543841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5A2F9AD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乌鲁木齐市米东区金融服务中心2024年度，实有人数8人，其中：在职人员6人，较上年无变化；离休人员0人，较上年无变化；退休人员2人，较上年无变化</w:t>
      </w:r>
      <w:r>
        <w:rPr>
          <w:rFonts w:hint="eastAsia" w:ascii="仿宋_GB2312" w:eastAsia="仿宋_GB2312"/>
          <w:sz w:val="32"/>
          <w:szCs w:val="32"/>
          <w:lang w:eastAsia="zh-CN"/>
        </w:rPr>
        <w:t>。</w:t>
      </w:r>
    </w:p>
    <w:p w14:paraId="6F54B35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乌鲁木齐市米东区金融服务中心无下属预算单位，下设</w:t>
      </w:r>
      <w:r>
        <w:rPr>
          <w:rFonts w:hint="eastAsia" w:ascii="仿宋_GB2312" w:eastAsia="仿宋_GB2312"/>
          <w:sz w:val="32"/>
          <w:szCs w:val="32"/>
          <w:lang w:eastAsia="zh-CN"/>
        </w:rPr>
        <w:t>1</w:t>
      </w:r>
      <w:r>
        <w:rPr>
          <w:rFonts w:ascii="仿宋_GB2312" w:eastAsia="仿宋_GB2312"/>
          <w:sz w:val="32"/>
          <w:szCs w:val="32"/>
          <w:lang w:eastAsia="zh-CN"/>
        </w:rPr>
        <w:t>个科室，分别是：</w:t>
      </w:r>
      <w:r>
        <w:rPr>
          <w:rFonts w:hint="eastAsia" w:ascii="仿宋_GB2312" w:eastAsia="仿宋_GB2312"/>
          <w:sz w:val="32"/>
          <w:szCs w:val="32"/>
          <w:lang w:eastAsia="zh-CN"/>
        </w:rPr>
        <w:t>办公室</w:t>
      </w:r>
      <w:r>
        <w:rPr>
          <w:rFonts w:ascii="仿宋_GB2312" w:eastAsia="仿宋_GB2312"/>
          <w:sz w:val="32"/>
          <w:szCs w:val="32"/>
          <w:lang w:eastAsia="zh-CN"/>
        </w:rPr>
        <w:t>。</w:t>
      </w:r>
    </w:p>
    <w:p w14:paraId="1F715DD6">
      <w:pPr>
        <w:rPr>
          <w:rFonts w:hint="eastAsia"/>
          <w:lang w:eastAsia="zh-CN"/>
        </w:rPr>
      </w:pPr>
      <w:r>
        <w:rPr>
          <w:sz w:val="0"/>
          <w:szCs w:val="0"/>
          <w:lang w:eastAsia="zh-CN"/>
        </w:rPr>
        <w:br w:type="page"/>
      </w:r>
    </w:p>
    <w:p w14:paraId="5B29A1FF">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6738A9D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03D9C1F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2024年度收入总计94.74万元，其中：本年收入合计94.74万元，使用非财政拨款结余（含专用结余）0.00万元，年初结转和结余0.00万元。</w:t>
      </w:r>
    </w:p>
    <w:p w14:paraId="53F3783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2024年度支出总计94.74万元，其中：本年支出合计94.74万元，结余分配0.00万元，年末结转和结余0.00万元。</w:t>
      </w:r>
    </w:p>
    <w:p w14:paraId="3E580BD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收入支出总体与上年相比，减少18.62万元，下降16.43%，主要原因是：</w:t>
      </w:r>
      <w:r>
        <w:rPr>
          <w:rFonts w:hint="eastAsia" w:ascii="仿宋_GB2312" w:eastAsia="仿宋_GB2312"/>
          <w:sz w:val="32"/>
          <w:szCs w:val="32"/>
          <w:lang w:eastAsia="zh-CN"/>
        </w:rPr>
        <w:t>本年单位较上年减少第三方代理记账服务费</w:t>
      </w:r>
      <w:r>
        <w:rPr>
          <w:rFonts w:ascii="仿宋_GB2312" w:eastAsia="仿宋_GB2312"/>
          <w:sz w:val="32"/>
          <w:szCs w:val="32"/>
          <w:lang w:eastAsia="zh-CN"/>
        </w:rPr>
        <w:t>。</w:t>
      </w:r>
    </w:p>
    <w:p w14:paraId="52CABE2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46ED947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本年收入94.74万元，其中：财政拨款收入94.74万元,占100.00%；上级补助收入0.00万元,占0.00%；事业收入0.00万元，占0.00%；经营收入0.00万元,占0.00%；附属单位上缴收入0.00万元，占0.00%；其他收入0.00万元，占0.00%。</w:t>
      </w:r>
    </w:p>
    <w:p w14:paraId="236673B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2C71704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本年支出94.74万元，其中：基本支出94.74万元，占100.00%；项目支出0.00万元，占0.00%；上缴上级支出0.00万元，占0.00%；经营支出0.00万元，占0.00%；对附属单位补助支出0.00万元，占0.00%。</w:t>
      </w:r>
    </w:p>
    <w:p w14:paraId="16ECE38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18E1916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2024年度财政拨款收入总计94.74万元，其中：年初财政拨款结转和结余0.00万元，本年财政拨款收入94.74万元。财政拨款支出总计94.74万元，其中：年末财政拨款结转和结余0.00万元，本年财政拨款支出94.74万元。</w:t>
      </w:r>
    </w:p>
    <w:p w14:paraId="2094E53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财政拨款收入支出总体与上年相比，减少18.62万元，下降16.43%，主要原因是：</w:t>
      </w:r>
      <w:r>
        <w:rPr>
          <w:rFonts w:hint="eastAsia" w:ascii="仿宋_GB2312" w:eastAsia="仿宋_GB2312"/>
          <w:sz w:val="32"/>
          <w:szCs w:val="32"/>
          <w:lang w:eastAsia="zh-CN"/>
        </w:rPr>
        <w:t>本年单位较上年减少第三方代理记账服务费</w:t>
      </w:r>
      <w:r>
        <w:rPr>
          <w:rFonts w:ascii="仿宋_GB2312" w:eastAsia="仿宋_GB2312"/>
          <w:sz w:val="32"/>
          <w:szCs w:val="32"/>
          <w:lang w:eastAsia="zh-CN"/>
        </w:rPr>
        <w:t>。与年初预算相比，年初预算数84.27万元，决算数94.74万元，预决算差异率12.42%，主要原因是：</w:t>
      </w:r>
      <w:r>
        <w:rPr>
          <w:rFonts w:hint="eastAsia" w:ascii="仿宋_GB2312" w:eastAsia="仿宋_GB2312"/>
          <w:sz w:val="32"/>
          <w:szCs w:val="32"/>
          <w:lang w:eastAsia="zh-CN"/>
        </w:rPr>
        <w:t>本年实际发放人员工资、津补贴等人员经费大于年初预算安排金额</w:t>
      </w:r>
      <w:r>
        <w:rPr>
          <w:rFonts w:ascii="仿宋_GB2312" w:eastAsia="仿宋_GB2312"/>
          <w:sz w:val="32"/>
          <w:szCs w:val="32"/>
          <w:lang w:eastAsia="zh-CN"/>
        </w:rPr>
        <w:t>。</w:t>
      </w:r>
    </w:p>
    <w:p w14:paraId="0B29D73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5F32B604">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377DB18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2024年度一般公共预算财政拨款支出94.74万元，占本年支出合计的100.00%。与上年相比，减少16.04万元，下降14.48%，主要原因是：</w:t>
      </w:r>
      <w:r>
        <w:rPr>
          <w:rFonts w:hint="eastAsia" w:ascii="仿宋_GB2312" w:eastAsia="仿宋_GB2312"/>
          <w:sz w:val="32"/>
          <w:szCs w:val="32"/>
          <w:lang w:eastAsia="zh-CN"/>
        </w:rPr>
        <w:t>本年单位较上年减少第三方代理记账服务费</w:t>
      </w:r>
      <w:r>
        <w:rPr>
          <w:rFonts w:ascii="仿宋_GB2312" w:eastAsia="仿宋_GB2312"/>
          <w:sz w:val="32"/>
          <w:szCs w:val="32"/>
          <w:lang w:eastAsia="zh-CN"/>
        </w:rPr>
        <w:t>。与年初预算相比，年初预算数84.27万元，决算数94.74万元，预决算差异率12.42%，主要原因是：</w:t>
      </w:r>
      <w:r>
        <w:rPr>
          <w:rFonts w:hint="eastAsia" w:ascii="仿宋_GB2312" w:eastAsia="仿宋_GB2312"/>
          <w:sz w:val="32"/>
          <w:szCs w:val="32"/>
          <w:lang w:eastAsia="zh-CN"/>
        </w:rPr>
        <w:t>本年实际发放人员工资、津补贴等人员经费大于年初预算安排金额</w:t>
      </w:r>
      <w:r>
        <w:rPr>
          <w:rFonts w:ascii="仿宋_GB2312" w:eastAsia="仿宋_GB2312"/>
          <w:sz w:val="32"/>
          <w:szCs w:val="32"/>
          <w:lang w:eastAsia="zh-CN"/>
        </w:rPr>
        <w:t>。</w:t>
      </w:r>
    </w:p>
    <w:p w14:paraId="6C0FC44E">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33EADCBF">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一般公共服务支出（类）87.38万元，占92.23%。</w:t>
      </w:r>
    </w:p>
    <w:p w14:paraId="54236154">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社会保障和就业支出（类）7.36万元，占7.77%。</w:t>
      </w:r>
    </w:p>
    <w:p w14:paraId="6C59BA77">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4953571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1、一般公共服务支出（类）党委办公厅（室）及相关机构事务（款）事业运行（项）：支出决算数为87.38万元，比上年决算减少14.77万元，下降14.46%，主要原因是：</w:t>
      </w:r>
      <w:r>
        <w:rPr>
          <w:rFonts w:hint="eastAsia" w:ascii="仿宋_GB2312" w:eastAsia="仿宋_GB2312"/>
          <w:sz w:val="32"/>
          <w:szCs w:val="32"/>
          <w:lang w:eastAsia="zh-CN"/>
        </w:rPr>
        <w:t>本年单位较上年减少第三方代理记账服务费</w:t>
      </w:r>
      <w:r>
        <w:rPr>
          <w:rFonts w:ascii="仿宋_GB2312" w:eastAsia="仿宋_GB2312"/>
          <w:sz w:val="32"/>
          <w:szCs w:val="32"/>
          <w:lang w:eastAsia="zh-CN"/>
        </w:rPr>
        <w:t>。</w:t>
      </w:r>
    </w:p>
    <w:p w14:paraId="1D413B44">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2、社会保障和就业支出（类）行政事业单位养老支出（款）机关事业单位基本养老保险缴费支出（项）：支出决算数为7.36万元，比上年决算减少1.27万元，下降14.72%，主要原因是：</w:t>
      </w:r>
      <w:bookmarkStart w:id="0" w:name="_Hlk209009462"/>
      <w:r>
        <w:rPr>
          <w:rFonts w:hint="eastAsia" w:ascii="仿宋_GB2312" w:hAnsi="仿宋_GB2312" w:eastAsia="仿宋_GB2312" w:cs="仿宋_GB2312"/>
          <w:sz w:val="32"/>
          <w:szCs w:val="32"/>
          <w:lang w:val="zh-CN" w:eastAsia="zh-CN"/>
        </w:rPr>
        <w:t>单位新进人员职级低于调出人员，新进人员社保缴费基数低，</w:t>
      </w:r>
      <w:bookmarkEnd w:id="0"/>
      <w:r>
        <w:rPr>
          <w:rFonts w:hint="eastAsia" w:ascii="仿宋_GB2312" w:hAnsi="仿宋_GB2312" w:eastAsia="仿宋_GB2312" w:cs="仿宋_GB2312"/>
          <w:sz w:val="32"/>
          <w:szCs w:val="32"/>
          <w:lang w:val="zh-CN" w:eastAsia="zh-CN"/>
        </w:rPr>
        <w:t>单位人员</w:t>
      </w:r>
      <w:r>
        <w:rPr>
          <w:rFonts w:hint="eastAsia" w:ascii="仿宋_GB2312" w:hAnsi="仿宋_GB2312" w:eastAsia="仿宋_GB2312" w:cs="仿宋_GB2312"/>
          <w:sz w:val="32"/>
          <w:szCs w:val="32"/>
          <w:lang w:eastAsia="zh-CN"/>
        </w:rPr>
        <w:t>养老保险缴费减少</w:t>
      </w:r>
      <w:r>
        <w:rPr>
          <w:rFonts w:ascii="仿宋_GB2312" w:eastAsia="仿宋_GB2312"/>
          <w:sz w:val="32"/>
          <w:szCs w:val="32"/>
          <w:lang w:eastAsia="zh-CN"/>
        </w:rPr>
        <w:t>。</w:t>
      </w:r>
    </w:p>
    <w:p w14:paraId="6A8B69B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0164167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94.74万元，其中：人员经费91.17万元，包括：基本工资、津贴补贴、奖金、绩效工资、机关事业单位基本养老保险缴费、职工基本医疗保险缴费、公务员医疗补助缴费、其他社会保障缴费和住房公积金。</w:t>
      </w:r>
    </w:p>
    <w:p w14:paraId="77BE531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公用经费3.57万元，包括：办公费、委托业务费、工会经费和福利费。</w:t>
      </w:r>
    </w:p>
    <w:p w14:paraId="5B86188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4267FEE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2AABF56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21F1934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4BAC137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23737BB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bookmarkStart w:id="1" w:name="_Hlk207143847"/>
      <w:r>
        <w:rPr>
          <w:rFonts w:hint="eastAsia" w:ascii="仿宋_GB2312" w:eastAsia="仿宋_GB2312"/>
          <w:sz w:val="32"/>
          <w:szCs w:val="32"/>
          <w:lang w:eastAsia="zh-CN"/>
        </w:rPr>
        <w:t>我</w:t>
      </w:r>
      <w:bookmarkStart w:id="2" w:name="_Hlk209026967"/>
      <w:r>
        <w:rPr>
          <w:rFonts w:hint="eastAsia" w:ascii="仿宋_GB2312" w:eastAsia="仿宋_GB2312"/>
          <w:sz w:val="32"/>
          <w:szCs w:val="32"/>
          <w:lang w:eastAsia="zh-CN"/>
        </w:rPr>
        <w:t>单位上年度与本年度均无此项经费</w:t>
      </w:r>
      <w:bookmarkEnd w:id="1"/>
      <w:bookmarkEnd w:id="2"/>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205D2FB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31FD117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3" w:name="_Hlk207143872"/>
      <w:r>
        <w:rPr>
          <w:rFonts w:hint="eastAsia" w:ascii="仿宋_GB2312" w:eastAsia="仿宋_GB2312"/>
          <w:sz w:val="32"/>
          <w:szCs w:val="32"/>
          <w:lang w:eastAsia="zh-CN"/>
        </w:rPr>
        <w:t>单位本年无</w:t>
      </w:r>
      <w:r>
        <w:rPr>
          <w:rFonts w:ascii="仿宋_GB2312" w:eastAsia="仿宋_GB2312"/>
          <w:sz w:val="32"/>
          <w:szCs w:val="32"/>
          <w:lang w:eastAsia="zh-CN"/>
        </w:rPr>
        <w:t>因公出国（境）费</w:t>
      </w:r>
      <w:bookmarkEnd w:id="3"/>
      <w:r>
        <w:rPr>
          <w:rFonts w:ascii="仿宋_GB2312" w:eastAsia="仿宋_GB2312"/>
          <w:sz w:val="32"/>
          <w:szCs w:val="32"/>
          <w:lang w:eastAsia="zh-CN"/>
        </w:rPr>
        <w:t>。单位全年安排的因公出国（境）团组0个，因公出国（境）0人次。</w:t>
      </w:r>
    </w:p>
    <w:p w14:paraId="5494F29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4" w:name="_Hlk207140356"/>
      <w:r>
        <w:rPr>
          <w:rFonts w:hint="eastAsia" w:ascii="仿宋_GB2312" w:eastAsia="仿宋_GB2312"/>
          <w:sz w:val="32"/>
          <w:szCs w:val="32"/>
          <w:lang w:eastAsia="zh-CN"/>
        </w:rPr>
        <w:t>单位本年无</w:t>
      </w:r>
      <w:r>
        <w:rPr>
          <w:rFonts w:ascii="仿宋_GB2312" w:eastAsia="仿宋_GB2312"/>
          <w:sz w:val="32"/>
          <w:szCs w:val="32"/>
          <w:lang w:eastAsia="zh-CN"/>
        </w:rPr>
        <w:t>公务用车购置及运行维护费</w:t>
      </w:r>
      <w:bookmarkEnd w:id="4"/>
      <w:r>
        <w:rPr>
          <w:rFonts w:ascii="仿宋_GB2312" w:eastAsia="仿宋_GB2312"/>
          <w:sz w:val="32"/>
          <w:szCs w:val="32"/>
          <w:lang w:eastAsia="zh-CN"/>
        </w:rPr>
        <w:t>。公务用车购置数0辆，公务用车保有量0辆。国有资产占用情况中固定资产车辆0辆，与公务用车保有量差异原因是：</w:t>
      </w:r>
      <w:bookmarkStart w:id="5" w:name="_Hlk207143898"/>
      <w:r>
        <w:rPr>
          <w:rFonts w:hint="eastAsia" w:ascii="仿宋_GB2312" w:eastAsia="仿宋_GB2312"/>
          <w:sz w:val="32"/>
          <w:szCs w:val="32"/>
          <w:lang w:eastAsia="zh-CN"/>
        </w:rPr>
        <w:t>本单位固定资产车辆与公务用车保有量一致无差异</w:t>
      </w:r>
      <w:bookmarkEnd w:id="5"/>
      <w:r>
        <w:rPr>
          <w:rFonts w:ascii="仿宋_GB2312" w:eastAsia="仿宋_GB2312"/>
          <w:sz w:val="32"/>
          <w:szCs w:val="32"/>
          <w:lang w:eastAsia="zh-CN"/>
        </w:rPr>
        <w:t>。</w:t>
      </w:r>
    </w:p>
    <w:p w14:paraId="712AEF8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6" w:name="_Hlk207140433"/>
      <w:r>
        <w:rPr>
          <w:rFonts w:hint="eastAsia" w:ascii="仿宋_GB2312" w:eastAsia="仿宋_GB2312"/>
          <w:sz w:val="32"/>
          <w:szCs w:val="32"/>
          <w:lang w:eastAsia="zh-CN"/>
        </w:rPr>
        <w:t>单</w:t>
      </w:r>
      <w:bookmarkStart w:id="7" w:name="_Hlk209003368"/>
      <w:r>
        <w:rPr>
          <w:rFonts w:hint="eastAsia" w:ascii="仿宋_GB2312" w:eastAsia="仿宋_GB2312"/>
          <w:sz w:val="32"/>
          <w:szCs w:val="32"/>
          <w:lang w:eastAsia="zh-CN"/>
        </w:rPr>
        <w:t>位本年无</w:t>
      </w:r>
      <w:r>
        <w:rPr>
          <w:rFonts w:ascii="仿宋_GB2312" w:eastAsia="仿宋_GB2312"/>
          <w:sz w:val="32"/>
          <w:szCs w:val="32"/>
          <w:lang w:eastAsia="zh-CN"/>
        </w:rPr>
        <w:t>公务接待费</w:t>
      </w:r>
      <w:bookmarkEnd w:id="6"/>
      <w:bookmarkEnd w:id="7"/>
      <w:r>
        <w:rPr>
          <w:rFonts w:ascii="仿宋_GB2312" w:eastAsia="仿宋_GB2312"/>
          <w:sz w:val="32"/>
          <w:szCs w:val="32"/>
          <w:lang w:eastAsia="zh-CN"/>
        </w:rPr>
        <w:t>。单位全年安排的国内公务接待0批次，0人次。</w:t>
      </w:r>
    </w:p>
    <w:p w14:paraId="17331C9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bookmarkStart w:id="8" w:name="_Hlk207142995"/>
      <w:r>
        <w:rPr>
          <w:rFonts w:hint="eastAsia" w:ascii="仿宋_GB2312" w:eastAsia="仿宋_GB2312"/>
          <w:sz w:val="32"/>
          <w:szCs w:val="32"/>
          <w:lang w:eastAsia="zh-CN"/>
        </w:rPr>
        <w:t>严格按照预算执行，预决算对比无差异</w:t>
      </w:r>
      <w:bookmarkEnd w:id="8"/>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1EDD19C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233305B2">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776E30B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2024年度乌鲁木齐市米东区金融服务中心单位（事业单位）公用经费支出3.57万元，比上年减少2.07万元，下降36.70%，主要原因是：</w:t>
      </w:r>
      <w:r>
        <w:rPr>
          <w:rFonts w:hint="eastAsia" w:ascii="仿宋_GB2312" w:eastAsia="仿宋_GB2312"/>
          <w:sz w:val="32"/>
          <w:szCs w:val="32"/>
          <w:lang w:eastAsia="zh-CN"/>
        </w:rPr>
        <w:t>本年单位</w:t>
      </w:r>
      <w:r>
        <w:rPr>
          <w:rFonts w:ascii="仿宋_GB2312" w:eastAsia="仿宋_GB2312"/>
          <w:sz w:val="32"/>
          <w:szCs w:val="32"/>
          <w:lang w:eastAsia="zh-CN"/>
        </w:rPr>
        <w:t>办公费</w:t>
      </w:r>
      <w:r>
        <w:rPr>
          <w:rFonts w:hint="eastAsia" w:ascii="仿宋_GB2312" w:eastAsia="仿宋_GB2312"/>
          <w:sz w:val="32"/>
          <w:szCs w:val="32"/>
          <w:lang w:eastAsia="zh-CN"/>
        </w:rPr>
        <w:t>及</w:t>
      </w:r>
      <w:r>
        <w:rPr>
          <w:rFonts w:ascii="仿宋_GB2312" w:eastAsia="仿宋_GB2312"/>
          <w:sz w:val="32"/>
          <w:szCs w:val="32"/>
          <w:lang w:eastAsia="zh-CN"/>
        </w:rPr>
        <w:t>工会经费</w:t>
      </w:r>
      <w:r>
        <w:rPr>
          <w:rFonts w:hint="eastAsia" w:ascii="仿宋_GB2312" w:eastAsia="仿宋_GB2312"/>
          <w:sz w:val="32"/>
          <w:szCs w:val="32"/>
          <w:lang w:eastAsia="zh-CN"/>
        </w:rPr>
        <w:t>等较上年减少</w:t>
      </w:r>
      <w:r>
        <w:rPr>
          <w:rFonts w:ascii="仿宋_GB2312" w:eastAsia="仿宋_GB2312"/>
          <w:sz w:val="32"/>
          <w:szCs w:val="32"/>
          <w:lang w:eastAsia="zh-CN"/>
        </w:rPr>
        <w:t>。</w:t>
      </w:r>
    </w:p>
    <w:p w14:paraId="594EC486">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3DD63AC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5E9A701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65CADCDF">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328851E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w:t>
      </w:r>
      <w:r>
        <w:rPr>
          <w:rFonts w:hint="eastAsia" w:ascii="仿宋_GB2312" w:eastAsia="仿宋_GB2312"/>
          <w:sz w:val="32"/>
          <w:szCs w:val="32"/>
          <w:lang w:eastAsia="zh-CN"/>
        </w:rPr>
        <w:t>单位无</w:t>
      </w:r>
      <w:r>
        <w:rPr>
          <w:rFonts w:ascii="仿宋_GB2312" w:eastAsia="仿宋_GB2312"/>
          <w:sz w:val="32"/>
          <w:szCs w:val="32"/>
          <w:lang w:eastAsia="zh-CN"/>
        </w:rPr>
        <w:t>其他用车;单价100万元（含）以上设备（不含车辆）0台（套）。</w:t>
      </w:r>
    </w:p>
    <w:p w14:paraId="32BA93D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3AC643D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94.74万元，实际执行总额94.74万元；预算绩效评价项目0个，全年预算数0.00万元，全年执行数0.00万元。预算绩效管理取得的成效：一是通过对项目设立的背景、意义、项目内容、项目现状及绩效目标、资金投入、资金管理、组织实施、数量指标、质量指标、时效指标、成本指标和效益指标等进行深入调研和分析，进一步了解项目实施情况，并考察项目实施过程和效果；二是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发现的问题及原因：一是内部管理机制亟待优化。主要问题包括部门职责边界模糊导致部分工作存在交叉重叠，岗位责任划分需进一步明晰；人员能力建设体系与绩效评估机制尚未健全，具体表现为培训体系缺乏针对性、考核方案更新滞后、人员信息动态管理机制缺失等问题</w:t>
      </w:r>
      <w:r>
        <w:rPr>
          <w:rFonts w:hint="eastAsia" w:ascii="仿宋_GB2312" w:eastAsia="仿宋_GB2312"/>
          <w:sz w:val="32"/>
          <w:szCs w:val="32"/>
          <w:lang w:eastAsia="zh-CN"/>
        </w:rPr>
        <w:t>；</w:t>
      </w:r>
      <w:r>
        <w:rPr>
          <w:rFonts w:ascii="仿宋_GB2312" w:eastAsia="仿宋_GB2312"/>
          <w:sz w:val="32"/>
          <w:szCs w:val="32"/>
          <w:lang w:eastAsia="zh-CN"/>
        </w:rPr>
        <w:t>二是预算规划前瞻性不足。现行预算编制体系与战略规划协同性有待强化，具体反映在预算调整频次过高、调整幅度超出合理区间，以及短期年度目标与中长期发展规划的衔接紧密度不足，需增强预算编制的战略导向作用</w:t>
      </w:r>
      <w:r>
        <w:rPr>
          <w:rFonts w:hint="eastAsia" w:ascii="仿宋_GB2312" w:eastAsia="仿宋_GB2312"/>
          <w:sz w:val="32"/>
          <w:szCs w:val="32"/>
          <w:lang w:eastAsia="zh-CN"/>
        </w:rPr>
        <w:t>；</w:t>
      </w:r>
      <w:r>
        <w:rPr>
          <w:rFonts w:ascii="仿宋_GB2312" w:eastAsia="仿宋_GB2312"/>
          <w:sz w:val="32"/>
          <w:szCs w:val="32"/>
          <w:lang w:eastAsia="zh-CN"/>
        </w:rPr>
        <w:t>三是资产全周期管理存在薄弱环节。固定资产处置环节的监管机制尚未完善，在资产报废、转移、再利用等关键节点的审批流程规范性及执行监督力度需进一步加强，存在资产流失风险防控漏洞。四是绩效管理体系科学</w:t>
      </w:r>
      <w:r>
        <w:rPr>
          <w:rFonts w:hint="eastAsia" w:ascii="仿宋_GB2312" w:eastAsia="仿宋_GB2312"/>
          <w:sz w:val="32"/>
          <w:szCs w:val="32"/>
          <w:lang w:eastAsia="zh-CN"/>
        </w:rPr>
        <w:t>性有</w:t>
      </w:r>
      <w:r>
        <w:rPr>
          <w:rFonts w:ascii="仿宋_GB2312" w:eastAsia="仿宋_GB2312"/>
          <w:sz w:val="32"/>
          <w:szCs w:val="32"/>
          <w:lang w:eastAsia="zh-CN"/>
        </w:rPr>
        <w:t>待提升。部门绩效指标设计存在系统性不足。下一步改进措施：一是构建多元化、专业化、独立性的评价主体体系。建议整合第三方专业机构、学术智库及行业专家资源，建立交叉验证的评价机制。同步完善信息公开机制，畅通公众意见反馈渠道，通过数字化平台实现绩效数据实时共享，构建社会监督与专业评估相结合的新型治理模式。同时加强绩效管理人才队伍建设，建立系统化培训机制，重点提升指标设计、数据分析等核心能力</w:t>
      </w:r>
      <w:r>
        <w:rPr>
          <w:rFonts w:hint="eastAsia" w:ascii="仿宋_GB2312" w:eastAsia="仿宋_GB2312"/>
          <w:sz w:val="32"/>
          <w:szCs w:val="32"/>
          <w:lang w:eastAsia="zh-CN"/>
        </w:rPr>
        <w:t>；</w:t>
      </w:r>
      <w:r>
        <w:rPr>
          <w:rFonts w:ascii="仿宋_GB2312" w:eastAsia="仿宋_GB2312"/>
          <w:sz w:val="32"/>
          <w:szCs w:val="32"/>
          <w:lang w:eastAsia="zh-CN"/>
        </w:rPr>
        <w:t>二是强化战略导向的绩效目标管理机制。推行职能-目标-预算</w:t>
      </w:r>
      <w:r>
        <w:rPr>
          <w:rFonts w:hint="eastAsia" w:ascii="仿宋_GB2312" w:eastAsia="仿宋_GB2312"/>
          <w:sz w:val="32"/>
          <w:szCs w:val="32"/>
          <w:lang w:eastAsia="zh-CN"/>
        </w:rPr>
        <w:t>三项校准</w:t>
      </w:r>
      <w:r>
        <w:rPr>
          <w:rFonts w:ascii="仿宋_GB2312" w:eastAsia="仿宋_GB2312"/>
          <w:sz w:val="32"/>
          <w:szCs w:val="32"/>
          <w:lang w:eastAsia="zh-CN"/>
        </w:rPr>
        <w:t>制度，确保绩效目标体系与机构法定职责形成强关联。在指标设计层面，构建分层分类指标体系：宏观层面采用“投入-过程-产出-效益”四维综合评价框架，微观层面聚焦核心业务提炼关键绩效指标。探索建立指标动态调整机制，根据政策重点变化按年度优化指标权重</w:t>
      </w:r>
      <w:r>
        <w:rPr>
          <w:rFonts w:hint="eastAsia" w:ascii="仿宋_GB2312" w:eastAsia="仿宋_GB2312"/>
          <w:sz w:val="32"/>
          <w:szCs w:val="32"/>
          <w:lang w:eastAsia="zh-CN"/>
        </w:rPr>
        <w:t>；</w:t>
      </w:r>
      <w:r>
        <w:rPr>
          <w:rFonts w:ascii="仿宋_GB2312" w:eastAsia="仿宋_GB2312"/>
          <w:sz w:val="32"/>
          <w:szCs w:val="32"/>
          <w:lang w:eastAsia="zh-CN"/>
        </w:rPr>
        <w:t>三是强化绩效评价结果应用闭环管理。建立“问题发现-整改落实-成效评估”的全周期管理机制，开发绩效数据公开平台实现评价结果可视化呈现。将评价结果与预算编制挂钩，建立“预算安排-绩效承诺-结果反馈”的激励约束机制。同时构建跨部门绩效对标体系，通过横向比较形成良性竞争态势，推动公共服务质量持续改进。具体附部门整体支出绩效自评表。</w:t>
      </w:r>
    </w:p>
    <w:p w14:paraId="1A8B5A3E">
      <w:pPr>
        <w:jc w:val="center"/>
        <w:rPr>
          <w:rFonts w:ascii="宋体" w:hAnsi="宋体" w:eastAsia="宋体" w:cs="宋体"/>
          <w:b/>
          <w:bCs/>
          <w:sz w:val="28"/>
          <w:szCs w:val="28"/>
          <w:lang w:eastAsia="zh-CN"/>
        </w:rPr>
      </w:pPr>
      <w:bookmarkStart w:id="9" w:name="_Hlk174962300"/>
    </w:p>
    <w:p w14:paraId="54D66B20">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40D87ED8">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2FA53C40">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4C87049A">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72C86381">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乌鲁木齐市米东区金融服务中心</w:t>
            </w:r>
          </w:p>
        </w:tc>
        <w:tc>
          <w:tcPr>
            <w:tcW w:w="284" w:type="dxa"/>
            <w:tcBorders>
              <w:top w:val="nil"/>
              <w:left w:val="nil"/>
              <w:bottom w:val="nil"/>
              <w:right w:val="nil"/>
            </w:tcBorders>
            <w:noWrap/>
            <w:vAlign w:val="center"/>
          </w:tcPr>
          <w:p w14:paraId="0C9E4AB8">
            <w:pPr>
              <w:rPr>
                <w:rFonts w:hint="eastAsia" w:ascii="宋体" w:hAnsi="宋体" w:eastAsia="宋体" w:cs="宋体"/>
                <w:b/>
                <w:bCs/>
                <w:sz w:val="18"/>
                <w:szCs w:val="18"/>
                <w:lang w:eastAsia="zh-CN"/>
              </w:rPr>
            </w:pPr>
          </w:p>
        </w:tc>
      </w:tr>
      <w:tr w14:paraId="3CD5932E">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7105410F">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719DC62C">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4CC86B36">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3FC5DFBE">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25254FCC">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2372FB6F">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0D249F41">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50FE307E">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42972E3C">
            <w:pPr>
              <w:jc w:val="center"/>
              <w:rPr>
                <w:rFonts w:hint="eastAsia" w:ascii="宋体" w:hAnsi="宋体" w:eastAsia="宋体" w:cs="宋体"/>
                <w:b/>
                <w:bCs/>
                <w:sz w:val="18"/>
                <w:szCs w:val="18"/>
              </w:rPr>
            </w:pPr>
          </w:p>
        </w:tc>
      </w:tr>
      <w:tr w14:paraId="7BB70531">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87C2E50">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7F09B4C3">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326886CA">
            <w:pPr>
              <w:jc w:val="center"/>
              <w:rPr>
                <w:rFonts w:hint="eastAsia" w:ascii="宋体" w:hAnsi="宋体" w:eastAsia="宋体" w:cs="宋体"/>
                <w:sz w:val="18"/>
                <w:szCs w:val="18"/>
              </w:rPr>
            </w:pPr>
            <w:r>
              <w:rPr>
                <w:rFonts w:hint="eastAsia" w:ascii="宋体" w:hAnsi="宋体" w:eastAsia="宋体" w:cs="宋体"/>
                <w:sz w:val="18"/>
                <w:szCs w:val="18"/>
              </w:rPr>
              <w:t>84.27</w:t>
            </w:r>
          </w:p>
        </w:tc>
        <w:tc>
          <w:tcPr>
            <w:tcW w:w="1276" w:type="dxa"/>
            <w:tcBorders>
              <w:top w:val="nil"/>
              <w:left w:val="nil"/>
              <w:bottom w:val="single" w:color="auto" w:sz="4" w:space="0"/>
              <w:right w:val="single" w:color="auto" w:sz="4" w:space="0"/>
            </w:tcBorders>
            <w:vAlign w:val="center"/>
          </w:tcPr>
          <w:p w14:paraId="6F07C73A">
            <w:pPr>
              <w:jc w:val="center"/>
              <w:rPr>
                <w:rFonts w:hint="eastAsia" w:ascii="宋体" w:hAnsi="宋体" w:eastAsia="宋体" w:cs="宋体"/>
                <w:sz w:val="18"/>
                <w:szCs w:val="18"/>
              </w:rPr>
            </w:pPr>
            <w:r>
              <w:rPr>
                <w:rFonts w:hint="eastAsia" w:ascii="宋体" w:hAnsi="宋体" w:eastAsia="宋体" w:cs="宋体"/>
                <w:sz w:val="18"/>
                <w:szCs w:val="18"/>
              </w:rPr>
              <w:t>94.74</w:t>
            </w:r>
          </w:p>
        </w:tc>
        <w:tc>
          <w:tcPr>
            <w:tcW w:w="1701" w:type="dxa"/>
            <w:tcBorders>
              <w:top w:val="nil"/>
              <w:left w:val="nil"/>
              <w:bottom w:val="single" w:color="auto" w:sz="4" w:space="0"/>
              <w:right w:val="single" w:color="auto" w:sz="4" w:space="0"/>
            </w:tcBorders>
            <w:vAlign w:val="center"/>
          </w:tcPr>
          <w:p w14:paraId="1872DFBA">
            <w:pPr>
              <w:jc w:val="center"/>
              <w:rPr>
                <w:rFonts w:hint="eastAsia" w:ascii="宋体" w:hAnsi="宋体" w:eastAsia="宋体" w:cs="宋体"/>
                <w:sz w:val="18"/>
                <w:szCs w:val="18"/>
              </w:rPr>
            </w:pPr>
            <w:r>
              <w:rPr>
                <w:rFonts w:hint="eastAsia" w:ascii="宋体" w:hAnsi="宋体" w:eastAsia="宋体" w:cs="宋体"/>
                <w:sz w:val="18"/>
                <w:szCs w:val="18"/>
              </w:rPr>
              <w:t>94.74</w:t>
            </w:r>
          </w:p>
        </w:tc>
        <w:tc>
          <w:tcPr>
            <w:tcW w:w="1134" w:type="dxa"/>
            <w:tcBorders>
              <w:top w:val="nil"/>
              <w:left w:val="nil"/>
              <w:bottom w:val="single" w:color="auto" w:sz="4" w:space="0"/>
              <w:right w:val="single" w:color="auto" w:sz="4" w:space="0"/>
            </w:tcBorders>
            <w:vAlign w:val="center"/>
          </w:tcPr>
          <w:p w14:paraId="09FDAC87">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63D0753B">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4F2E4F7E">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3EAC86AA">
            <w:pPr>
              <w:jc w:val="center"/>
              <w:rPr>
                <w:rFonts w:hint="eastAsia" w:ascii="宋体" w:hAnsi="宋体" w:eastAsia="宋体" w:cs="宋体"/>
                <w:b/>
                <w:bCs/>
                <w:sz w:val="18"/>
                <w:szCs w:val="18"/>
              </w:rPr>
            </w:pPr>
          </w:p>
        </w:tc>
      </w:tr>
      <w:tr w14:paraId="239609AA">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74F160C">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700D9DE7">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556F9510">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34B66141">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53BDB74E">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302E0A1F">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7147187B">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4F8322FD">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74E22AEF">
            <w:pPr>
              <w:jc w:val="center"/>
              <w:rPr>
                <w:rFonts w:hint="eastAsia" w:ascii="宋体" w:hAnsi="宋体" w:eastAsia="宋体" w:cs="宋体"/>
                <w:sz w:val="18"/>
                <w:szCs w:val="18"/>
              </w:rPr>
            </w:pPr>
          </w:p>
        </w:tc>
      </w:tr>
      <w:tr w14:paraId="64189D9E">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DFD7588">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F92B3C8">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0A07BD2D">
            <w:pPr>
              <w:jc w:val="center"/>
              <w:rPr>
                <w:rFonts w:hint="eastAsia" w:ascii="宋体" w:hAnsi="宋体" w:eastAsia="宋体" w:cs="宋体"/>
                <w:sz w:val="18"/>
                <w:szCs w:val="18"/>
              </w:rPr>
            </w:pPr>
            <w:r>
              <w:rPr>
                <w:rFonts w:hint="eastAsia" w:ascii="宋体" w:hAnsi="宋体" w:eastAsia="宋体" w:cs="宋体"/>
                <w:sz w:val="18"/>
                <w:szCs w:val="18"/>
              </w:rPr>
              <w:t>84.27</w:t>
            </w:r>
          </w:p>
        </w:tc>
        <w:tc>
          <w:tcPr>
            <w:tcW w:w="1276" w:type="dxa"/>
            <w:tcBorders>
              <w:top w:val="nil"/>
              <w:left w:val="nil"/>
              <w:bottom w:val="single" w:color="auto" w:sz="4" w:space="0"/>
              <w:right w:val="single" w:color="auto" w:sz="4" w:space="0"/>
            </w:tcBorders>
            <w:vAlign w:val="center"/>
          </w:tcPr>
          <w:p w14:paraId="65F11FB1">
            <w:pPr>
              <w:jc w:val="center"/>
              <w:rPr>
                <w:rFonts w:hint="eastAsia" w:ascii="宋体" w:hAnsi="宋体" w:eastAsia="宋体" w:cs="宋体"/>
                <w:sz w:val="18"/>
                <w:szCs w:val="18"/>
              </w:rPr>
            </w:pPr>
            <w:r>
              <w:rPr>
                <w:rFonts w:hint="eastAsia" w:ascii="宋体" w:hAnsi="宋体" w:eastAsia="宋体" w:cs="宋体"/>
                <w:sz w:val="18"/>
                <w:szCs w:val="18"/>
              </w:rPr>
              <w:t>94.74</w:t>
            </w:r>
          </w:p>
        </w:tc>
        <w:tc>
          <w:tcPr>
            <w:tcW w:w="1701" w:type="dxa"/>
            <w:tcBorders>
              <w:top w:val="nil"/>
              <w:left w:val="nil"/>
              <w:bottom w:val="single" w:color="auto" w:sz="4" w:space="0"/>
              <w:right w:val="single" w:color="auto" w:sz="4" w:space="0"/>
            </w:tcBorders>
            <w:vAlign w:val="center"/>
          </w:tcPr>
          <w:p w14:paraId="6E59B9EA">
            <w:pPr>
              <w:jc w:val="center"/>
              <w:rPr>
                <w:rFonts w:hint="eastAsia" w:ascii="宋体" w:hAnsi="宋体" w:eastAsia="宋体" w:cs="宋体"/>
                <w:sz w:val="18"/>
                <w:szCs w:val="18"/>
              </w:rPr>
            </w:pPr>
            <w:r>
              <w:rPr>
                <w:rFonts w:hint="eastAsia" w:ascii="宋体" w:hAnsi="宋体" w:eastAsia="宋体" w:cs="宋体"/>
                <w:sz w:val="18"/>
                <w:szCs w:val="18"/>
              </w:rPr>
              <w:t>94.74</w:t>
            </w:r>
          </w:p>
        </w:tc>
        <w:tc>
          <w:tcPr>
            <w:tcW w:w="1134" w:type="dxa"/>
            <w:tcBorders>
              <w:top w:val="nil"/>
              <w:left w:val="nil"/>
              <w:bottom w:val="single" w:color="auto" w:sz="4" w:space="0"/>
              <w:right w:val="single" w:color="auto" w:sz="4" w:space="0"/>
            </w:tcBorders>
            <w:vAlign w:val="center"/>
          </w:tcPr>
          <w:p w14:paraId="033E4670">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0720F70E">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16B288B1">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5A32A609">
            <w:pPr>
              <w:jc w:val="center"/>
              <w:rPr>
                <w:rFonts w:hint="eastAsia" w:ascii="宋体" w:hAnsi="宋体" w:eastAsia="宋体" w:cs="宋体"/>
                <w:sz w:val="18"/>
                <w:szCs w:val="18"/>
              </w:rPr>
            </w:pPr>
          </w:p>
        </w:tc>
      </w:tr>
      <w:tr w14:paraId="4F0E081F">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F639F9A">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4BEE8B52">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1963A15B">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1E31EE5C">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7C921224">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0ACEDD4D">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3D0C8DF1">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25AE2E85">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263B613C">
            <w:pPr>
              <w:jc w:val="center"/>
              <w:rPr>
                <w:rFonts w:hint="eastAsia" w:ascii="宋体" w:hAnsi="宋体" w:eastAsia="宋体" w:cs="宋体"/>
                <w:sz w:val="18"/>
                <w:szCs w:val="18"/>
              </w:rPr>
            </w:pPr>
          </w:p>
        </w:tc>
      </w:tr>
      <w:tr w14:paraId="13A3FE68">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85A787B">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71CD041C">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6123A8EC">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30143E3A">
            <w:pPr>
              <w:rPr>
                <w:rFonts w:hint="eastAsia" w:ascii="宋体" w:hAnsi="宋体" w:eastAsia="宋体" w:cs="宋体"/>
                <w:b/>
                <w:bCs/>
                <w:sz w:val="18"/>
                <w:szCs w:val="18"/>
              </w:rPr>
            </w:pPr>
          </w:p>
        </w:tc>
      </w:tr>
      <w:tr w14:paraId="555E2AD2">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5638C43">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2708ADD3">
            <w:pPr>
              <w:rPr>
                <w:rFonts w:hint="eastAsia" w:ascii="宋体" w:hAnsi="宋体" w:eastAsia="宋体" w:cs="宋体"/>
                <w:sz w:val="18"/>
                <w:szCs w:val="18"/>
                <w:lang w:eastAsia="zh-CN"/>
              </w:rPr>
            </w:pPr>
            <w:r>
              <w:rPr>
                <w:rFonts w:hint="eastAsia" w:ascii="宋体" w:hAnsi="宋体" w:eastAsia="宋体" w:cs="宋体"/>
                <w:sz w:val="18"/>
                <w:szCs w:val="18"/>
                <w:lang w:eastAsia="zh-CN"/>
              </w:rPr>
              <w:t>贯彻执行国家、自治区和乌鲁木齐市有关金融工作的方针、政策和法律法规。研究分析金融业运行情况及工作状态，并提出相关意见、建议；围绕涉及金融产业发展、建立新型投融资体制等重大课题开展分析研究，并提出相关意见、建议；引导、推动各类金融机构的发展，为建立多层次金融服务体系、金融项目招商等提供宣传、政策咨询等服务；参与协调金融产业服务质量的提档升级工作。</w:t>
            </w:r>
          </w:p>
        </w:tc>
        <w:tc>
          <w:tcPr>
            <w:tcW w:w="4547" w:type="dxa"/>
            <w:gridSpan w:val="4"/>
            <w:tcBorders>
              <w:top w:val="single" w:color="auto" w:sz="4" w:space="0"/>
              <w:left w:val="nil"/>
              <w:bottom w:val="single" w:color="auto" w:sz="4" w:space="0"/>
              <w:right w:val="single" w:color="auto" w:sz="4" w:space="0"/>
            </w:tcBorders>
          </w:tcPr>
          <w:p w14:paraId="13013612">
            <w:pPr>
              <w:rPr>
                <w:rFonts w:hint="eastAsia" w:ascii="宋体" w:hAnsi="宋体" w:eastAsia="宋体" w:cs="宋体"/>
                <w:sz w:val="18"/>
                <w:szCs w:val="18"/>
                <w:lang w:eastAsia="zh-CN"/>
              </w:rPr>
            </w:pPr>
            <w:r>
              <w:rPr>
                <w:rFonts w:hint="eastAsia" w:ascii="宋体" w:hAnsi="宋体" w:eastAsia="宋体" w:cs="宋体"/>
                <w:sz w:val="18"/>
                <w:szCs w:val="18"/>
                <w:lang w:eastAsia="zh-CN"/>
              </w:rPr>
              <w:t>2024年，每季度开展防范非法集资风险摸排，全区累计排查各类企业7.4万余家次，收集涉非法集资线索4条并核实处置，有效维护了金融秩序和社会稳定。组织区处非成员单位开展防范非法集资集中宣传和防范非法集资“七进”宣传3733次，8.3万余人次参与；发放各类防范非法集资宣传材料2万余份，线上转发各类防范非法集资宣传信息2.1万余条/次。解决企业、项目遇到的金融问题。每季度召开一次政银企座谈会。组织辖区金融机构建立“大走访”机制，分组分批次对辖区内大项目业主企业、中小微企业、个体工商户、农业经营主体等开展现场走访，扩展金融服务范围，不仅限于融资，切实解决企业、项目遇到的金融问题。摸排梳理并组织银行走访辖内有融资需求企业10家，解决兆荣石油信用贷款800万元。为里巷商业街区、乌鲁木齐米东吾悦广场两个重点项目协调贷款2亿元。2024年以来，组织辖区银行走访企业2980家，个体工商户3720家，举办金融宣传180场，信贷累计总投放530192万元，其中大型企业9户，发放贷款73479万元，中小微企业741户，发放贷款259062万元，个体工商户2331户，发放贷款197651万元。</w:t>
            </w:r>
          </w:p>
        </w:tc>
        <w:tc>
          <w:tcPr>
            <w:tcW w:w="284" w:type="dxa"/>
            <w:tcBorders>
              <w:top w:val="nil"/>
              <w:left w:val="nil"/>
              <w:bottom w:val="nil"/>
              <w:right w:val="nil"/>
            </w:tcBorders>
            <w:noWrap/>
            <w:vAlign w:val="center"/>
          </w:tcPr>
          <w:p w14:paraId="30840FC8">
            <w:pPr>
              <w:rPr>
                <w:rFonts w:hint="eastAsia" w:ascii="宋体" w:hAnsi="宋体" w:eastAsia="宋体" w:cs="宋体"/>
                <w:sz w:val="18"/>
                <w:szCs w:val="18"/>
                <w:lang w:eastAsia="zh-CN"/>
              </w:rPr>
            </w:pPr>
          </w:p>
        </w:tc>
      </w:tr>
      <w:tr w14:paraId="6891E2F1">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189D98DA">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70FD9F83">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4CDD46E5">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5FF5A504">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6DC884E2">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409ECAA9">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26D19947">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51F1F123">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49BCBC55">
            <w:pPr>
              <w:rPr>
                <w:rFonts w:hint="eastAsia" w:ascii="宋体" w:hAnsi="宋体" w:eastAsia="宋体" w:cs="宋体"/>
                <w:b/>
                <w:bCs/>
                <w:sz w:val="18"/>
                <w:szCs w:val="18"/>
              </w:rPr>
            </w:pPr>
          </w:p>
        </w:tc>
      </w:tr>
      <w:tr w14:paraId="5587FB53">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14:paraId="3FBC1E21">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2EDCA504">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61B359CD">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举办政银企座谈会次数</w:t>
            </w:r>
          </w:p>
        </w:tc>
        <w:tc>
          <w:tcPr>
            <w:tcW w:w="1276" w:type="dxa"/>
            <w:tcBorders>
              <w:top w:val="nil"/>
              <w:left w:val="nil"/>
              <w:bottom w:val="single" w:color="auto" w:sz="4" w:space="0"/>
              <w:right w:val="single" w:color="auto" w:sz="4" w:space="0"/>
            </w:tcBorders>
            <w:noWrap/>
            <w:vAlign w:val="center"/>
          </w:tcPr>
          <w:p w14:paraId="3888F506">
            <w:pPr>
              <w:jc w:val="center"/>
              <w:rPr>
                <w:rFonts w:hint="eastAsia" w:ascii="宋体" w:hAnsi="宋体" w:eastAsia="宋体" w:cs="宋体"/>
                <w:sz w:val="18"/>
                <w:szCs w:val="18"/>
              </w:rPr>
            </w:pPr>
            <w:bookmarkStart w:id="10" w:name="_GoBack"/>
            <w:r>
              <w:rPr>
                <w:rFonts w:hint="eastAsia" w:ascii="宋体" w:hAnsi="宋体" w:eastAsia="宋体" w:cs="宋体"/>
                <w:sz w:val="18"/>
                <w:szCs w:val="18"/>
              </w:rPr>
              <w:t>&gt;</w:t>
            </w:r>
            <w:bookmarkEnd w:id="10"/>
            <w:r>
              <w:rPr>
                <w:rFonts w:hint="eastAsia" w:ascii="宋体" w:hAnsi="宋体" w:eastAsia="宋体" w:cs="宋体"/>
                <w:sz w:val="18"/>
                <w:szCs w:val="18"/>
              </w:rPr>
              <w:t>=4次</w:t>
            </w:r>
          </w:p>
        </w:tc>
        <w:tc>
          <w:tcPr>
            <w:tcW w:w="1701" w:type="dxa"/>
            <w:tcBorders>
              <w:top w:val="nil"/>
              <w:left w:val="nil"/>
              <w:bottom w:val="single" w:color="auto" w:sz="4" w:space="0"/>
              <w:right w:val="single" w:color="auto" w:sz="4" w:space="0"/>
            </w:tcBorders>
            <w:noWrap/>
            <w:vAlign w:val="center"/>
          </w:tcPr>
          <w:p w14:paraId="792CC211">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新疆维吾尔自治区《优化营商环境条例》办法</w:t>
            </w:r>
          </w:p>
        </w:tc>
        <w:tc>
          <w:tcPr>
            <w:tcW w:w="1134" w:type="dxa"/>
            <w:tcBorders>
              <w:top w:val="nil"/>
              <w:left w:val="nil"/>
              <w:bottom w:val="single" w:color="auto" w:sz="4" w:space="0"/>
              <w:right w:val="single" w:color="auto" w:sz="4" w:space="0"/>
            </w:tcBorders>
            <w:noWrap/>
            <w:vAlign w:val="center"/>
          </w:tcPr>
          <w:p w14:paraId="451DECAD">
            <w:pPr>
              <w:jc w:val="center"/>
              <w:rPr>
                <w:rFonts w:hint="eastAsia" w:ascii="宋体" w:hAnsi="宋体" w:eastAsia="宋体" w:cs="宋体"/>
                <w:sz w:val="18"/>
                <w:szCs w:val="18"/>
              </w:rPr>
            </w:pPr>
            <w:r>
              <w:rPr>
                <w:rFonts w:hint="eastAsia" w:ascii="宋体" w:hAnsi="宋体" w:eastAsia="宋体" w:cs="宋体"/>
                <w:sz w:val="18"/>
                <w:szCs w:val="18"/>
              </w:rPr>
              <w:t>4</w:t>
            </w:r>
          </w:p>
        </w:tc>
        <w:tc>
          <w:tcPr>
            <w:tcW w:w="992" w:type="dxa"/>
            <w:tcBorders>
              <w:top w:val="nil"/>
              <w:left w:val="nil"/>
              <w:bottom w:val="single" w:color="auto" w:sz="4" w:space="0"/>
              <w:right w:val="single" w:color="auto" w:sz="4" w:space="0"/>
            </w:tcBorders>
            <w:noWrap/>
            <w:vAlign w:val="center"/>
          </w:tcPr>
          <w:p w14:paraId="280D9545">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2C244B8A">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0772ADF3">
            <w:pPr>
              <w:jc w:val="center"/>
              <w:rPr>
                <w:rFonts w:hint="eastAsia" w:ascii="宋体" w:hAnsi="宋体" w:eastAsia="宋体" w:cs="宋体"/>
                <w:sz w:val="18"/>
                <w:szCs w:val="18"/>
              </w:rPr>
            </w:pPr>
          </w:p>
        </w:tc>
      </w:tr>
      <w:tr w14:paraId="5174E85F">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5CC173E5">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048802BE">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70DDF1BC">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开展防范非法集资宣传工作单位数</w:t>
            </w:r>
          </w:p>
        </w:tc>
        <w:tc>
          <w:tcPr>
            <w:tcW w:w="1276" w:type="dxa"/>
            <w:tcBorders>
              <w:top w:val="nil"/>
              <w:left w:val="nil"/>
              <w:bottom w:val="single" w:color="auto" w:sz="4" w:space="0"/>
              <w:right w:val="single" w:color="auto" w:sz="4" w:space="0"/>
            </w:tcBorders>
            <w:noWrap/>
            <w:vAlign w:val="center"/>
          </w:tcPr>
          <w:p w14:paraId="0D8FBAC7">
            <w:pPr>
              <w:jc w:val="center"/>
              <w:rPr>
                <w:rFonts w:hint="eastAsia" w:ascii="宋体" w:hAnsi="宋体" w:eastAsia="宋体" w:cs="宋体"/>
                <w:sz w:val="18"/>
                <w:szCs w:val="18"/>
              </w:rPr>
            </w:pPr>
            <w:r>
              <w:rPr>
                <w:rFonts w:hint="eastAsia" w:ascii="宋体" w:hAnsi="宋体" w:eastAsia="宋体" w:cs="宋体"/>
                <w:sz w:val="18"/>
                <w:szCs w:val="18"/>
              </w:rPr>
              <w:t>&gt;=30家</w:t>
            </w:r>
          </w:p>
        </w:tc>
        <w:tc>
          <w:tcPr>
            <w:tcW w:w="1701" w:type="dxa"/>
            <w:tcBorders>
              <w:top w:val="nil"/>
              <w:left w:val="nil"/>
              <w:bottom w:val="single" w:color="auto" w:sz="4" w:space="0"/>
              <w:right w:val="single" w:color="auto" w:sz="4" w:space="0"/>
            </w:tcBorders>
            <w:noWrap/>
            <w:vAlign w:val="center"/>
          </w:tcPr>
          <w:p w14:paraId="5DFD12F9">
            <w:pPr>
              <w:rPr>
                <w:rFonts w:hint="eastAsia" w:ascii="宋体" w:hAnsi="宋体" w:eastAsia="宋体" w:cs="宋体"/>
                <w:sz w:val="18"/>
                <w:szCs w:val="18"/>
                <w:lang w:eastAsia="zh-CN"/>
              </w:rPr>
            </w:pPr>
            <w:r>
              <w:rPr>
                <w:rFonts w:hint="eastAsia" w:ascii="宋体" w:hAnsi="宋体" w:eastAsia="宋体" w:cs="宋体"/>
                <w:sz w:val="18"/>
                <w:szCs w:val="18"/>
                <w:lang w:eastAsia="zh-CN"/>
              </w:rPr>
              <w:t>《防范和处置非法集资条例》</w:t>
            </w:r>
          </w:p>
        </w:tc>
        <w:tc>
          <w:tcPr>
            <w:tcW w:w="1134" w:type="dxa"/>
            <w:tcBorders>
              <w:top w:val="nil"/>
              <w:left w:val="nil"/>
              <w:bottom w:val="single" w:color="auto" w:sz="4" w:space="0"/>
              <w:right w:val="single" w:color="auto" w:sz="4" w:space="0"/>
            </w:tcBorders>
            <w:noWrap/>
            <w:vAlign w:val="center"/>
          </w:tcPr>
          <w:p w14:paraId="50CDBA84">
            <w:pPr>
              <w:jc w:val="center"/>
              <w:rPr>
                <w:rFonts w:hint="eastAsia" w:ascii="宋体" w:hAnsi="宋体" w:eastAsia="宋体" w:cs="宋体"/>
                <w:sz w:val="18"/>
                <w:szCs w:val="18"/>
              </w:rPr>
            </w:pPr>
            <w:r>
              <w:rPr>
                <w:rFonts w:hint="eastAsia" w:ascii="宋体" w:hAnsi="宋体" w:eastAsia="宋体" w:cs="宋体"/>
                <w:sz w:val="18"/>
                <w:szCs w:val="18"/>
              </w:rPr>
              <w:t>37</w:t>
            </w:r>
          </w:p>
        </w:tc>
        <w:tc>
          <w:tcPr>
            <w:tcW w:w="992" w:type="dxa"/>
            <w:tcBorders>
              <w:top w:val="nil"/>
              <w:left w:val="nil"/>
              <w:bottom w:val="single" w:color="auto" w:sz="4" w:space="0"/>
              <w:right w:val="single" w:color="auto" w:sz="4" w:space="0"/>
            </w:tcBorders>
            <w:noWrap/>
            <w:vAlign w:val="center"/>
          </w:tcPr>
          <w:p w14:paraId="7F792E8B">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66FB8D78">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5B6F21EA">
            <w:pPr>
              <w:jc w:val="center"/>
              <w:rPr>
                <w:rFonts w:hint="eastAsia" w:ascii="宋体" w:hAnsi="宋体" w:eastAsia="宋体" w:cs="宋体"/>
                <w:sz w:val="18"/>
                <w:szCs w:val="18"/>
              </w:rPr>
            </w:pPr>
          </w:p>
        </w:tc>
      </w:tr>
      <w:tr w14:paraId="17E8CCE3">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0D03609A">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559DB07D">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1D887C43">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开展防范非法集资风险排查次数</w:t>
            </w:r>
          </w:p>
        </w:tc>
        <w:tc>
          <w:tcPr>
            <w:tcW w:w="1276" w:type="dxa"/>
            <w:tcBorders>
              <w:top w:val="single" w:color="auto" w:sz="4" w:space="0"/>
              <w:left w:val="nil"/>
              <w:bottom w:val="single" w:color="auto" w:sz="4" w:space="0"/>
              <w:right w:val="single" w:color="auto" w:sz="4" w:space="0"/>
            </w:tcBorders>
            <w:noWrap/>
            <w:vAlign w:val="center"/>
          </w:tcPr>
          <w:p w14:paraId="1813C972">
            <w:pPr>
              <w:jc w:val="center"/>
              <w:rPr>
                <w:rFonts w:hint="eastAsia" w:ascii="宋体" w:hAnsi="宋体" w:eastAsia="宋体" w:cs="宋体"/>
                <w:sz w:val="18"/>
                <w:szCs w:val="18"/>
              </w:rPr>
            </w:pPr>
            <w:r>
              <w:rPr>
                <w:rFonts w:hint="eastAsia" w:ascii="宋体" w:hAnsi="宋体" w:eastAsia="宋体" w:cs="宋体"/>
                <w:sz w:val="18"/>
                <w:szCs w:val="18"/>
              </w:rPr>
              <w:t>&gt;=3次</w:t>
            </w:r>
          </w:p>
        </w:tc>
        <w:tc>
          <w:tcPr>
            <w:tcW w:w="1701" w:type="dxa"/>
            <w:tcBorders>
              <w:top w:val="single" w:color="auto" w:sz="4" w:space="0"/>
              <w:left w:val="nil"/>
              <w:bottom w:val="single" w:color="auto" w:sz="4" w:space="0"/>
              <w:right w:val="single" w:color="auto" w:sz="4" w:space="0"/>
            </w:tcBorders>
            <w:noWrap/>
            <w:vAlign w:val="center"/>
          </w:tcPr>
          <w:p w14:paraId="4A23C93E">
            <w:pPr>
              <w:rPr>
                <w:rFonts w:hint="eastAsia" w:ascii="宋体" w:hAnsi="宋体" w:eastAsia="宋体" w:cs="宋体"/>
                <w:sz w:val="18"/>
                <w:szCs w:val="18"/>
                <w:lang w:eastAsia="zh-CN"/>
              </w:rPr>
            </w:pPr>
            <w:r>
              <w:rPr>
                <w:rFonts w:hint="eastAsia" w:ascii="宋体" w:hAnsi="宋体" w:eastAsia="宋体" w:cs="宋体"/>
                <w:sz w:val="18"/>
                <w:szCs w:val="18"/>
                <w:lang w:eastAsia="zh-CN"/>
              </w:rPr>
              <w:t>《防范和处置非法集资条例》</w:t>
            </w:r>
          </w:p>
        </w:tc>
        <w:tc>
          <w:tcPr>
            <w:tcW w:w="1134" w:type="dxa"/>
            <w:tcBorders>
              <w:top w:val="single" w:color="auto" w:sz="4" w:space="0"/>
              <w:left w:val="nil"/>
              <w:bottom w:val="single" w:color="auto" w:sz="4" w:space="0"/>
              <w:right w:val="single" w:color="auto" w:sz="4" w:space="0"/>
            </w:tcBorders>
            <w:noWrap/>
            <w:vAlign w:val="center"/>
          </w:tcPr>
          <w:p w14:paraId="59EC3D84">
            <w:pPr>
              <w:jc w:val="center"/>
              <w:rPr>
                <w:rFonts w:hint="eastAsia" w:ascii="宋体" w:hAnsi="宋体" w:eastAsia="宋体" w:cs="宋体"/>
                <w:sz w:val="18"/>
                <w:szCs w:val="18"/>
              </w:rPr>
            </w:pPr>
            <w:r>
              <w:rPr>
                <w:rFonts w:hint="eastAsia" w:ascii="宋体" w:hAnsi="宋体" w:eastAsia="宋体" w:cs="宋体"/>
                <w:sz w:val="18"/>
                <w:szCs w:val="18"/>
              </w:rPr>
              <w:t>4</w:t>
            </w:r>
          </w:p>
        </w:tc>
        <w:tc>
          <w:tcPr>
            <w:tcW w:w="992" w:type="dxa"/>
            <w:tcBorders>
              <w:top w:val="single" w:color="auto" w:sz="4" w:space="0"/>
              <w:left w:val="nil"/>
              <w:bottom w:val="single" w:color="auto" w:sz="4" w:space="0"/>
              <w:right w:val="single" w:color="auto" w:sz="4" w:space="0"/>
            </w:tcBorders>
            <w:noWrap/>
            <w:vAlign w:val="center"/>
          </w:tcPr>
          <w:p w14:paraId="5700E3AB">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582AF47B">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02F1F8F7">
            <w:pPr>
              <w:jc w:val="center"/>
              <w:rPr>
                <w:rFonts w:hint="eastAsia" w:ascii="宋体" w:hAnsi="宋体" w:eastAsia="宋体" w:cs="宋体"/>
                <w:sz w:val="18"/>
                <w:szCs w:val="18"/>
              </w:rPr>
            </w:pPr>
          </w:p>
        </w:tc>
      </w:tr>
      <w:tr w14:paraId="7336C938">
        <w:tblPrEx>
          <w:tblCellMar>
            <w:top w:w="0" w:type="dxa"/>
            <w:left w:w="108" w:type="dxa"/>
            <w:bottom w:w="0" w:type="dxa"/>
            <w:right w:w="108" w:type="dxa"/>
          </w:tblCellMar>
        </w:tblPrEx>
        <w:trPr>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5908D9F0">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439DA2E1">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117E71A6">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284" w:type="dxa"/>
            <w:tcBorders>
              <w:top w:val="nil"/>
              <w:left w:val="nil"/>
              <w:bottom w:val="nil"/>
              <w:right w:val="nil"/>
            </w:tcBorders>
            <w:noWrap/>
            <w:vAlign w:val="center"/>
          </w:tcPr>
          <w:p w14:paraId="3ADAB3F6">
            <w:pPr>
              <w:jc w:val="center"/>
              <w:rPr>
                <w:rFonts w:hint="eastAsia" w:ascii="宋体" w:hAnsi="宋体" w:eastAsia="宋体" w:cs="宋体"/>
                <w:sz w:val="18"/>
                <w:szCs w:val="18"/>
              </w:rPr>
            </w:pPr>
          </w:p>
        </w:tc>
      </w:tr>
      <w:bookmarkEnd w:id="9"/>
    </w:tbl>
    <w:p w14:paraId="32614133">
      <w:pPr>
        <w:spacing w:after="0" w:line="240" w:lineRule="auto"/>
        <w:ind w:firstLine="640" w:firstLineChars="200"/>
        <w:jc w:val="both"/>
        <w:rPr>
          <w:rFonts w:hint="eastAsia" w:ascii="仿宋_GB2312" w:eastAsia="仿宋_GB2312"/>
          <w:sz w:val="32"/>
          <w:szCs w:val="32"/>
          <w:lang w:eastAsia="zh-CN"/>
        </w:rPr>
      </w:pPr>
    </w:p>
    <w:p w14:paraId="6324A94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107EE868">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14:paraId="6FA68890">
      <w:pPr>
        <w:spacing w:after="0" w:line="240" w:lineRule="auto"/>
        <w:ind w:firstLine="640" w:firstLineChars="200"/>
        <w:rPr>
          <w:rFonts w:hint="eastAsia" w:ascii="仿宋_GB2312" w:eastAsia="仿宋_GB2312"/>
          <w:sz w:val="32"/>
          <w:szCs w:val="32"/>
          <w:lang w:eastAsia="zh-CN"/>
        </w:rPr>
      </w:pPr>
    </w:p>
    <w:p w14:paraId="62D1F1A6">
      <w:pPr>
        <w:rPr>
          <w:rFonts w:hint="eastAsia"/>
          <w:lang w:eastAsia="zh-CN"/>
        </w:rPr>
      </w:pPr>
      <w:r>
        <w:rPr>
          <w:sz w:val="0"/>
          <w:szCs w:val="0"/>
          <w:lang w:eastAsia="zh-CN"/>
        </w:rPr>
        <w:br w:type="page"/>
      </w:r>
    </w:p>
    <w:p w14:paraId="2B305887">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78C10A1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20ADB09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425B367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4044546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18660A7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1DAB7EE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572FFBF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66E23EB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08C183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6988EE5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452D221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6F8221C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6E55A89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73109E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5F5608E2">
      <w:pPr>
        <w:rPr>
          <w:rFonts w:hint="eastAsia"/>
          <w:lang w:eastAsia="zh-CN"/>
        </w:rPr>
      </w:pPr>
      <w:r>
        <w:rPr>
          <w:sz w:val="0"/>
          <w:szCs w:val="0"/>
          <w:lang w:eastAsia="zh-CN"/>
        </w:rPr>
        <w:br w:type="page"/>
      </w:r>
    </w:p>
    <w:p w14:paraId="029FACC2">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42B33C1C">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7115C96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6BDC4CF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7D822DFE">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062B705F">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4B82B32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0205D79">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24AED788">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28F378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D32864"/>
    <w:rsid w:val="00005E9D"/>
    <w:rsid w:val="0042342C"/>
    <w:rsid w:val="00853974"/>
    <w:rsid w:val="00A6556A"/>
    <w:rsid w:val="00A70917"/>
    <w:rsid w:val="00D32864"/>
    <w:rsid w:val="403C1E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6462</Words>
  <Characters>7032</Characters>
  <Lines>550</Lines>
  <Paragraphs>520</Paragraphs>
  <TotalTime>122</TotalTime>
  <ScaleCrop>false</ScaleCrop>
  <LinksUpToDate>false</LinksUpToDate>
  <CharactersWithSpaces>7042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2025-10-07T07:46:00Z</dcterms:created>
  <dc:creator>华为</dc:creator>
  <cp:lastModifiedBy>辣庅小</cp:lastModifiedBy>
  <dcterms:modified xsi:type="dcterms:W3CDTF">2025-10-14T03:17:18Z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6DF29EBFA64F42158719E1CD51719EF7_12</vt:lpwstr>
  </property>
</Properties>
</file>