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03D3FA">
      <w:pPr>
        <w:rPr>
          <w:rFonts w:hint="eastAsia" w:ascii="黑体" w:hAnsi="黑体" w:eastAsia="黑体"/>
          <w:sz w:val="32"/>
          <w:szCs w:val="32"/>
        </w:rPr>
      </w:pPr>
    </w:p>
    <w:p w14:paraId="7BE7EB98">
      <w:pPr>
        <w:jc w:val="center"/>
        <w:rPr>
          <w:rFonts w:hint="eastAsia" w:ascii="方正小标宋_GBK" w:hAnsi="宋体" w:eastAsia="方正小标宋_GBK"/>
          <w:sz w:val="44"/>
          <w:szCs w:val="44"/>
        </w:rPr>
      </w:pPr>
    </w:p>
    <w:p w14:paraId="0B4614E4">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中共乌鲁木齐市米东区委员会直属机关工作委员会</w:t>
      </w:r>
    </w:p>
    <w:p w14:paraId="1A9C2D3F">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74808920">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02197628">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25D694CE">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34176620">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00B5A87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540C20E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70578261">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6831B29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559CD4F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7CA31BE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1873AAF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2872AB6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5226A14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2F05FB3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1383E97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46A13F32">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3302326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7653D5E8">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09420C3D">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45DC2374">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2948E1D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6C0C1678">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26C6E9FD">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380B5412">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25A5031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467561C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2035CF6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4B61E19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0518CC9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236D185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2B4C966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3431E4FA">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792A0736">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5C638BE4">
      <w:r>
        <w:rPr>
          <w:rFonts w:hint="eastAsia" w:ascii="仿宋_GB2312" w:hAnsi="仿宋_GB2312" w:eastAsia="仿宋_GB2312" w:cs="仿宋_GB2312"/>
          <w:sz w:val="32"/>
          <w:szCs w:val="32"/>
        </w:rPr>
        <w:fldChar w:fldCharType="end"/>
      </w:r>
    </w:p>
    <w:p w14:paraId="71FA8B9B">
      <w:pPr>
        <w:rPr>
          <w:rFonts w:ascii="仿宋_GB2312" w:eastAsia="仿宋_GB2312"/>
          <w:sz w:val="32"/>
          <w:szCs w:val="32"/>
        </w:rPr>
      </w:pPr>
      <w:r>
        <w:rPr>
          <w:rFonts w:hint="eastAsia" w:ascii="仿宋_GB2312" w:eastAsia="仿宋_GB2312"/>
          <w:sz w:val="32"/>
          <w:szCs w:val="32"/>
        </w:rPr>
        <w:br w:type="page"/>
      </w:r>
    </w:p>
    <w:p w14:paraId="33CABB16">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0378058D">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7BB0CFBA">
      <w:pPr>
        <w:ind w:firstLine="640" w:firstLineChars="200"/>
        <w:jc w:val="left"/>
        <w:rPr>
          <w:rFonts w:ascii="仿宋_GB2312" w:eastAsia="仿宋_GB2312"/>
          <w:sz w:val="32"/>
          <w:szCs w:val="32"/>
        </w:rPr>
      </w:pPr>
      <w:r>
        <w:rPr>
          <w:rFonts w:hint="eastAsia" w:ascii="仿宋_GB2312" w:eastAsia="仿宋_GB2312"/>
          <w:sz w:val="32"/>
          <w:szCs w:val="32"/>
        </w:rPr>
        <w:t>（一）统一组织、规划、部署区直机关党的工作，提出加强和改进机关党的建设的意见和建议，研究制定工作规划，并抓好组织实施；</w:t>
      </w:r>
    </w:p>
    <w:p w14:paraId="491E0D3A">
      <w:pPr>
        <w:ind w:firstLine="640" w:firstLineChars="200"/>
        <w:jc w:val="left"/>
        <w:rPr>
          <w:rFonts w:ascii="仿宋_GB2312" w:eastAsia="仿宋_GB2312"/>
          <w:sz w:val="32"/>
          <w:szCs w:val="32"/>
        </w:rPr>
      </w:pPr>
      <w:r>
        <w:rPr>
          <w:rFonts w:hint="eastAsia" w:ascii="仿宋_GB2312" w:eastAsia="仿宋_GB2312"/>
          <w:sz w:val="32"/>
          <w:szCs w:val="32"/>
        </w:rPr>
        <w:t>（二）指导督促区直机关党组织认真履行机关党建主体责任，指导区直机关党的政治建设、思想建设、组织建设、作风建设、纪律建设，把制度建设贯穿其中，深入推进反腐败斗争；</w:t>
      </w:r>
    </w:p>
    <w:p w14:paraId="20EE5140">
      <w:pPr>
        <w:ind w:firstLine="640" w:firstLineChars="200"/>
        <w:jc w:val="left"/>
        <w:rPr>
          <w:rFonts w:ascii="仿宋_GB2312" w:eastAsia="仿宋_GB2312"/>
          <w:sz w:val="32"/>
          <w:szCs w:val="32"/>
        </w:rPr>
      </w:pPr>
      <w:r>
        <w:rPr>
          <w:rFonts w:hint="eastAsia" w:ascii="仿宋_GB2312" w:eastAsia="仿宋_GB2312"/>
          <w:sz w:val="32"/>
          <w:szCs w:val="32"/>
        </w:rPr>
        <w:t>（三）指导区直机关各级党组织和广大党员学习马克思列宁主义、毛泽东思想、邓小平理论、“三个代表”重要思想、科学发展观、习近平新时代中国特色社会主义思想；</w:t>
      </w:r>
    </w:p>
    <w:p w14:paraId="71AFBC4B">
      <w:pPr>
        <w:ind w:firstLine="640" w:firstLineChars="200"/>
        <w:jc w:val="left"/>
        <w:rPr>
          <w:rFonts w:ascii="仿宋_GB2312" w:eastAsia="仿宋_GB2312"/>
          <w:sz w:val="32"/>
          <w:szCs w:val="32"/>
        </w:rPr>
      </w:pPr>
      <w:r>
        <w:rPr>
          <w:rFonts w:hint="eastAsia" w:ascii="仿宋_GB2312" w:eastAsia="仿宋_GB2312"/>
          <w:sz w:val="32"/>
          <w:szCs w:val="32"/>
        </w:rPr>
        <w:t>（四）对区直机关各级党组织、党员领导干部落实党建责任制、遵守政治纪律和政治规矩情况进行监督检查，并向区委报告；</w:t>
      </w:r>
    </w:p>
    <w:p w14:paraId="7DD7845A">
      <w:pPr>
        <w:ind w:firstLine="640" w:firstLineChars="200"/>
        <w:jc w:val="left"/>
        <w:rPr>
          <w:rFonts w:ascii="仿宋_GB2312" w:eastAsia="仿宋_GB2312"/>
          <w:sz w:val="32"/>
          <w:szCs w:val="32"/>
        </w:rPr>
      </w:pPr>
      <w:r>
        <w:rPr>
          <w:rFonts w:hint="eastAsia" w:ascii="仿宋_GB2312" w:eastAsia="仿宋_GB2312"/>
          <w:sz w:val="32"/>
          <w:szCs w:val="32"/>
        </w:rPr>
        <w:t>（五）指导区直机关各级党组织实施对党员特别是党员领导干部的监督和管理，及时向区委反映各部门领导班子、领导干部的情况；</w:t>
      </w:r>
    </w:p>
    <w:p w14:paraId="6A0A13CF">
      <w:pPr>
        <w:ind w:firstLine="640" w:firstLineChars="200"/>
        <w:jc w:val="left"/>
        <w:rPr>
          <w:rFonts w:ascii="仿宋_GB2312" w:eastAsia="仿宋_GB2312"/>
          <w:sz w:val="32"/>
          <w:szCs w:val="32"/>
        </w:rPr>
      </w:pPr>
      <w:r>
        <w:rPr>
          <w:rFonts w:hint="eastAsia" w:ascii="仿宋_GB2312" w:eastAsia="仿宋_GB2312"/>
          <w:sz w:val="32"/>
          <w:szCs w:val="32"/>
        </w:rPr>
        <w:t>（六）配合有关部门抓好区直机关各部门领导班子思想政治建设，参与对党员领导干部民主生活会和党组织理论学习中心组学习的督促检查和指导，了解掌握情况，按规定报送报告，指导各基层党组织正常开展组织生活；</w:t>
      </w:r>
    </w:p>
    <w:p w14:paraId="4FFD5B51">
      <w:pPr>
        <w:ind w:firstLine="640" w:firstLineChars="200"/>
        <w:jc w:val="left"/>
        <w:rPr>
          <w:rFonts w:ascii="仿宋_GB2312" w:eastAsia="仿宋_GB2312"/>
          <w:sz w:val="32"/>
          <w:szCs w:val="32"/>
        </w:rPr>
      </w:pPr>
      <w:r>
        <w:rPr>
          <w:rFonts w:hint="eastAsia" w:ascii="仿宋_GB2312" w:eastAsia="仿宋_GB2312"/>
          <w:sz w:val="32"/>
          <w:szCs w:val="32"/>
        </w:rPr>
        <w:t>（七）督促指导区直机关各部门机关党组织按期换届，审批关于召开党员大会或党员代表大会的请示，审批区直机关各部门机关党组织和机关纪委领导班子的组成及书记、副书记的任免；</w:t>
      </w:r>
    </w:p>
    <w:p w14:paraId="45A51E8C">
      <w:pPr>
        <w:ind w:firstLine="640" w:firstLineChars="200"/>
        <w:jc w:val="left"/>
        <w:rPr>
          <w:rFonts w:ascii="仿宋_GB2312" w:eastAsia="仿宋_GB2312"/>
          <w:sz w:val="32"/>
          <w:szCs w:val="32"/>
        </w:rPr>
      </w:pPr>
      <w:r>
        <w:rPr>
          <w:rFonts w:hint="eastAsia" w:ascii="仿宋_GB2312" w:eastAsia="仿宋_GB2312"/>
          <w:sz w:val="32"/>
          <w:szCs w:val="32"/>
        </w:rPr>
        <w:t>（八）指导各级党组织加强基层组织建设，做好党员发展、教育和管理等工作；</w:t>
      </w:r>
    </w:p>
    <w:p w14:paraId="6A91BED1">
      <w:pPr>
        <w:ind w:firstLine="640" w:firstLineChars="200"/>
        <w:jc w:val="left"/>
        <w:rPr>
          <w:rFonts w:ascii="仿宋_GB2312" w:eastAsia="仿宋_GB2312"/>
          <w:sz w:val="32"/>
          <w:szCs w:val="32"/>
        </w:rPr>
      </w:pPr>
      <w:r>
        <w:rPr>
          <w:rFonts w:hint="eastAsia" w:ascii="仿宋_GB2312" w:eastAsia="仿宋_GB2312"/>
          <w:sz w:val="32"/>
          <w:szCs w:val="32"/>
        </w:rPr>
        <w:t>（九）领导区直机关各部门机关党的纪律检查工作；</w:t>
      </w:r>
    </w:p>
    <w:p w14:paraId="74524F95">
      <w:pPr>
        <w:ind w:firstLine="640" w:firstLineChars="200"/>
        <w:jc w:val="left"/>
        <w:rPr>
          <w:rFonts w:ascii="仿宋_GB2312" w:eastAsia="仿宋_GB2312"/>
          <w:sz w:val="32"/>
          <w:szCs w:val="32"/>
        </w:rPr>
      </w:pPr>
      <w:r>
        <w:rPr>
          <w:rFonts w:hint="eastAsia" w:ascii="仿宋_GB2312" w:eastAsia="仿宋_GB2312"/>
          <w:sz w:val="32"/>
          <w:szCs w:val="32"/>
        </w:rPr>
        <w:t>（十）了解掌握区直机关工作人员的思想状况，指导区直机关各级党组织加强思想政治工作和精神文明建设，指导、协调、督促、检查各部门、单位开展机关文化建设工作；</w:t>
      </w:r>
    </w:p>
    <w:p w14:paraId="14C40A68">
      <w:pPr>
        <w:ind w:firstLine="640" w:firstLineChars="200"/>
        <w:jc w:val="left"/>
        <w:rPr>
          <w:rFonts w:ascii="仿宋_GB2312" w:eastAsia="仿宋_GB2312"/>
          <w:sz w:val="32"/>
          <w:szCs w:val="32"/>
        </w:rPr>
      </w:pPr>
      <w:r>
        <w:rPr>
          <w:rFonts w:hint="eastAsia" w:ascii="仿宋_GB2312" w:eastAsia="仿宋_GB2312"/>
          <w:sz w:val="32"/>
          <w:szCs w:val="32"/>
        </w:rPr>
        <w:t>（十一）领导区直机关工会、共青团、妇工委等群团组织的工作，指导区直机关各级党组织做好党的群众工作；</w:t>
      </w:r>
    </w:p>
    <w:p w14:paraId="3FCFF440">
      <w:pPr>
        <w:ind w:firstLine="640" w:firstLineChars="200"/>
        <w:jc w:val="left"/>
        <w:rPr>
          <w:rFonts w:ascii="仿宋_GB2312" w:eastAsia="仿宋_GB2312"/>
          <w:sz w:val="32"/>
          <w:szCs w:val="32"/>
        </w:rPr>
      </w:pPr>
      <w:r>
        <w:rPr>
          <w:rFonts w:hint="eastAsia" w:ascii="仿宋_GB2312" w:eastAsia="仿宋_GB2312"/>
          <w:sz w:val="32"/>
          <w:szCs w:val="32"/>
        </w:rPr>
        <w:t>（十二）协同有关部门指导、规划、监督、检查区直机关干部教育培训工作，培训轮训区直机关、各党组织班子成员、党员、党务干部及党员发展对象；</w:t>
      </w:r>
    </w:p>
    <w:p w14:paraId="2E799B6F">
      <w:pPr>
        <w:ind w:firstLine="640" w:firstLineChars="200"/>
        <w:jc w:val="left"/>
        <w:rPr>
          <w:rFonts w:ascii="仿宋_GB2312" w:eastAsia="仿宋_GB2312"/>
          <w:sz w:val="32"/>
          <w:szCs w:val="32"/>
        </w:rPr>
      </w:pPr>
      <w:r>
        <w:rPr>
          <w:rFonts w:hint="eastAsia" w:ascii="仿宋_GB2312" w:eastAsia="仿宋_GB2312"/>
          <w:sz w:val="32"/>
          <w:szCs w:val="32"/>
        </w:rPr>
        <w:t>（十三）承办区委交办的其他事项。</w:t>
      </w:r>
    </w:p>
    <w:p w14:paraId="0A4CC76C">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3E8B2265">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中共乌鲁木齐市米东区委员会直属机关工作委员会2023年度，实有人数</w:t>
      </w:r>
      <w:r>
        <w:rPr>
          <w:rFonts w:hint="eastAsia" w:ascii="仿宋_GB2312" w:eastAsia="仿宋_GB2312"/>
          <w:sz w:val="32"/>
          <w:szCs w:val="32"/>
          <w:lang w:val="zh-CN"/>
        </w:rPr>
        <w:t>6</w:t>
      </w:r>
      <w:r>
        <w:rPr>
          <w:rFonts w:hint="eastAsia" w:ascii="仿宋_GB2312" w:eastAsia="仿宋_GB2312"/>
          <w:sz w:val="32"/>
          <w:szCs w:val="32"/>
        </w:rPr>
        <w:t>人，其中：在职人员</w:t>
      </w:r>
      <w:r>
        <w:rPr>
          <w:rFonts w:hint="eastAsia" w:ascii="仿宋_GB2312" w:eastAsia="仿宋_GB2312"/>
          <w:sz w:val="32"/>
          <w:szCs w:val="32"/>
          <w:lang w:val="zh-CN"/>
        </w:rPr>
        <w:t>3</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3</w:t>
      </w:r>
      <w:r>
        <w:rPr>
          <w:rFonts w:hint="eastAsia" w:ascii="仿宋_GB2312" w:eastAsia="仿宋_GB2312"/>
          <w:sz w:val="32"/>
          <w:szCs w:val="32"/>
        </w:rPr>
        <w:t>人。</w:t>
      </w:r>
    </w:p>
    <w:p w14:paraId="506D1A3C">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办公室。</w:t>
      </w:r>
    </w:p>
    <w:p w14:paraId="700D9B10">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5502A667">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61B6A557">
      <w:pPr>
        <w:ind w:firstLine="640" w:firstLineChars="200"/>
        <w:jc w:val="left"/>
        <w:rPr>
          <w:rFonts w:ascii="仿宋_GB2312" w:eastAsia="仿宋_GB2312"/>
          <w:sz w:val="32"/>
          <w:szCs w:val="32"/>
        </w:rPr>
      </w:pPr>
      <w:r>
        <w:rPr>
          <w:rFonts w:hint="eastAsia" w:ascii="仿宋_GB2312" w:eastAsia="仿宋_GB2312"/>
          <w:sz w:val="32"/>
          <w:szCs w:val="32"/>
        </w:rPr>
        <w:t>2023年度收入总计95.91万元，其中：本年收入合计94.56万元，使用非财政拨款结余0.00万元，年初结转和结余1.35万元。</w:t>
      </w:r>
    </w:p>
    <w:p w14:paraId="36F1F856">
      <w:pPr>
        <w:ind w:firstLine="640" w:firstLineChars="200"/>
        <w:jc w:val="left"/>
        <w:rPr>
          <w:rFonts w:ascii="仿宋_GB2312" w:eastAsia="仿宋_GB2312"/>
          <w:sz w:val="32"/>
          <w:szCs w:val="32"/>
        </w:rPr>
      </w:pPr>
      <w:r>
        <w:rPr>
          <w:rFonts w:hint="eastAsia" w:ascii="仿宋_GB2312" w:eastAsia="仿宋_GB2312"/>
          <w:sz w:val="32"/>
          <w:szCs w:val="32"/>
        </w:rPr>
        <w:t>2023年度支出总计95.91万元，其中：本年支出合计93.41万元，结余分配0.00万元，年末结转和结余2.50万元。</w:t>
      </w:r>
    </w:p>
    <w:p w14:paraId="7BD0CD23">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增加48.04万元</w:t>
      </w:r>
      <w:r>
        <w:rPr>
          <w:rFonts w:hint="eastAsia" w:ascii="仿宋_GB2312" w:eastAsia="仿宋_GB2312"/>
          <w:sz w:val="32"/>
          <w:szCs w:val="32"/>
        </w:rPr>
        <w:t>，增长100.36%，主要原因是：本年单位人员增加，人员工资、津补贴等人员经费较上年增加。</w:t>
      </w:r>
    </w:p>
    <w:p w14:paraId="145AA603">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749F82F3">
      <w:pPr>
        <w:ind w:firstLine="640" w:firstLineChars="200"/>
        <w:jc w:val="left"/>
        <w:rPr>
          <w:rFonts w:ascii="仿宋_GB2312" w:eastAsia="仿宋_GB2312"/>
          <w:sz w:val="32"/>
          <w:szCs w:val="32"/>
        </w:rPr>
      </w:pPr>
      <w:r>
        <w:rPr>
          <w:rFonts w:hint="eastAsia" w:ascii="仿宋_GB2312" w:eastAsia="仿宋_GB2312"/>
          <w:sz w:val="32"/>
          <w:szCs w:val="32"/>
        </w:rPr>
        <w:t>本年收入94.56万元，其中：财政拨款收入</w:t>
      </w:r>
      <w:r>
        <w:rPr>
          <w:rFonts w:hint="eastAsia" w:ascii="仿宋_GB2312" w:eastAsia="仿宋_GB2312"/>
          <w:sz w:val="32"/>
          <w:szCs w:val="32"/>
          <w:lang w:val="zh-CN"/>
        </w:rPr>
        <w:t>94.56</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266F9785">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22148AE1">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本年支出93.41万元，其中：基本支出93.41万元，占100.00%；项目支出0.00万元，占0.00%；上缴上级支出0.00万元，占0.00%；经营支出0.00万元，占0.00%；对附属单位补助支出0.00万元，占0.00%。</w:t>
      </w:r>
    </w:p>
    <w:p w14:paraId="0920B11C">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46372AB5">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95.91</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1.35</w:t>
      </w:r>
      <w:r>
        <w:rPr>
          <w:rFonts w:hint="eastAsia" w:ascii="仿宋_GB2312" w:eastAsia="仿宋_GB2312"/>
          <w:sz w:val="32"/>
          <w:szCs w:val="32"/>
        </w:rPr>
        <w:t>万元，本年财政拨款收入</w:t>
      </w:r>
      <w:r>
        <w:rPr>
          <w:rFonts w:hint="eastAsia" w:ascii="仿宋_GB2312" w:eastAsia="仿宋_GB2312"/>
          <w:sz w:val="32"/>
          <w:szCs w:val="32"/>
          <w:lang w:val="zh-CN"/>
        </w:rPr>
        <w:t>94.56</w:t>
      </w:r>
      <w:r>
        <w:rPr>
          <w:rFonts w:hint="eastAsia" w:ascii="仿宋_GB2312" w:eastAsia="仿宋_GB2312"/>
          <w:sz w:val="32"/>
          <w:szCs w:val="32"/>
        </w:rPr>
        <w:t>万元。财政拨款支出总计</w:t>
      </w:r>
      <w:r>
        <w:rPr>
          <w:rFonts w:hint="eastAsia" w:ascii="仿宋_GB2312" w:eastAsia="仿宋_GB2312"/>
          <w:sz w:val="32"/>
          <w:szCs w:val="32"/>
          <w:lang w:val="zh-CN"/>
        </w:rPr>
        <w:t>95.91</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2.50</w:t>
      </w:r>
      <w:r>
        <w:rPr>
          <w:rFonts w:hint="eastAsia" w:ascii="仿宋_GB2312" w:eastAsia="仿宋_GB2312"/>
          <w:sz w:val="32"/>
          <w:szCs w:val="32"/>
        </w:rPr>
        <w:t>万元，本年财政拨款支出</w:t>
      </w:r>
      <w:r>
        <w:rPr>
          <w:rFonts w:hint="eastAsia" w:ascii="仿宋_GB2312" w:eastAsia="仿宋_GB2312"/>
          <w:sz w:val="32"/>
          <w:szCs w:val="32"/>
          <w:lang w:val="zh-CN"/>
        </w:rPr>
        <w:t>93.41</w:t>
      </w:r>
      <w:r>
        <w:rPr>
          <w:rFonts w:hint="eastAsia" w:ascii="仿宋_GB2312" w:eastAsia="仿宋_GB2312"/>
          <w:sz w:val="32"/>
          <w:szCs w:val="32"/>
        </w:rPr>
        <w:t>万元。</w:t>
      </w:r>
    </w:p>
    <w:p w14:paraId="4D6E29AF">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增加48.04万元</w:t>
      </w:r>
      <w:r>
        <w:rPr>
          <w:rFonts w:hint="eastAsia" w:ascii="仿宋_GB2312" w:eastAsia="仿宋_GB2312"/>
          <w:sz w:val="32"/>
          <w:szCs w:val="32"/>
        </w:rPr>
        <w:t>，增长100.36%,主要原因是：本年单位人员增加，人员工资、津补贴等人员经费较上年增加。与年初预算相比，年初预算数</w:t>
      </w:r>
      <w:r>
        <w:rPr>
          <w:rFonts w:hint="eastAsia" w:ascii="仿宋_GB2312" w:eastAsia="仿宋_GB2312"/>
          <w:sz w:val="32"/>
          <w:szCs w:val="32"/>
          <w:lang w:val="zh-CN"/>
        </w:rPr>
        <w:t>48.78</w:t>
      </w:r>
      <w:r>
        <w:rPr>
          <w:rFonts w:hint="eastAsia" w:ascii="仿宋_GB2312" w:eastAsia="仿宋_GB2312"/>
          <w:sz w:val="32"/>
          <w:szCs w:val="32"/>
        </w:rPr>
        <w:t>万元，决算数</w:t>
      </w:r>
      <w:r>
        <w:rPr>
          <w:rFonts w:hint="eastAsia" w:ascii="仿宋_GB2312" w:eastAsia="仿宋_GB2312"/>
          <w:sz w:val="32"/>
          <w:szCs w:val="32"/>
          <w:lang w:val="zh-CN"/>
        </w:rPr>
        <w:t>95.91</w:t>
      </w:r>
      <w:r>
        <w:rPr>
          <w:rFonts w:hint="eastAsia" w:ascii="仿宋_GB2312" w:eastAsia="仿宋_GB2312"/>
          <w:sz w:val="32"/>
          <w:szCs w:val="32"/>
        </w:rPr>
        <w:t>万元，预决算差异率96.62%，主要原因是：单位人员增加，年中追加人员工资、津补贴等人员经费。</w:t>
      </w:r>
    </w:p>
    <w:p w14:paraId="164206CD">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7E0BB358">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21EC451C">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2023年度一般公共预算财政拨款支出93.41万元，占本年支出合计的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增加46.91万元</w:t>
      </w:r>
      <w:r>
        <w:rPr>
          <w:rFonts w:hint="eastAsia" w:ascii="仿宋_GB2312" w:eastAsia="仿宋_GB2312"/>
          <w:sz w:val="32"/>
          <w:szCs w:val="32"/>
        </w:rPr>
        <w:t>，增长100.88%,主要原因是：本年单位人员增加，人员工资、津补贴等人员经费较上年增加。与年初预算相比，年初预算数</w:t>
      </w:r>
      <w:r>
        <w:rPr>
          <w:rFonts w:hint="eastAsia" w:ascii="仿宋_GB2312" w:eastAsia="仿宋_GB2312"/>
          <w:sz w:val="32"/>
          <w:szCs w:val="32"/>
          <w:lang w:val="zh-CN"/>
        </w:rPr>
        <w:t>48.78</w:t>
      </w:r>
      <w:r>
        <w:rPr>
          <w:rFonts w:hint="eastAsia" w:ascii="仿宋_GB2312" w:eastAsia="仿宋_GB2312"/>
          <w:sz w:val="32"/>
          <w:szCs w:val="32"/>
        </w:rPr>
        <w:t>万元，决算数</w:t>
      </w:r>
      <w:r>
        <w:rPr>
          <w:rFonts w:hint="eastAsia" w:ascii="仿宋_GB2312" w:eastAsia="仿宋_GB2312"/>
          <w:sz w:val="32"/>
          <w:szCs w:val="32"/>
          <w:lang w:val="zh-CN"/>
        </w:rPr>
        <w:t>93.41</w:t>
      </w:r>
      <w:r>
        <w:rPr>
          <w:rFonts w:hint="eastAsia" w:ascii="仿宋_GB2312" w:eastAsia="仿宋_GB2312"/>
          <w:sz w:val="32"/>
          <w:szCs w:val="32"/>
        </w:rPr>
        <w:t>万元，预决算差异率</w:t>
      </w:r>
      <w:r>
        <w:rPr>
          <w:rFonts w:hint="eastAsia" w:ascii="仿宋_GB2312" w:eastAsia="仿宋_GB2312"/>
          <w:sz w:val="32"/>
          <w:szCs w:val="32"/>
          <w:lang w:val="zh-CN"/>
        </w:rPr>
        <w:t>91.49%</w:t>
      </w:r>
      <w:r>
        <w:rPr>
          <w:rFonts w:hint="eastAsia" w:ascii="仿宋_GB2312" w:eastAsia="仿宋_GB2312"/>
          <w:sz w:val="32"/>
          <w:szCs w:val="32"/>
        </w:rPr>
        <w:t>，主要原因是：单位人员增加，年中追加人员工资、津补贴等人员经费。</w:t>
      </w:r>
    </w:p>
    <w:p w14:paraId="00240CAE">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020729F5">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hint="eastAsia" w:ascii="仿宋_GB2312" w:eastAsia="仿宋_GB2312"/>
          <w:kern w:val="2"/>
          <w:sz w:val="32"/>
          <w:szCs w:val="32"/>
          <w:lang w:val="zh-CN"/>
        </w:rPr>
        <w:t>88.17</w:t>
      </w:r>
      <w:r>
        <w:rPr>
          <w:rFonts w:ascii="仿宋_GB2312" w:eastAsia="仿宋_GB2312"/>
          <w:kern w:val="2"/>
          <w:sz w:val="32"/>
          <w:szCs w:val="32"/>
          <w:lang w:val="zh-CN"/>
        </w:rPr>
        <w:t>万元，占</w:t>
      </w:r>
      <w:r>
        <w:rPr>
          <w:rFonts w:hint="eastAsia" w:ascii="仿宋_GB2312" w:eastAsia="仿宋_GB2312"/>
          <w:kern w:val="2"/>
          <w:sz w:val="32"/>
          <w:szCs w:val="32"/>
          <w:lang w:val="zh-CN"/>
        </w:rPr>
        <w:t>94.39%</w:t>
      </w:r>
      <w:r>
        <w:rPr>
          <w:rFonts w:ascii="仿宋_GB2312" w:eastAsia="仿宋_GB2312"/>
          <w:kern w:val="2"/>
          <w:sz w:val="32"/>
          <w:szCs w:val="32"/>
          <w:lang w:val="zh-CN"/>
        </w:rPr>
        <w:t>；</w:t>
      </w:r>
    </w:p>
    <w:p w14:paraId="3F71AA17">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5.24</w:t>
      </w:r>
      <w:r>
        <w:rPr>
          <w:rFonts w:ascii="仿宋_GB2312" w:eastAsia="仿宋_GB2312"/>
          <w:kern w:val="2"/>
          <w:sz w:val="32"/>
          <w:szCs w:val="32"/>
          <w:lang w:val="zh-CN"/>
        </w:rPr>
        <w:t>万元，占</w:t>
      </w:r>
      <w:r>
        <w:rPr>
          <w:rFonts w:hint="eastAsia" w:ascii="仿宋_GB2312" w:eastAsia="仿宋_GB2312"/>
          <w:kern w:val="2"/>
          <w:sz w:val="32"/>
          <w:szCs w:val="32"/>
          <w:lang w:val="zh-CN"/>
        </w:rPr>
        <w:t>5.61%。</w:t>
      </w:r>
    </w:p>
    <w:p w14:paraId="61B1B487">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7967934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1.一般公共服务支出（类）其他共产党事务支出（款）行政运行（项）:支出决算数为88.17万元，比上年决算增加45.54万元，增长106.83%，主要原因是：</w:t>
      </w:r>
      <w:r>
        <w:rPr>
          <w:rFonts w:hint="eastAsia" w:ascii="仿宋_GB2312" w:eastAsia="仿宋_GB2312"/>
          <w:sz w:val="32"/>
          <w:szCs w:val="32"/>
        </w:rPr>
        <w:t>本年单位人员增加，人员工资、津补贴等人员经费较上年增加</w:t>
      </w:r>
      <w:r>
        <w:rPr>
          <w:rFonts w:hint="eastAsia" w:ascii="仿宋_GB2312" w:hAnsi="仿宋_GB2312" w:eastAsia="仿宋_GB2312" w:cs="仿宋_GB2312"/>
          <w:sz w:val="32"/>
          <w:szCs w:val="32"/>
          <w:lang w:val="zh-CN"/>
        </w:rPr>
        <w:t>。</w:t>
      </w:r>
    </w:p>
    <w:p w14:paraId="15891A4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2.社会保障和就业支出（类）行政事业单位养老支出（款）机关事业单位基本养老保险缴费支出（项）:支出决算数为5.24万元，比上年决算增加1.37万元，增长35.40%，主要原因是：</w:t>
      </w:r>
      <w:r>
        <w:rPr>
          <w:rFonts w:hint="eastAsia" w:ascii="仿宋_GB2312" w:eastAsia="仿宋_GB2312"/>
          <w:sz w:val="32"/>
          <w:szCs w:val="32"/>
        </w:rPr>
        <w:t>本年单位人员增加，人员</w:t>
      </w:r>
      <w:r>
        <w:rPr>
          <w:rFonts w:hint="eastAsia" w:ascii="仿宋_GB2312" w:hAnsi="仿宋_GB2312" w:eastAsia="仿宋_GB2312" w:cs="仿宋_GB2312"/>
          <w:sz w:val="32"/>
          <w:szCs w:val="32"/>
        </w:rPr>
        <w:t>养老保险缴费增加</w:t>
      </w:r>
      <w:r>
        <w:rPr>
          <w:rFonts w:hint="eastAsia" w:ascii="仿宋_GB2312" w:hAnsi="仿宋_GB2312" w:eastAsia="仿宋_GB2312" w:cs="仿宋_GB2312"/>
          <w:sz w:val="32"/>
          <w:szCs w:val="32"/>
          <w:lang w:val="zh-CN"/>
        </w:rPr>
        <w:t>。</w:t>
      </w:r>
    </w:p>
    <w:p w14:paraId="47C0E9FB">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4EDD2F21">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93.41万元，其中：人员经费80.91万元，包括：基本工资、津贴补贴、奖金、机关事业单位基本养老保险缴费、职工基本医疗保险缴费、公务员医疗补助缴费、其他社会保障缴费、住房公积金、抚恤金。</w:t>
      </w:r>
    </w:p>
    <w:p w14:paraId="5DBD75B4">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公用经费12.49万元，包括：办公费、印刷费、手续费、邮电费、维修（护）费、委托业务费、工会经费、福利费、公务用车运行维护费、其他交通费用、其他商品和服务支出、办公设备购置</w:t>
      </w:r>
      <w:r>
        <w:rPr>
          <w:rFonts w:hint="eastAsia" w:ascii="仿宋_GB2312" w:hAnsi="宋体" w:eastAsia="仿宋_GB2312" w:cs="宋体"/>
          <w:kern w:val="0"/>
          <w:sz w:val="32"/>
          <w:szCs w:val="32"/>
        </w:rPr>
        <w:t>。</w:t>
      </w:r>
    </w:p>
    <w:p w14:paraId="48595B6C">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271520B1">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“三公”经费支出2.50万元，</w:t>
      </w:r>
      <w:r>
        <w:rPr>
          <w:rFonts w:hint="eastAsia" w:ascii="仿宋_GB2312" w:eastAsia="仿宋_GB2312"/>
          <w:sz w:val="32"/>
          <w:szCs w:val="32"/>
        </w:rPr>
        <w:t>比上年</w:t>
      </w:r>
      <w:r>
        <w:rPr>
          <w:rFonts w:hint="eastAsia" w:ascii="仿宋_GB2312" w:eastAsia="仿宋_GB2312"/>
          <w:sz w:val="32"/>
          <w:szCs w:val="32"/>
          <w:lang w:val="zh-CN"/>
        </w:rPr>
        <w:t>增加0.16万元，</w:t>
      </w:r>
      <w:r>
        <w:rPr>
          <w:rFonts w:hint="eastAsia" w:ascii="仿宋_GB2312" w:eastAsia="仿宋_GB2312"/>
          <w:sz w:val="32"/>
          <w:szCs w:val="32"/>
        </w:rPr>
        <w:t>增长6.84%,</w:t>
      </w:r>
      <w:r>
        <w:rPr>
          <w:rFonts w:hint="eastAsia" w:ascii="仿宋_GB2312" w:eastAsia="仿宋_GB2312"/>
          <w:sz w:val="32"/>
          <w:szCs w:val="32"/>
          <w:lang w:val="zh-CN"/>
        </w:rPr>
        <w:t>主要原因是：</w:t>
      </w:r>
      <w:bookmarkStart w:id="18" w:name="_Hlk176444232"/>
      <w:r>
        <w:rPr>
          <w:rFonts w:hint="eastAsia" w:ascii="仿宋_GB2312" w:eastAsia="仿宋_GB2312"/>
          <w:sz w:val="32"/>
          <w:szCs w:val="32"/>
          <w:lang w:val="zh-CN"/>
        </w:rPr>
        <w:t>车辆老化，车辆维修费、燃油费等较上年增加</w:t>
      </w:r>
      <w:bookmarkEnd w:id="18"/>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bookmarkStart w:id="19" w:name="_Hlk176442959"/>
      <w:r>
        <w:rPr>
          <w:rFonts w:hint="eastAsia" w:ascii="仿宋_GB2312" w:eastAsia="仿宋_GB2312"/>
          <w:sz w:val="32"/>
          <w:szCs w:val="32"/>
          <w:lang w:val="zh-CN"/>
        </w:rPr>
        <w:t>本年无此项经费</w:t>
      </w:r>
      <w:bookmarkEnd w:id="19"/>
      <w:r>
        <w:rPr>
          <w:rFonts w:hint="eastAsia" w:ascii="仿宋_GB2312" w:eastAsia="仿宋_GB2312"/>
          <w:sz w:val="32"/>
          <w:szCs w:val="32"/>
          <w:lang w:val="zh-CN"/>
        </w:rPr>
        <w:t>；公务用车购置及运行维护费支出2.50万元，占100.00%，比上年增加0.16万元，</w:t>
      </w:r>
      <w:r>
        <w:rPr>
          <w:rFonts w:hint="eastAsia" w:ascii="仿宋_GB2312" w:eastAsia="仿宋_GB2312"/>
          <w:sz w:val="32"/>
          <w:szCs w:val="32"/>
        </w:rPr>
        <w:t>增长6.84%,</w:t>
      </w:r>
      <w:r>
        <w:rPr>
          <w:rFonts w:hint="eastAsia" w:ascii="仿宋_GB2312" w:eastAsia="仿宋_GB2312"/>
          <w:sz w:val="32"/>
          <w:szCs w:val="32"/>
          <w:lang w:val="zh-CN"/>
        </w:rPr>
        <w:t>主要原因是：车辆老化，车辆维修费、燃油费等较上年增加；公务接待费支出0.00万元，占0.00%，比上年增加0.00万元，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主要原因是：本年无此项经费。</w:t>
      </w:r>
    </w:p>
    <w:p w14:paraId="7093F3B3">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76F90C37">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因公出国（境）费支出0.00万元，开支内容包括本年无此项经费。单位全年安排的因公出国（境）团组0个，因公出国（境）0人次。</w:t>
      </w:r>
    </w:p>
    <w:p w14:paraId="4B56934A">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公务用车购置及运行维护费2.50万元，其中：公务用车购置费0.00万元，公务用车运行维护费2.50万元。公务用车运行维护费开支内容包括</w:t>
      </w:r>
      <w:bookmarkStart w:id="20" w:name="_Hlk176442988"/>
      <w:r>
        <w:rPr>
          <w:rFonts w:hint="eastAsia" w:ascii="仿宋_GB2312" w:eastAsia="仿宋_GB2312" w:cs="仿宋_GB2312"/>
          <w:kern w:val="0"/>
          <w:sz w:val="32"/>
          <w:szCs w:val="32"/>
        </w:rPr>
        <w:t>公务用车燃油费、车辆维修维护费、保险费、过路费等</w:t>
      </w:r>
      <w:bookmarkEnd w:id="20"/>
      <w:r>
        <w:rPr>
          <w:rFonts w:hint="eastAsia" w:ascii="仿宋_GB2312" w:eastAsia="仿宋_GB2312"/>
          <w:sz w:val="32"/>
          <w:szCs w:val="32"/>
          <w:lang w:val="zh-CN"/>
        </w:rPr>
        <w:t>。公务用车购置数0辆，公务用车保有量1辆。国有资产占用情况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bookmarkStart w:id="21" w:name="_Hlk181961318"/>
      <w:r>
        <w:rPr>
          <w:rFonts w:hint="eastAsia" w:ascii="仿宋_GB2312" w:eastAsia="仿宋_GB2312"/>
          <w:sz w:val="32"/>
          <w:szCs w:val="32"/>
          <w:lang w:val="zh-CN"/>
        </w:rPr>
        <w:t>国有资产车辆与公务用车保有量无差异</w:t>
      </w:r>
      <w:bookmarkEnd w:id="21"/>
      <w:r>
        <w:rPr>
          <w:rFonts w:hint="eastAsia" w:ascii="仿宋_GB2312" w:eastAsia="仿宋_GB2312"/>
          <w:sz w:val="32"/>
          <w:szCs w:val="32"/>
          <w:lang w:val="zh-CN"/>
        </w:rPr>
        <w:t>。</w:t>
      </w:r>
    </w:p>
    <w:p w14:paraId="535D5AB8">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公务接待费0.00万元，开支内容包括本年无此项经费。单位全年安排的国内公务接待0批次，0人次。</w:t>
      </w:r>
    </w:p>
    <w:p w14:paraId="3F6E20B5">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预算数2.50万元，决算数2.50万元，预决算差异率0.00%，主要原因是：</w:t>
      </w:r>
      <w:bookmarkStart w:id="22" w:name="_Hlk176443013"/>
      <w:r>
        <w:rPr>
          <w:rFonts w:hint="eastAsia" w:ascii="仿宋_GB2312" w:eastAsia="仿宋_GB2312"/>
          <w:sz w:val="32"/>
          <w:szCs w:val="32"/>
          <w:lang w:val="zh-CN"/>
        </w:rPr>
        <w:t>本年严格按年初预算执行“三公”经费，预决算对比无差异</w:t>
      </w:r>
      <w:bookmarkEnd w:id="22"/>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预算数2.50万元，决算数2.50万元，预决算差异率0.00%，主要原因是：本年严格按年初预算执行“三公”经费，预决算对比无差异；公务接待费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预算数0.00万元，决算数0.00万元，预决算差异率0.00%，主要原因是：本年无此项经费。</w:t>
      </w:r>
    </w:p>
    <w:p w14:paraId="7EE98DC0">
      <w:pPr>
        <w:ind w:firstLine="640" w:firstLineChars="200"/>
        <w:jc w:val="left"/>
        <w:outlineLvl w:val="1"/>
        <w:rPr>
          <w:rFonts w:hint="eastAsia" w:ascii="黑体" w:hAnsi="黑体" w:eastAsia="黑体" w:cs="宋体"/>
          <w:bCs/>
          <w:kern w:val="0"/>
          <w:sz w:val="32"/>
          <w:szCs w:val="32"/>
        </w:rPr>
      </w:pPr>
      <w:bookmarkStart w:id="23" w:name="_Toc7927"/>
      <w:bookmarkStart w:id="24" w:name="_Toc5810"/>
      <w:r>
        <w:rPr>
          <w:rFonts w:hint="eastAsia" w:ascii="黑体" w:hAnsi="黑体" w:eastAsia="黑体" w:cs="宋体"/>
          <w:bCs/>
          <w:kern w:val="0"/>
          <w:sz w:val="32"/>
          <w:szCs w:val="32"/>
        </w:rPr>
        <w:t>八、政府性基金预算财政拨款收入支出决算情况说明</w:t>
      </w:r>
      <w:bookmarkEnd w:id="23"/>
      <w:bookmarkEnd w:id="24"/>
    </w:p>
    <w:p w14:paraId="7296027D">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2D9CC7E7">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0E5D666E">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212C500E">
      <w:pPr>
        <w:ind w:firstLine="640" w:firstLineChars="200"/>
        <w:jc w:val="left"/>
        <w:outlineLvl w:val="1"/>
        <w:rPr>
          <w:rFonts w:hint="eastAsia" w:ascii="黑体" w:hAnsi="黑体" w:eastAsia="黑体" w:cs="宋体"/>
          <w:bCs/>
          <w:kern w:val="0"/>
          <w:sz w:val="32"/>
          <w:szCs w:val="32"/>
        </w:rPr>
      </w:pPr>
      <w:bookmarkStart w:id="25" w:name="_Toc7314"/>
      <w:bookmarkStart w:id="26" w:name="_Toc1235"/>
      <w:r>
        <w:rPr>
          <w:rFonts w:hint="eastAsia" w:ascii="黑体" w:hAnsi="黑体" w:eastAsia="黑体" w:cs="宋体"/>
          <w:bCs/>
          <w:kern w:val="0"/>
          <w:sz w:val="32"/>
          <w:szCs w:val="32"/>
        </w:rPr>
        <w:t>十、其他重要事项的情况说明</w:t>
      </w:r>
      <w:bookmarkEnd w:id="25"/>
      <w:bookmarkEnd w:id="26"/>
    </w:p>
    <w:p w14:paraId="3C07FDAE">
      <w:pPr>
        <w:ind w:firstLine="640" w:firstLineChars="200"/>
        <w:jc w:val="left"/>
        <w:outlineLvl w:val="2"/>
        <w:rPr>
          <w:rFonts w:hint="eastAsia" w:ascii="黑体" w:hAnsi="黑体" w:eastAsia="黑体"/>
          <w:sz w:val="32"/>
          <w:szCs w:val="32"/>
        </w:rPr>
      </w:pPr>
      <w:bookmarkStart w:id="27" w:name="_Toc13105"/>
      <w:bookmarkStart w:id="28" w:name="_Toc14519"/>
      <w:r>
        <w:rPr>
          <w:rFonts w:hint="eastAsia" w:ascii="黑体" w:hAnsi="黑体" w:eastAsia="黑体"/>
          <w:sz w:val="32"/>
          <w:szCs w:val="32"/>
        </w:rPr>
        <w:t>（一）机关运行经费支出情况</w:t>
      </w:r>
      <w:bookmarkEnd w:id="27"/>
      <w:bookmarkEnd w:id="28"/>
    </w:p>
    <w:p w14:paraId="199BD8D3">
      <w:pPr>
        <w:ind w:firstLine="640" w:firstLineChars="200"/>
        <w:rPr>
          <w:rFonts w:hint="eastAsia" w:ascii="仿宋_GB2312" w:hAnsi="仿宋_GB2312" w:eastAsia="仿宋_GB2312" w:cs="仿宋_GB2312"/>
          <w:sz w:val="32"/>
          <w:szCs w:val="32"/>
          <w:lang w:val="zh-CN"/>
        </w:rPr>
      </w:pPr>
      <w:bookmarkStart w:id="29" w:name="_Toc227"/>
      <w:bookmarkStart w:id="30"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中共乌鲁木齐市米东区委员会直属机关工作委员会（行政单位和参照公务员法管理事业单位）机关运行经费支出12.49万元，</w:t>
      </w:r>
      <w:r>
        <w:rPr>
          <w:rFonts w:hint="eastAsia" w:ascii="仿宋_GB2312" w:hAnsi="仿宋_GB2312" w:eastAsia="仿宋_GB2312" w:cs="仿宋_GB2312"/>
          <w:sz w:val="32"/>
          <w:szCs w:val="32"/>
          <w:lang w:val="zh-CN"/>
        </w:rPr>
        <w:t>比上年增加9.34万元，增长296.51%，主要原因是：本年单位办公经费、</w:t>
      </w:r>
      <w:r>
        <w:rPr>
          <w:rFonts w:hint="eastAsia" w:ascii="仿宋_GB2312" w:eastAsia="仿宋_GB2312"/>
          <w:sz w:val="32"/>
          <w:szCs w:val="32"/>
        </w:rPr>
        <w:t>办公设备购置等较上年增加</w:t>
      </w:r>
      <w:r>
        <w:rPr>
          <w:rFonts w:hint="eastAsia" w:ascii="仿宋_GB2312" w:hAnsi="仿宋_GB2312" w:eastAsia="仿宋_GB2312" w:cs="仿宋_GB2312"/>
          <w:sz w:val="32"/>
          <w:szCs w:val="32"/>
          <w:lang w:val="zh-CN"/>
        </w:rPr>
        <w:t>。</w:t>
      </w:r>
    </w:p>
    <w:p w14:paraId="63178409">
      <w:pPr>
        <w:ind w:firstLine="640" w:firstLineChars="200"/>
        <w:jc w:val="left"/>
        <w:rPr>
          <w:rFonts w:eastAsia="黑体"/>
          <w:sz w:val="32"/>
          <w:szCs w:val="30"/>
          <w:lang w:val="zh-CN"/>
        </w:rPr>
      </w:pPr>
      <w:r>
        <w:rPr>
          <w:rFonts w:hint="eastAsia" w:eastAsia="黑体"/>
          <w:sz w:val="32"/>
          <w:szCs w:val="30"/>
          <w:lang w:val="zh-CN"/>
        </w:rPr>
        <w:t>（二）政府采购情况</w:t>
      </w:r>
      <w:bookmarkEnd w:id="29"/>
      <w:bookmarkEnd w:id="30"/>
    </w:p>
    <w:p w14:paraId="1831295C">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14:paraId="310C6AF7">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14:paraId="44705694">
      <w:pPr>
        <w:ind w:firstLine="640" w:firstLineChars="200"/>
        <w:jc w:val="left"/>
        <w:rPr>
          <w:rFonts w:eastAsia="黑体"/>
          <w:sz w:val="32"/>
          <w:szCs w:val="30"/>
          <w:lang w:val="zh-CN"/>
        </w:rPr>
      </w:pPr>
      <w:bookmarkStart w:id="31" w:name="_Toc8391"/>
      <w:bookmarkStart w:id="32" w:name="_Toc4591"/>
      <w:r>
        <w:rPr>
          <w:rFonts w:hint="eastAsia" w:eastAsia="黑体"/>
          <w:sz w:val="32"/>
          <w:szCs w:val="30"/>
          <w:lang w:val="zh-CN"/>
        </w:rPr>
        <w:t>（三）国有资产占用情况说明</w:t>
      </w:r>
      <w:bookmarkEnd w:id="31"/>
      <w:bookmarkEnd w:id="32"/>
    </w:p>
    <w:p w14:paraId="24B6453B">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22.96</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屋0.00平方米，价值0.00万元。车辆1辆，价值6.15万元，其中：副部（省）级及以上领导用车0辆、主要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用车0辆、其他用车1辆，其他用车主要是：业务用车；单价100万元（含）以上设备（不含车辆）0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7F8ABDA0">
      <w:pPr>
        <w:ind w:firstLine="640" w:firstLineChars="200"/>
        <w:jc w:val="left"/>
        <w:outlineLvl w:val="1"/>
        <w:rPr>
          <w:rFonts w:hint="eastAsia" w:ascii="黑体" w:hAnsi="黑体" w:eastAsia="黑体" w:cs="宋体"/>
          <w:bCs/>
          <w:kern w:val="0"/>
          <w:sz w:val="32"/>
          <w:szCs w:val="32"/>
        </w:rPr>
      </w:pPr>
      <w:bookmarkStart w:id="33" w:name="_Toc435"/>
      <w:bookmarkStart w:id="34" w:name="_Toc11283"/>
      <w:r>
        <w:rPr>
          <w:rFonts w:hint="eastAsia" w:ascii="黑体" w:hAnsi="黑体" w:eastAsia="黑体" w:cs="宋体"/>
          <w:bCs/>
          <w:kern w:val="0"/>
          <w:sz w:val="32"/>
          <w:szCs w:val="32"/>
        </w:rPr>
        <w:t>十一、预算绩效的情况说明</w:t>
      </w:r>
      <w:bookmarkEnd w:id="33"/>
      <w:bookmarkEnd w:id="34"/>
    </w:p>
    <w:p w14:paraId="08999120">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95.91</w:t>
      </w:r>
      <w:r>
        <w:rPr>
          <w:rFonts w:hint="eastAsia" w:ascii="仿宋_GB2312" w:eastAsia="仿宋_GB2312"/>
          <w:sz w:val="32"/>
          <w:szCs w:val="32"/>
        </w:rPr>
        <w:t>万元，实际执行总额</w:t>
      </w:r>
      <w:r>
        <w:rPr>
          <w:rFonts w:ascii="仿宋_GB2312" w:eastAsia="仿宋_GB2312"/>
          <w:sz w:val="32"/>
          <w:szCs w:val="32"/>
        </w:rPr>
        <w:t>93.41</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0个，全年预算数0.00万元，全年执行数0.00万元。预算绩效管理取得的成效：一是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发现的问题及原因：一是预算编制科学性的问题。首先预算编制之合理性相对不足，主要表现在预算调整数较大，年度目标与长期规划衔接的紧密程度需要增强；二是部门整体绩效指标应从单位全局高度出发，围绕部门单位履职的核心任务，分析提炼部门单位年度目标，再细化为具体的三级指标，以结果性、效益性指标为主。同时，参考资料也是首先以中央、自治区、乌鲁木齐市的文件、批准的规划为主，不是仅依赖于部门单位的工作计划，多设置过程性、产出性的指标，而非部门碎片工作的简单整合。下一步改进措施：一是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二是以党的政治建设为统领，全面</w:t>
      </w:r>
      <w:r>
        <w:rPr>
          <w:rFonts w:hint="eastAsia" w:ascii="仿宋_GB2312" w:eastAsia="仿宋_GB2312"/>
          <w:sz w:val="32"/>
          <w:szCs w:val="32"/>
          <w:lang w:eastAsia="zh-CN"/>
        </w:rPr>
        <w:t>落实全面从严治党</w:t>
      </w:r>
      <w:r>
        <w:rPr>
          <w:rFonts w:hint="eastAsia" w:ascii="仿宋_GB2312" w:eastAsia="仿宋_GB2312"/>
          <w:sz w:val="32"/>
          <w:szCs w:val="32"/>
        </w:rPr>
        <w:t>。</w:t>
      </w:r>
      <w:r>
        <w:rPr>
          <w:rFonts w:hint="eastAsia" w:ascii="仿宋_GB2312" w:eastAsia="仿宋_GB2312"/>
          <w:sz w:val="32"/>
          <w:szCs w:val="32"/>
          <w:lang w:eastAsia="zh-CN"/>
        </w:rPr>
        <w:t>学习贯彻习近平新时代中国特色社会主义思想和党的二十大精神</w:t>
      </w:r>
      <w:bookmarkStart w:id="55" w:name="_GoBack"/>
      <w:bookmarkEnd w:id="55"/>
      <w:r>
        <w:rPr>
          <w:rFonts w:hint="eastAsia" w:ascii="仿宋_GB2312" w:eastAsia="仿宋_GB2312"/>
          <w:sz w:val="32"/>
          <w:szCs w:val="32"/>
        </w:rPr>
        <w:t>，利用每周五政治理论学习日，强化学习意识，把党建工作牢牢抓在手上，把责任真正扛在肩上，落实从严管党治党的工作要求,进一步增强“四个意识”、坚定“四个自信”、做到“两个维护”、创建“模范机关”。根据党支部工作条例关于机关、事业、社会组织、离退休党支部的任务要求，制定任务清单，有效解决机关党建工作不平衡的问题。发挥党支部“管到人头”的优势，加强对党员的日常监督。督促全体在职党员佩戴党员徽章、各支部评选党员先锋岗、建立党员责任区等，引导党员增强党员意识、发挥党员示范引领作用。具体项目自评情况附绩效自评表及自评报告。</w:t>
      </w:r>
    </w:p>
    <w:p w14:paraId="08B315DB">
      <w:pPr>
        <w:jc w:val="center"/>
        <w:rPr>
          <w:rFonts w:hint="eastAsia" w:ascii="宋体" w:hAnsi="宋体" w:cs="宋体"/>
          <w:b/>
          <w:bCs/>
          <w:kern w:val="0"/>
          <w:sz w:val="28"/>
          <w:szCs w:val="28"/>
        </w:rPr>
      </w:pPr>
      <w:bookmarkStart w:id="35" w:name="_Hlk174962300"/>
      <w:r>
        <w:rPr>
          <w:rFonts w:hint="eastAsia" w:ascii="宋体" w:hAnsi="宋体" w:cs="宋体"/>
          <w:b/>
          <w:bCs/>
          <w:kern w:val="0"/>
          <w:sz w:val="28"/>
          <w:szCs w:val="28"/>
        </w:rPr>
        <w:t>部门（单位）整体支出绩效目标自评表</w:t>
      </w:r>
    </w:p>
    <w:p w14:paraId="595A1699">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14:paraId="20708CE8">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021D394">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5CBED976">
            <w:pPr>
              <w:jc w:val="center"/>
            </w:pPr>
            <w:r>
              <w:rPr>
                <w:rFonts w:ascii="宋体" w:hAnsi="宋体"/>
                <w:sz w:val="18"/>
              </w:rPr>
              <w:t>米东区直属机关工作委员会</w:t>
            </w:r>
          </w:p>
        </w:tc>
        <w:tc>
          <w:tcPr>
            <w:tcW w:w="284" w:type="dxa"/>
            <w:tcBorders>
              <w:top w:val="nil"/>
              <w:left w:val="nil"/>
              <w:bottom w:val="nil"/>
              <w:right w:val="nil"/>
            </w:tcBorders>
            <w:shd w:val="clear" w:color="auto" w:fill="auto"/>
            <w:noWrap/>
            <w:vAlign w:val="center"/>
          </w:tcPr>
          <w:p w14:paraId="20A97815">
            <w:pPr>
              <w:widowControl/>
              <w:jc w:val="left"/>
              <w:rPr>
                <w:rFonts w:hint="eastAsia" w:ascii="宋体" w:hAnsi="宋体" w:cs="宋体"/>
                <w:b/>
                <w:bCs/>
                <w:kern w:val="0"/>
                <w:sz w:val="18"/>
                <w:szCs w:val="18"/>
              </w:rPr>
            </w:pPr>
          </w:p>
        </w:tc>
      </w:tr>
      <w:tr w14:paraId="2A904D31">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8DA5A81">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0BCEBF83">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1595C45B">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2D9AA0A4">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2011754B">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58CD7D2F">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5E486417">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1A34B567">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731FEB3C">
            <w:pPr>
              <w:widowControl/>
              <w:jc w:val="center"/>
              <w:rPr>
                <w:rFonts w:hint="eastAsia" w:ascii="宋体" w:hAnsi="宋体" w:cs="宋体"/>
                <w:b/>
                <w:bCs/>
                <w:kern w:val="0"/>
                <w:sz w:val="18"/>
                <w:szCs w:val="18"/>
              </w:rPr>
            </w:pPr>
          </w:p>
        </w:tc>
      </w:tr>
      <w:tr w14:paraId="58ED6D63">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CEE15F5">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54CD4AF1">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62C0F1F7">
            <w:pPr>
              <w:jc w:val="center"/>
            </w:pPr>
            <w:r>
              <w:rPr>
                <w:rFonts w:ascii="宋体" w:hAnsi="宋体"/>
                <w:sz w:val="18"/>
              </w:rPr>
              <w:t>48.78</w:t>
            </w:r>
          </w:p>
        </w:tc>
        <w:tc>
          <w:tcPr>
            <w:tcW w:w="1134" w:type="dxa"/>
            <w:tcBorders>
              <w:top w:val="nil"/>
              <w:left w:val="nil"/>
              <w:bottom w:val="single" w:color="auto" w:sz="4" w:space="0"/>
              <w:right w:val="single" w:color="auto" w:sz="4" w:space="0"/>
            </w:tcBorders>
            <w:shd w:val="clear" w:color="auto" w:fill="auto"/>
            <w:vAlign w:val="center"/>
          </w:tcPr>
          <w:p w14:paraId="1F0F7895">
            <w:pPr>
              <w:jc w:val="center"/>
            </w:pPr>
            <w:r>
              <w:rPr>
                <w:rFonts w:ascii="宋体" w:hAnsi="宋体"/>
                <w:sz w:val="18"/>
              </w:rPr>
              <w:t>95.91</w:t>
            </w:r>
          </w:p>
        </w:tc>
        <w:tc>
          <w:tcPr>
            <w:tcW w:w="2126" w:type="dxa"/>
            <w:tcBorders>
              <w:top w:val="nil"/>
              <w:left w:val="nil"/>
              <w:bottom w:val="single" w:color="auto" w:sz="4" w:space="0"/>
              <w:right w:val="single" w:color="auto" w:sz="4" w:space="0"/>
            </w:tcBorders>
            <w:shd w:val="clear" w:color="auto" w:fill="auto"/>
            <w:vAlign w:val="center"/>
          </w:tcPr>
          <w:p w14:paraId="2F91BC87">
            <w:pPr>
              <w:jc w:val="center"/>
            </w:pPr>
            <w:r>
              <w:rPr>
                <w:rFonts w:ascii="宋体" w:hAnsi="宋体"/>
                <w:sz w:val="18"/>
              </w:rPr>
              <w:t>93.41</w:t>
            </w:r>
          </w:p>
        </w:tc>
        <w:tc>
          <w:tcPr>
            <w:tcW w:w="1004" w:type="dxa"/>
            <w:tcBorders>
              <w:top w:val="nil"/>
              <w:left w:val="nil"/>
              <w:bottom w:val="single" w:color="auto" w:sz="4" w:space="0"/>
              <w:right w:val="single" w:color="auto" w:sz="4" w:space="0"/>
            </w:tcBorders>
            <w:shd w:val="clear" w:color="auto" w:fill="auto"/>
            <w:vAlign w:val="center"/>
          </w:tcPr>
          <w:p w14:paraId="04FA5D11">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14:paraId="13D0F65F">
            <w:pPr>
              <w:jc w:val="center"/>
            </w:pPr>
            <w:r>
              <w:rPr>
                <w:rFonts w:ascii="宋体" w:hAnsi="宋体"/>
                <w:sz w:val="18"/>
              </w:rPr>
              <w:t>97.39%</w:t>
            </w:r>
          </w:p>
        </w:tc>
        <w:tc>
          <w:tcPr>
            <w:tcW w:w="720" w:type="dxa"/>
            <w:tcBorders>
              <w:top w:val="nil"/>
              <w:left w:val="nil"/>
              <w:bottom w:val="single" w:color="auto" w:sz="4" w:space="0"/>
              <w:right w:val="single" w:color="auto" w:sz="4" w:space="0"/>
            </w:tcBorders>
            <w:shd w:val="clear" w:color="auto" w:fill="auto"/>
            <w:vAlign w:val="center"/>
          </w:tcPr>
          <w:p w14:paraId="52885FE5">
            <w:pPr>
              <w:jc w:val="center"/>
            </w:pPr>
            <w:r>
              <w:rPr>
                <w:rFonts w:ascii="宋体" w:hAnsi="宋体"/>
                <w:sz w:val="18"/>
              </w:rPr>
              <w:t>9.74</w:t>
            </w:r>
          </w:p>
        </w:tc>
        <w:tc>
          <w:tcPr>
            <w:tcW w:w="284" w:type="dxa"/>
            <w:tcBorders>
              <w:top w:val="nil"/>
              <w:left w:val="nil"/>
              <w:bottom w:val="nil"/>
              <w:right w:val="nil"/>
            </w:tcBorders>
            <w:shd w:val="clear" w:color="auto" w:fill="auto"/>
            <w:noWrap/>
            <w:vAlign w:val="center"/>
          </w:tcPr>
          <w:p w14:paraId="54D3B5AC">
            <w:pPr>
              <w:widowControl/>
              <w:jc w:val="center"/>
              <w:rPr>
                <w:rFonts w:hint="eastAsia" w:ascii="宋体" w:hAnsi="宋体" w:cs="宋体"/>
                <w:b/>
                <w:bCs/>
                <w:kern w:val="0"/>
                <w:sz w:val="18"/>
                <w:szCs w:val="18"/>
              </w:rPr>
            </w:pPr>
          </w:p>
        </w:tc>
      </w:tr>
      <w:tr w14:paraId="5E8DE745">
        <w:tblPrEx>
          <w:tblCellMar>
            <w:top w:w="0" w:type="dxa"/>
            <w:left w:w="108" w:type="dxa"/>
            <w:bottom w:w="0" w:type="dxa"/>
            <w:right w:w="108" w:type="dxa"/>
          </w:tblCellMar>
        </w:tblPrEx>
        <w:trPr>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78A4A01">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7F45D66F">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35406ADE">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03509AF2">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4654F6A7">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44873C1D">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319EE0B">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4CDD6BD">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47B3FA16">
            <w:pPr>
              <w:widowControl/>
              <w:jc w:val="center"/>
              <w:rPr>
                <w:rFonts w:hint="eastAsia" w:ascii="宋体" w:hAnsi="宋体" w:cs="宋体"/>
                <w:kern w:val="0"/>
                <w:sz w:val="18"/>
                <w:szCs w:val="18"/>
              </w:rPr>
            </w:pPr>
          </w:p>
        </w:tc>
      </w:tr>
      <w:tr w14:paraId="510DAEE6">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4EE34A3">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165FA47">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003F3DF4">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15386A0C">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30490EE0">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7DCC7846">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282F2418">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3888091">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16B8F7F8">
            <w:pPr>
              <w:widowControl/>
              <w:jc w:val="center"/>
              <w:rPr>
                <w:rFonts w:hint="eastAsia" w:ascii="宋体" w:hAnsi="宋体" w:cs="宋体"/>
                <w:kern w:val="0"/>
                <w:sz w:val="18"/>
                <w:szCs w:val="18"/>
              </w:rPr>
            </w:pPr>
          </w:p>
        </w:tc>
      </w:tr>
      <w:tr w14:paraId="61E55387">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4FB842D">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00A64ED">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79CEA2DF">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074B4FDC">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6F434E5C">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04221C6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2BA8745C">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884B83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169B6102">
            <w:pPr>
              <w:widowControl/>
              <w:jc w:val="center"/>
              <w:rPr>
                <w:rFonts w:hint="eastAsia" w:ascii="宋体" w:hAnsi="宋体" w:cs="宋体"/>
                <w:kern w:val="0"/>
                <w:sz w:val="18"/>
                <w:szCs w:val="18"/>
              </w:rPr>
            </w:pPr>
          </w:p>
        </w:tc>
      </w:tr>
      <w:tr w14:paraId="3ADD2D82">
        <w:tblPrEx>
          <w:tblCellMar>
            <w:top w:w="0" w:type="dxa"/>
            <w:left w:w="108" w:type="dxa"/>
            <w:bottom w:w="0" w:type="dxa"/>
            <w:right w:w="108" w:type="dxa"/>
          </w:tblCellMar>
        </w:tblPrEx>
        <w:trPr>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5C25F06">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7CC4421E">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10296A0B">
            <w:pPr>
              <w:jc w:val="center"/>
            </w:pPr>
            <w:r>
              <w:rPr>
                <w:rFonts w:ascii="宋体" w:hAnsi="宋体"/>
                <w:sz w:val="18"/>
              </w:rPr>
              <w:t>48.78</w:t>
            </w:r>
          </w:p>
        </w:tc>
        <w:tc>
          <w:tcPr>
            <w:tcW w:w="1134" w:type="dxa"/>
            <w:tcBorders>
              <w:top w:val="nil"/>
              <w:left w:val="nil"/>
              <w:bottom w:val="single" w:color="auto" w:sz="4" w:space="0"/>
              <w:right w:val="single" w:color="auto" w:sz="4" w:space="0"/>
            </w:tcBorders>
            <w:shd w:val="clear" w:color="auto" w:fill="auto"/>
            <w:vAlign w:val="center"/>
          </w:tcPr>
          <w:p w14:paraId="1FD5E644">
            <w:pPr>
              <w:jc w:val="center"/>
            </w:pPr>
            <w:r>
              <w:rPr>
                <w:rFonts w:ascii="宋体" w:hAnsi="宋体"/>
                <w:sz w:val="18"/>
              </w:rPr>
              <w:t>95.91</w:t>
            </w:r>
          </w:p>
        </w:tc>
        <w:tc>
          <w:tcPr>
            <w:tcW w:w="2126" w:type="dxa"/>
            <w:tcBorders>
              <w:top w:val="nil"/>
              <w:left w:val="nil"/>
              <w:bottom w:val="single" w:color="auto" w:sz="4" w:space="0"/>
              <w:right w:val="single" w:color="auto" w:sz="4" w:space="0"/>
            </w:tcBorders>
            <w:shd w:val="clear" w:color="auto" w:fill="auto"/>
            <w:vAlign w:val="center"/>
          </w:tcPr>
          <w:p w14:paraId="6BEF7001">
            <w:pPr>
              <w:jc w:val="center"/>
            </w:pPr>
            <w:r>
              <w:rPr>
                <w:rFonts w:ascii="宋体" w:hAnsi="宋体"/>
                <w:sz w:val="18"/>
              </w:rPr>
              <w:t>93.41</w:t>
            </w:r>
          </w:p>
        </w:tc>
        <w:tc>
          <w:tcPr>
            <w:tcW w:w="1004" w:type="dxa"/>
            <w:tcBorders>
              <w:top w:val="nil"/>
              <w:left w:val="nil"/>
              <w:bottom w:val="single" w:color="auto" w:sz="4" w:space="0"/>
              <w:right w:val="single" w:color="auto" w:sz="4" w:space="0"/>
            </w:tcBorders>
            <w:shd w:val="clear" w:color="auto" w:fill="auto"/>
            <w:vAlign w:val="center"/>
          </w:tcPr>
          <w:p w14:paraId="5BA8C42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74792A3C">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756307D">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708F0C71">
            <w:pPr>
              <w:widowControl/>
              <w:jc w:val="center"/>
              <w:rPr>
                <w:rFonts w:hint="eastAsia" w:ascii="宋体" w:hAnsi="宋体" w:cs="宋体"/>
                <w:kern w:val="0"/>
                <w:sz w:val="18"/>
                <w:szCs w:val="18"/>
              </w:rPr>
            </w:pPr>
          </w:p>
        </w:tc>
      </w:tr>
      <w:tr w14:paraId="32846D03">
        <w:tblPrEx>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227A1C7">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576290E">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3111EF27">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181088AE">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4D584910">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4EF7BA16">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0AABE9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15DEC6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0B435E46">
            <w:pPr>
              <w:widowControl/>
              <w:jc w:val="center"/>
              <w:rPr>
                <w:rFonts w:hint="eastAsia" w:ascii="宋体" w:hAnsi="宋体" w:cs="宋体"/>
                <w:kern w:val="0"/>
                <w:sz w:val="18"/>
                <w:szCs w:val="18"/>
              </w:rPr>
            </w:pPr>
          </w:p>
        </w:tc>
      </w:tr>
      <w:tr w14:paraId="32AB0654">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D56D94E">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27DB52ED">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2409182B">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0BF0DF16">
            <w:pPr>
              <w:widowControl/>
              <w:jc w:val="left"/>
              <w:rPr>
                <w:rFonts w:hint="eastAsia" w:ascii="宋体" w:hAnsi="宋体" w:cs="宋体"/>
                <w:b/>
                <w:bCs/>
                <w:kern w:val="0"/>
                <w:sz w:val="18"/>
                <w:szCs w:val="18"/>
              </w:rPr>
            </w:pPr>
          </w:p>
        </w:tc>
      </w:tr>
      <w:tr w14:paraId="48C308BA">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61E909A">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3D9E6276">
            <w:pPr>
              <w:jc w:val="left"/>
            </w:pPr>
            <w:r>
              <w:rPr>
                <w:rFonts w:ascii="宋体" w:hAnsi="宋体"/>
                <w:sz w:val="18"/>
              </w:rPr>
              <w:t>目标1：统一组织、规划、部署区直机关党的工作。目标2：指导区直机关各级党组织开展机关文化建设工作。目标3：指导各基层党组织正常开展组织生活。目标4：培训轮训区直机关、各党组织班子成员、党员、党务干部及党员。</w:t>
            </w:r>
          </w:p>
        </w:tc>
        <w:tc>
          <w:tcPr>
            <w:tcW w:w="4689" w:type="dxa"/>
            <w:gridSpan w:val="4"/>
            <w:tcBorders>
              <w:top w:val="single" w:color="auto" w:sz="4" w:space="0"/>
              <w:left w:val="nil"/>
              <w:bottom w:val="single" w:color="auto" w:sz="4" w:space="0"/>
              <w:right w:val="single" w:color="auto" w:sz="4" w:space="0"/>
            </w:tcBorders>
            <w:shd w:val="clear" w:color="auto" w:fill="auto"/>
          </w:tcPr>
          <w:p w14:paraId="00342A6E">
            <w:pPr>
              <w:jc w:val="left"/>
            </w:pPr>
            <w:r>
              <w:rPr>
                <w:rFonts w:ascii="宋体" w:hAnsi="宋体"/>
                <w:sz w:val="18"/>
              </w:rPr>
              <w:t>（一）机关工委坚持以习近平新时代中国特色社会主义思想为指导，深入学习贯彻党的二十大精神、习近平总书记在中央和国家机关党的建设工作会议上的重要讲话精神，全面贯彻落实新时代党的建设总要求，以党的政治建设为统领，树牢政治机关意识，深化机关“四个走在前列”示范引领行动，建立健全有效运行机制，全面提高机关党建质量。（二）全年完成“党旗映天山”主题党日各类活动10余次。1.组织机关干部40余人到市烈士陵园开展清明节“缅怀革命先烈传承革命精神”文明祭扫活动；2.在机关各基层党组织中选拔机关工委青年理论宣讲队，举办“青春向党使命在肩奋斗有我党的二十大精神进机关”宣讲活动；3.举办党的二十大精神知识竞赛，并组织各支部参与竞赛，初赛有55支队伍参与，决赛有10支队伍参与；4.举办“庆祝中国共产党成立102周年暨我身边的榜样展示活动”；5.组织机关干部参加2023年总工会举办的广播操比赛；6.组织机关干部50人组成机关工委方阵参与“庆丰收促和美”中国农民丰收节活动；7.组织全区机关党员干部500余人参加“十一”国庆节升国旗仪式；8.开展革命传统教育，机关工委积极组织干部参观三道坝镇毛泽民纪念馆。9.组织机关干部参观世纪恒泰文化博物馆、乌鲁木齐市文化中心、展览馆、博物馆等红色教育基地。10.组织机关干部观看《小马鞭》、《平凡英雄》等爱国主义影片。通过开展各类活动不断增强各基层党组织和党员的创造力、凝聚力和战斗力。（三）指导各党组织认真落实“三会一课”、组织生活会制度、开展“党旗映天山”主题党日活动，认真抓好党员学习教育管理、党费收缴、党组织关系管理等各项工作，切实增强党内政治生活的政治性、原则性。各党组织累计召开“三会一课”1830余场次，开展主题党日活动1350余场次。（四）今年共开展4期党的二十大精神专题培训班，邀请市委、区委党校教授全面解读，对2642名机关在职党员全覆盖培训。每月下发党建工作清单共计12期。每季度对各党组织工作完成情况进行抽查，对发现的问题通过月例会、季推进、以会代训、党务知识测试等方式对125名党务干部集中培强化辅导，进一步规范工作，提升党务干部能力。</w:t>
            </w:r>
          </w:p>
        </w:tc>
        <w:tc>
          <w:tcPr>
            <w:tcW w:w="284" w:type="dxa"/>
            <w:tcBorders>
              <w:top w:val="nil"/>
              <w:left w:val="nil"/>
              <w:bottom w:val="nil"/>
              <w:right w:val="nil"/>
            </w:tcBorders>
            <w:shd w:val="clear" w:color="auto" w:fill="auto"/>
            <w:noWrap/>
            <w:vAlign w:val="center"/>
          </w:tcPr>
          <w:p w14:paraId="6C4C5E1A">
            <w:pPr>
              <w:widowControl/>
              <w:jc w:val="left"/>
              <w:rPr>
                <w:rFonts w:hint="eastAsia" w:ascii="宋体" w:hAnsi="宋体" w:cs="宋体"/>
                <w:kern w:val="0"/>
                <w:sz w:val="18"/>
                <w:szCs w:val="18"/>
              </w:rPr>
            </w:pPr>
          </w:p>
        </w:tc>
      </w:tr>
      <w:tr w14:paraId="6F67C9CE">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7D32A467">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1ADA05A5">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39175918">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4FC1B281">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54E9CEF6">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28B593E0">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58F6D06A">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0FA65CC2">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7C4147AE">
            <w:pPr>
              <w:widowControl/>
              <w:jc w:val="left"/>
              <w:rPr>
                <w:rFonts w:hint="eastAsia" w:ascii="宋体" w:hAnsi="宋体" w:cs="宋体"/>
                <w:b/>
                <w:bCs/>
                <w:kern w:val="0"/>
                <w:sz w:val="18"/>
                <w:szCs w:val="18"/>
              </w:rPr>
            </w:pPr>
          </w:p>
        </w:tc>
      </w:tr>
      <w:tr w14:paraId="42901858">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BB5DDBE">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0B08B03F">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675E1BDA">
            <w:pPr>
              <w:jc w:val="center"/>
            </w:pPr>
            <w:r>
              <w:rPr>
                <w:rFonts w:ascii="宋体" w:hAnsi="宋体"/>
                <w:sz w:val="18"/>
              </w:rPr>
              <w:t>机关党员二十大专题培训</w:t>
            </w:r>
          </w:p>
        </w:tc>
        <w:tc>
          <w:tcPr>
            <w:tcW w:w="1134" w:type="dxa"/>
            <w:tcBorders>
              <w:top w:val="nil"/>
              <w:left w:val="nil"/>
              <w:bottom w:val="single" w:color="auto" w:sz="4" w:space="0"/>
              <w:right w:val="single" w:color="auto" w:sz="4" w:space="0"/>
            </w:tcBorders>
            <w:shd w:val="clear" w:color="auto" w:fill="auto"/>
            <w:noWrap/>
            <w:vAlign w:val="center"/>
          </w:tcPr>
          <w:p w14:paraId="205F7887">
            <w:pPr>
              <w:jc w:val="center"/>
            </w:pPr>
            <w:r>
              <w:rPr>
                <w:rFonts w:ascii="宋体" w:hAnsi="宋体"/>
                <w:sz w:val="18"/>
              </w:rPr>
              <w:t>&gt;=6次</w:t>
            </w:r>
          </w:p>
        </w:tc>
        <w:tc>
          <w:tcPr>
            <w:tcW w:w="2126" w:type="dxa"/>
            <w:tcBorders>
              <w:top w:val="nil"/>
              <w:left w:val="nil"/>
              <w:bottom w:val="single" w:color="auto" w:sz="4" w:space="0"/>
              <w:right w:val="single" w:color="auto" w:sz="4" w:space="0"/>
            </w:tcBorders>
            <w:shd w:val="clear" w:color="auto" w:fill="auto"/>
            <w:noWrap/>
            <w:vAlign w:val="center"/>
          </w:tcPr>
          <w:p w14:paraId="099F8FF7">
            <w:pPr>
              <w:jc w:val="center"/>
            </w:pPr>
            <w:r>
              <w:rPr>
                <w:rFonts w:ascii="宋体" w:hAnsi="宋体"/>
                <w:sz w:val="18"/>
              </w:rPr>
              <w:t>米东区委直属机关工作委员会2023年工作计划</w:t>
            </w:r>
          </w:p>
        </w:tc>
        <w:tc>
          <w:tcPr>
            <w:tcW w:w="1004" w:type="dxa"/>
            <w:tcBorders>
              <w:top w:val="nil"/>
              <w:left w:val="nil"/>
              <w:bottom w:val="single" w:color="auto" w:sz="4" w:space="0"/>
              <w:right w:val="single" w:color="auto" w:sz="4" w:space="0"/>
            </w:tcBorders>
            <w:shd w:val="clear" w:color="auto" w:fill="auto"/>
            <w:noWrap/>
            <w:vAlign w:val="center"/>
          </w:tcPr>
          <w:p w14:paraId="49629DB1">
            <w:pPr>
              <w:jc w:val="center"/>
            </w:pPr>
            <w:r>
              <w:rPr>
                <w:rFonts w:ascii="宋体" w:hAnsi="宋体"/>
                <w:sz w:val="18"/>
              </w:rPr>
              <w:t>4次</w:t>
            </w:r>
          </w:p>
        </w:tc>
        <w:tc>
          <w:tcPr>
            <w:tcW w:w="839" w:type="dxa"/>
            <w:tcBorders>
              <w:top w:val="nil"/>
              <w:left w:val="nil"/>
              <w:bottom w:val="single" w:color="auto" w:sz="4" w:space="0"/>
              <w:right w:val="single" w:color="auto" w:sz="4" w:space="0"/>
            </w:tcBorders>
            <w:shd w:val="clear" w:color="auto" w:fill="auto"/>
            <w:noWrap/>
            <w:vAlign w:val="center"/>
          </w:tcPr>
          <w:p w14:paraId="67487A85">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62913DBF">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78FAA4C5">
            <w:pPr>
              <w:widowControl/>
              <w:jc w:val="center"/>
              <w:rPr>
                <w:rFonts w:hint="eastAsia" w:ascii="宋体" w:hAnsi="宋体" w:cs="宋体"/>
                <w:kern w:val="0"/>
                <w:sz w:val="18"/>
                <w:szCs w:val="18"/>
              </w:rPr>
            </w:pPr>
          </w:p>
        </w:tc>
      </w:tr>
      <w:tr w14:paraId="1E3B4AD2">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D02CEB2">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5FC05DA0">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71D4B098">
            <w:pPr>
              <w:jc w:val="center"/>
            </w:pPr>
            <w:r>
              <w:rPr>
                <w:rFonts w:ascii="宋体" w:hAnsi="宋体"/>
                <w:sz w:val="18"/>
              </w:rPr>
              <w:t>开展“党旗映天山”主题党日</w:t>
            </w:r>
          </w:p>
        </w:tc>
        <w:tc>
          <w:tcPr>
            <w:tcW w:w="1134" w:type="dxa"/>
            <w:tcBorders>
              <w:top w:val="nil"/>
              <w:left w:val="nil"/>
              <w:bottom w:val="single" w:color="auto" w:sz="4" w:space="0"/>
              <w:right w:val="single" w:color="auto" w:sz="4" w:space="0"/>
            </w:tcBorders>
            <w:shd w:val="clear" w:color="auto" w:fill="auto"/>
            <w:noWrap/>
            <w:vAlign w:val="center"/>
          </w:tcPr>
          <w:p w14:paraId="07879F86">
            <w:pPr>
              <w:jc w:val="center"/>
            </w:pPr>
            <w:r>
              <w:rPr>
                <w:rFonts w:ascii="宋体" w:hAnsi="宋体"/>
                <w:sz w:val="18"/>
              </w:rPr>
              <w:t>&gt;=10次</w:t>
            </w:r>
          </w:p>
        </w:tc>
        <w:tc>
          <w:tcPr>
            <w:tcW w:w="2126" w:type="dxa"/>
            <w:tcBorders>
              <w:top w:val="nil"/>
              <w:left w:val="nil"/>
              <w:bottom w:val="single" w:color="auto" w:sz="4" w:space="0"/>
              <w:right w:val="single" w:color="auto" w:sz="4" w:space="0"/>
            </w:tcBorders>
            <w:shd w:val="clear" w:color="auto" w:fill="auto"/>
            <w:noWrap/>
            <w:vAlign w:val="center"/>
          </w:tcPr>
          <w:p w14:paraId="78FF8528">
            <w:pPr>
              <w:jc w:val="center"/>
            </w:pPr>
            <w:r>
              <w:rPr>
                <w:rFonts w:ascii="宋体" w:hAnsi="宋体"/>
                <w:sz w:val="18"/>
              </w:rPr>
              <w:t>米东区委直属机关工作委员会2023年工作计划</w:t>
            </w:r>
          </w:p>
        </w:tc>
        <w:tc>
          <w:tcPr>
            <w:tcW w:w="1004" w:type="dxa"/>
            <w:tcBorders>
              <w:top w:val="nil"/>
              <w:left w:val="nil"/>
              <w:bottom w:val="single" w:color="auto" w:sz="4" w:space="0"/>
              <w:right w:val="single" w:color="auto" w:sz="4" w:space="0"/>
            </w:tcBorders>
            <w:shd w:val="clear" w:color="auto" w:fill="auto"/>
            <w:noWrap/>
            <w:vAlign w:val="center"/>
          </w:tcPr>
          <w:p w14:paraId="7DA4598C">
            <w:pPr>
              <w:jc w:val="center"/>
            </w:pPr>
            <w:r>
              <w:rPr>
                <w:rFonts w:ascii="宋体" w:hAnsi="宋体"/>
                <w:sz w:val="18"/>
              </w:rPr>
              <w:t>10次</w:t>
            </w:r>
          </w:p>
        </w:tc>
        <w:tc>
          <w:tcPr>
            <w:tcW w:w="839" w:type="dxa"/>
            <w:tcBorders>
              <w:top w:val="nil"/>
              <w:left w:val="nil"/>
              <w:bottom w:val="single" w:color="auto" w:sz="4" w:space="0"/>
              <w:right w:val="single" w:color="auto" w:sz="4" w:space="0"/>
            </w:tcBorders>
            <w:shd w:val="clear" w:color="auto" w:fill="auto"/>
            <w:noWrap/>
            <w:vAlign w:val="center"/>
          </w:tcPr>
          <w:p w14:paraId="250C402E">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6206E2F9">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3D3E687D">
            <w:pPr>
              <w:widowControl/>
              <w:jc w:val="center"/>
              <w:rPr>
                <w:rFonts w:hint="eastAsia" w:ascii="宋体" w:hAnsi="宋体" w:cs="宋体"/>
                <w:kern w:val="0"/>
                <w:sz w:val="18"/>
                <w:szCs w:val="18"/>
              </w:rPr>
            </w:pPr>
          </w:p>
        </w:tc>
      </w:tr>
      <w:tr w14:paraId="083620BB">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3B211BC">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415F4305">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7E9AFBF7">
            <w:pPr>
              <w:jc w:val="center"/>
            </w:pPr>
            <w:r>
              <w:rPr>
                <w:rFonts w:ascii="宋体" w:hAnsi="宋体"/>
                <w:sz w:val="18"/>
              </w:rPr>
              <w:t>开展党组织书记和党务干部培训</w:t>
            </w:r>
          </w:p>
        </w:tc>
        <w:tc>
          <w:tcPr>
            <w:tcW w:w="1134" w:type="dxa"/>
            <w:tcBorders>
              <w:top w:val="nil"/>
              <w:left w:val="nil"/>
              <w:bottom w:val="single" w:color="auto" w:sz="4" w:space="0"/>
              <w:right w:val="single" w:color="auto" w:sz="4" w:space="0"/>
            </w:tcBorders>
            <w:shd w:val="clear" w:color="auto" w:fill="auto"/>
            <w:noWrap/>
            <w:vAlign w:val="center"/>
          </w:tcPr>
          <w:p w14:paraId="1AC13B2D">
            <w:pPr>
              <w:jc w:val="center"/>
            </w:pPr>
            <w:r>
              <w:rPr>
                <w:rFonts w:ascii="宋体" w:hAnsi="宋体"/>
                <w:sz w:val="18"/>
              </w:rPr>
              <w:t>&gt;=2次</w:t>
            </w:r>
          </w:p>
        </w:tc>
        <w:tc>
          <w:tcPr>
            <w:tcW w:w="2126" w:type="dxa"/>
            <w:tcBorders>
              <w:top w:val="nil"/>
              <w:left w:val="nil"/>
              <w:bottom w:val="single" w:color="auto" w:sz="4" w:space="0"/>
              <w:right w:val="single" w:color="auto" w:sz="4" w:space="0"/>
            </w:tcBorders>
            <w:shd w:val="clear" w:color="auto" w:fill="auto"/>
            <w:noWrap/>
            <w:vAlign w:val="center"/>
          </w:tcPr>
          <w:p w14:paraId="0207FE59">
            <w:pPr>
              <w:jc w:val="center"/>
            </w:pPr>
            <w:r>
              <w:rPr>
                <w:rFonts w:ascii="宋体" w:hAnsi="宋体"/>
                <w:sz w:val="18"/>
              </w:rPr>
              <w:t>米东区委直属机关工作委员会2023年工作计划</w:t>
            </w:r>
          </w:p>
        </w:tc>
        <w:tc>
          <w:tcPr>
            <w:tcW w:w="1004" w:type="dxa"/>
            <w:tcBorders>
              <w:top w:val="nil"/>
              <w:left w:val="nil"/>
              <w:bottom w:val="single" w:color="auto" w:sz="4" w:space="0"/>
              <w:right w:val="single" w:color="auto" w:sz="4" w:space="0"/>
            </w:tcBorders>
            <w:shd w:val="clear" w:color="auto" w:fill="auto"/>
            <w:noWrap/>
            <w:vAlign w:val="center"/>
          </w:tcPr>
          <w:p w14:paraId="07B55D60">
            <w:pPr>
              <w:jc w:val="center"/>
            </w:pPr>
            <w:r>
              <w:rPr>
                <w:rFonts w:ascii="宋体" w:hAnsi="宋体"/>
                <w:sz w:val="18"/>
              </w:rPr>
              <w:t>2次</w:t>
            </w:r>
          </w:p>
        </w:tc>
        <w:tc>
          <w:tcPr>
            <w:tcW w:w="839" w:type="dxa"/>
            <w:tcBorders>
              <w:top w:val="nil"/>
              <w:left w:val="nil"/>
              <w:bottom w:val="single" w:color="auto" w:sz="4" w:space="0"/>
              <w:right w:val="single" w:color="auto" w:sz="4" w:space="0"/>
            </w:tcBorders>
            <w:shd w:val="clear" w:color="auto" w:fill="auto"/>
            <w:noWrap/>
            <w:vAlign w:val="center"/>
          </w:tcPr>
          <w:p w14:paraId="53CBD277">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4D55FE9B">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771553A0">
            <w:pPr>
              <w:widowControl/>
              <w:jc w:val="center"/>
              <w:rPr>
                <w:rFonts w:hint="eastAsia" w:ascii="宋体" w:hAnsi="宋体" w:cs="宋体"/>
                <w:kern w:val="0"/>
                <w:sz w:val="18"/>
                <w:szCs w:val="18"/>
              </w:rPr>
            </w:pPr>
          </w:p>
        </w:tc>
      </w:tr>
      <w:tr w14:paraId="76793FE2">
        <w:tblPrEx>
          <w:tblCellMar>
            <w:top w:w="0" w:type="dxa"/>
            <w:left w:w="108" w:type="dxa"/>
            <w:bottom w:w="0" w:type="dxa"/>
            <w:right w:w="108" w:type="dxa"/>
          </w:tblCellMar>
        </w:tblPrEx>
        <w:trPr>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1F92664D">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14:paraId="4E6B4C92">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05656A83">
            <w:pPr>
              <w:jc w:val="center"/>
            </w:pPr>
            <w:r>
              <w:rPr>
                <w:rFonts w:ascii="宋体" w:hAnsi="宋体"/>
                <w:sz w:val="18"/>
              </w:rPr>
              <w:t>89.74分</w:t>
            </w:r>
          </w:p>
        </w:tc>
        <w:tc>
          <w:tcPr>
            <w:tcW w:w="284" w:type="dxa"/>
            <w:tcBorders>
              <w:top w:val="nil"/>
              <w:left w:val="nil"/>
              <w:bottom w:val="nil"/>
              <w:right w:val="nil"/>
            </w:tcBorders>
            <w:shd w:val="clear" w:color="auto" w:fill="auto"/>
            <w:noWrap/>
            <w:vAlign w:val="center"/>
          </w:tcPr>
          <w:p w14:paraId="1EB3E587">
            <w:pPr>
              <w:widowControl/>
              <w:jc w:val="left"/>
              <w:rPr>
                <w:rFonts w:hint="eastAsia" w:ascii="宋体" w:hAnsi="宋体" w:cs="宋体"/>
                <w:kern w:val="0"/>
                <w:sz w:val="18"/>
                <w:szCs w:val="18"/>
              </w:rPr>
            </w:pPr>
          </w:p>
        </w:tc>
      </w:tr>
      <w:bookmarkEnd w:id="35"/>
    </w:tbl>
    <w:p w14:paraId="06611E9E">
      <w:pPr>
        <w:ind w:firstLine="640" w:firstLineChars="200"/>
        <w:jc w:val="left"/>
        <w:rPr>
          <w:rFonts w:hint="eastAsia" w:ascii="仿宋_GB2312" w:hAnsi="仿宋_GB2312" w:eastAsia="仿宋_GB2312" w:cs="仿宋_GB2312"/>
          <w:kern w:val="0"/>
          <w:sz w:val="32"/>
          <w:szCs w:val="32"/>
          <w:lang w:eastAsia="zh-Hans"/>
        </w:rPr>
      </w:pPr>
    </w:p>
    <w:p w14:paraId="56E04A65">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7592EAF7">
      <w:pPr>
        <w:ind w:firstLine="640" w:firstLineChars="200"/>
        <w:jc w:val="left"/>
        <w:rPr>
          <w:rFonts w:hint="eastAsia" w:ascii="仿宋_GB2312" w:hAnsi="仿宋_GB2312" w:eastAsia="仿宋_GB2312" w:cs="仿宋_GB2312"/>
          <w:kern w:val="0"/>
          <w:sz w:val="32"/>
          <w:szCs w:val="32"/>
        </w:rPr>
      </w:pPr>
      <w:bookmarkStart w:id="36" w:name="_Hlk178000334"/>
      <w:r>
        <w:rPr>
          <w:rFonts w:hint="eastAsia" w:ascii="仿宋_GB2312" w:hAnsi="仿宋_GB2312" w:eastAsia="仿宋_GB2312" w:cs="仿宋_GB2312"/>
          <w:kern w:val="0"/>
          <w:sz w:val="32"/>
          <w:szCs w:val="32"/>
        </w:rPr>
        <w:t>我单位本年资金紧张未购买办公用品及设备。因此政府采购金额支出为0</w:t>
      </w:r>
      <w:r>
        <w:rPr>
          <w:rFonts w:ascii="仿宋_GB2312" w:hAnsi="仿宋_GB2312" w:eastAsia="仿宋_GB2312" w:cs="仿宋_GB2312"/>
          <w:kern w:val="0"/>
          <w:sz w:val="32"/>
          <w:szCs w:val="32"/>
        </w:rPr>
        <w:t>.00</w:t>
      </w:r>
      <w:r>
        <w:rPr>
          <w:rFonts w:hint="eastAsia" w:ascii="仿宋_GB2312" w:hAnsi="仿宋_GB2312" w:eastAsia="仿宋_GB2312" w:cs="仿宋_GB2312"/>
          <w:kern w:val="0"/>
          <w:sz w:val="32"/>
          <w:szCs w:val="32"/>
        </w:rPr>
        <w:t>万元。其中授予中小企业合同金额、授予小微企业合同金额为0</w:t>
      </w:r>
      <w:r>
        <w:rPr>
          <w:rFonts w:ascii="仿宋_GB2312" w:hAnsi="仿宋_GB2312" w:eastAsia="仿宋_GB2312" w:cs="仿宋_GB2312"/>
          <w:kern w:val="0"/>
          <w:sz w:val="32"/>
          <w:szCs w:val="32"/>
        </w:rPr>
        <w:t>.00</w:t>
      </w:r>
      <w:r>
        <w:rPr>
          <w:rFonts w:hint="eastAsia" w:ascii="仿宋_GB2312" w:hAnsi="仿宋_GB2312" w:eastAsia="仿宋_GB2312" w:cs="仿宋_GB2312"/>
          <w:kern w:val="0"/>
          <w:sz w:val="32"/>
          <w:szCs w:val="32"/>
        </w:rPr>
        <w:t>万元</w:t>
      </w:r>
      <w:bookmarkEnd w:id="36"/>
      <w:r>
        <w:rPr>
          <w:rFonts w:hint="eastAsia" w:ascii="仿宋_GB2312" w:hAnsi="仿宋_GB2312" w:eastAsia="仿宋_GB2312" w:cs="仿宋_GB2312"/>
          <w:kern w:val="0"/>
          <w:sz w:val="32"/>
          <w:szCs w:val="32"/>
        </w:rPr>
        <w:t>。</w:t>
      </w:r>
    </w:p>
    <w:p w14:paraId="45905781">
      <w:pPr>
        <w:jc w:val="center"/>
        <w:outlineLvl w:val="0"/>
        <w:rPr>
          <w:rFonts w:hint="eastAsia" w:ascii="黑体" w:hAnsi="黑体" w:eastAsia="黑体"/>
          <w:sz w:val="32"/>
          <w:szCs w:val="32"/>
        </w:rPr>
      </w:pPr>
      <w:bookmarkStart w:id="37" w:name="_Toc3250"/>
      <w:bookmarkStart w:id="38"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7"/>
      <w:bookmarkEnd w:id="38"/>
    </w:p>
    <w:p w14:paraId="4D79D5E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56105AF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4C7F3B6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4815DD2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09D287C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6CB07A6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4954540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43275FA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88CCFA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2D07E30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229E8DAB">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37AD9D15">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1A6FFECE">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58EE5F3">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66186F32">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526EBBC9">
      <w:pPr>
        <w:ind w:firstLine="640" w:firstLineChars="200"/>
        <w:outlineLvl w:val="1"/>
        <w:rPr>
          <w:rFonts w:hint="eastAsia" w:ascii="黑体" w:hAnsi="黑体" w:eastAsia="仿宋_GB2312" w:cs="宋体"/>
          <w:bCs/>
          <w:kern w:val="0"/>
          <w:sz w:val="32"/>
          <w:szCs w:val="32"/>
        </w:rPr>
      </w:pPr>
      <w:bookmarkStart w:id="39" w:name="_Toc6062"/>
      <w:bookmarkStart w:id="40" w:name="_Toc2183"/>
      <w:r>
        <w:rPr>
          <w:rFonts w:hint="eastAsia" w:ascii="黑体" w:hAnsi="黑体" w:eastAsia="仿宋_GB2312" w:cs="宋体"/>
          <w:bCs/>
          <w:kern w:val="0"/>
          <w:sz w:val="32"/>
          <w:szCs w:val="32"/>
        </w:rPr>
        <w:t>一、《收入支出决算总表》</w:t>
      </w:r>
      <w:bookmarkEnd w:id="39"/>
      <w:bookmarkEnd w:id="40"/>
    </w:p>
    <w:p w14:paraId="7D26FA10">
      <w:pPr>
        <w:ind w:firstLine="640" w:firstLineChars="200"/>
        <w:outlineLvl w:val="1"/>
        <w:rPr>
          <w:rFonts w:hint="eastAsia" w:ascii="黑体" w:hAnsi="黑体" w:eastAsia="仿宋_GB2312" w:cs="宋体"/>
          <w:bCs/>
          <w:kern w:val="0"/>
          <w:sz w:val="32"/>
          <w:szCs w:val="32"/>
        </w:rPr>
      </w:pPr>
      <w:bookmarkStart w:id="41" w:name="_Toc24532"/>
      <w:bookmarkStart w:id="42" w:name="_Toc30364"/>
      <w:r>
        <w:rPr>
          <w:rFonts w:hint="eastAsia" w:ascii="黑体" w:hAnsi="黑体" w:eastAsia="仿宋_GB2312" w:cs="宋体"/>
          <w:bCs/>
          <w:kern w:val="0"/>
          <w:sz w:val="32"/>
          <w:szCs w:val="32"/>
        </w:rPr>
        <w:t>二、《收入决算表》</w:t>
      </w:r>
      <w:bookmarkEnd w:id="41"/>
      <w:bookmarkEnd w:id="42"/>
    </w:p>
    <w:p w14:paraId="5B54352B">
      <w:pPr>
        <w:ind w:firstLine="640" w:firstLineChars="200"/>
        <w:outlineLvl w:val="1"/>
        <w:rPr>
          <w:rFonts w:hint="eastAsia" w:ascii="黑体" w:hAnsi="黑体" w:eastAsia="仿宋_GB2312" w:cs="宋体"/>
          <w:bCs/>
          <w:kern w:val="0"/>
          <w:sz w:val="32"/>
          <w:szCs w:val="32"/>
        </w:rPr>
      </w:pPr>
      <w:bookmarkStart w:id="43" w:name="_Toc32434"/>
      <w:bookmarkStart w:id="44" w:name="_Toc21304"/>
      <w:r>
        <w:rPr>
          <w:rFonts w:hint="eastAsia" w:ascii="黑体" w:hAnsi="黑体" w:eastAsia="仿宋_GB2312" w:cs="宋体"/>
          <w:bCs/>
          <w:kern w:val="0"/>
          <w:sz w:val="32"/>
          <w:szCs w:val="32"/>
        </w:rPr>
        <w:t>三、《支出决算表》</w:t>
      </w:r>
      <w:bookmarkEnd w:id="43"/>
      <w:bookmarkEnd w:id="44"/>
    </w:p>
    <w:p w14:paraId="4888881D">
      <w:pPr>
        <w:ind w:firstLine="640" w:firstLineChars="200"/>
        <w:outlineLvl w:val="1"/>
        <w:rPr>
          <w:rFonts w:hint="eastAsia" w:ascii="黑体" w:hAnsi="黑体" w:eastAsia="仿宋_GB2312" w:cs="宋体"/>
          <w:bCs/>
          <w:kern w:val="0"/>
          <w:sz w:val="32"/>
          <w:szCs w:val="32"/>
        </w:rPr>
      </w:pPr>
      <w:bookmarkStart w:id="45" w:name="_Toc14238"/>
      <w:bookmarkStart w:id="46" w:name="_Toc28786"/>
      <w:r>
        <w:rPr>
          <w:rFonts w:hint="eastAsia" w:ascii="黑体" w:hAnsi="黑体" w:eastAsia="仿宋_GB2312" w:cs="宋体"/>
          <w:bCs/>
          <w:kern w:val="0"/>
          <w:sz w:val="32"/>
          <w:szCs w:val="32"/>
        </w:rPr>
        <w:t>四、《财政拨款收入支出决算总表》</w:t>
      </w:r>
      <w:bookmarkEnd w:id="45"/>
      <w:bookmarkEnd w:id="46"/>
    </w:p>
    <w:p w14:paraId="38DAA40A">
      <w:pPr>
        <w:ind w:firstLine="640" w:firstLineChars="200"/>
        <w:outlineLvl w:val="1"/>
        <w:rPr>
          <w:rFonts w:hint="eastAsia" w:ascii="黑体" w:hAnsi="黑体" w:eastAsia="仿宋_GB2312" w:cs="宋体"/>
          <w:bCs/>
          <w:kern w:val="0"/>
          <w:sz w:val="32"/>
          <w:szCs w:val="32"/>
        </w:rPr>
      </w:pPr>
      <w:bookmarkStart w:id="47" w:name="_Toc10347"/>
      <w:bookmarkStart w:id="48" w:name="_Toc14869"/>
      <w:r>
        <w:rPr>
          <w:rFonts w:hint="eastAsia" w:ascii="黑体" w:hAnsi="黑体" w:eastAsia="仿宋_GB2312" w:cs="宋体"/>
          <w:bCs/>
          <w:kern w:val="0"/>
          <w:sz w:val="32"/>
          <w:szCs w:val="32"/>
        </w:rPr>
        <w:t>五、《一般公共预算财政拨款支出决算表》</w:t>
      </w:r>
      <w:bookmarkEnd w:id="47"/>
      <w:bookmarkEnd w:id="48"/>
    </w:p>
    <w:p w14:paraId="36D3F5DD">
      <w:pPr>
        <w:ind w:firstLine="640" w:firstLineChars="200"/>
        <w:outlineLvl w:val="1"/>
        <w:rPr>
          <w:rFonts w:hint="eastAsia" w:ascii="黑体" w:hAnsi="黑体" w:eastAsia="仿宋_GB2312" w:cs="宋体"/>
          <w:bCs/>
          <w:kern w:val="0"/>
          <w:sz w:val="32"/>
          <w:szCs w:val="32"/>
        </w:rPr>
      </w:pPr>
      <w:bookmarkStart w:id="49" w:name="_Toc5626"/>
      <w:bookmarkStart w:id="50" w:name="_Toc8884"/>
      <w:r>
        <w:rPr>
          <w:rFonts w:hint="eastAsia" w:ascii="黑体" w:hAnsi="黑体" w:eastAsia="仿宋_GB2312" w:cs="宋体"/>
          <w:bCs/>
          <w:kern w:val="0"/>
          <w:sz w:val="32"/>
          <w:szCs w:val="32"/>
        </w:rPr>
        <w:t>六、《一般公共预算财政拨款基本支出决算表》</w:t>
      </w:r>
      <w:bookmarkEnd w:id="49"/>
      <w:bookmarkEnd w:id="50"/>
    </w:p>
    <w:p w14:paraId="7C8BFE24">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51" w:name="_Toc32663"/>
      <w:bookmarkStart w:id="52" w:name="_Toc29106"/>
      <w:r>
        <w:rPr>
          <w:rFonts w:hint="eastAsia" w:ascii="黑体" w:hAnsi="黑体" w:eastAsia="仿宋_GB2312" w:cs="宋体"/>
          <w:bCs/>
          <w:kern w:val="0"/>
          <w:sz w:val="32"/>
          <w:szCs w:val="32"/>
        </w:rPr>
        <w:t>《财政拨款“三公”经费支出决算表》</w:t>
      </w:r>
      <w:bookmarkEnd w:id="51"/>
      <w:bookmarkEnd w:id="52"/>
    </w:p>
    <w:p w14:paraId="21A1A9A2">
      <w:pPr>
        <w:ind w:firstLine="640" w:firstLineChars="200"/>
        <w:outlineLvl w:val="1"/>
        <w:rPr>
          <w:rFonts w:hint="eastAsia" w:ascii="黑体" w:hAnsi="黑体" w:eastAsia="仿宋_GB2312" w:cs="宋体"/>
          <w:bCs/>
          <w:kern w:val="0"/>
          <w:sz w:val="32"/>
          <w:szCs w:val="32"/>
        </w:rPr>
      </w:pPr>
      <w:bookmarkStart w:id="53" w:name="_Toc5453"/>
      <w:bookmarkStart w:id="54" w:name="_Toc7643"/>
      <w:r>
        <w:rPr>
          <w:rFonts w:hint="eastAsia" w:ascii="黑体" w:hAnsi="黑体" w:eastAsia="仿宋_GB2312" w:cs="宋体"/>
          <w:bCs/>
          <w:kern w:val="0"/>
          <w:sz w:val="32"/>
          <w:szCs w:val="32"/>
        </w:rPr>
        <w:t>八、《政府性基金预算财政拨款收入支出决算表》</w:t>
      </w:r>
      <w:bookmarkEnd w:id="53"/>
      <w:bookmarkEnd w:id="54"/>
    </w:p>
    <w:p w14:paraId="51F57DBF">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51E5F6AE">
      <w:pPr>
        <w:ind w:firstLine="640" w:firstLineChars="200"/>
        <w:rPr>
          <w:rFonts w:ascii="仿宋_GB2312" w:eastAsia="仿宋_GB2312"/>
          <w:sz w:val="32"/>
          <w:szCs w:val="32"/>
        </w:rPr>
      </w:pPr>
    </w:p>
    <w:p w14:paraId="7E35596F">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6FBF72">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996427E">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4996427E">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7A64C7"/>
    <w:rsid w:val="00213C59"/>
    <w:rsid w:val="003210CE"/>
    <w:rsid w:val="0032418B"/>
    <w:rsid w:val="0032467B"/>
    <w:rsid w:val="00552CC6"/>
    <w:rsid w:val="005A4C65"/>
    <w:rsid w:val="006E3C20"/>
    <w:rsid w:val="007A64C7"/>
    <w:rsid w:val="007B3337"/>
    <w:rsid w:val="007C0BCD"/>
    <w:rsid w:val="00B70D59"/>
    <w:rsid w:val="00C65856"/>
    <w:rsid w:val="00CE7A3C"/>
    <w:rsid w:val="00D844D9"/>
    <w:rsid w:val="00EC7DB3"/>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2B7B2C"/>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634280"/>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1354</Words>
  <Characters>7723</Characters>
  <Lines>64</Lines>
  <Paragraphs>18</Paragraphs>
  <TotalTime>27</TotalTime>
  <ScaleCrop>false</ScaleCrop>
  <LinksUpToDate>false</LinksUpToDate>
  <CharactersWithSpaces>9059</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2025-07-16T04:32:54Z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D624B15633CD43C8BF9435464A96BF70</vt:lpwstr>
  </property>
</Properties>
</file>