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E6306">
      <w:pPr>
        <w:rPr>
          <w:rFonts w:hint="eastAsia" w:ascii="黑体" w:hAnsi="黑体" w:eastAsia="黑体"/>
          <w:sz w:val="32"/>
          <w:szCs w:val="32"/>
        </w:rPr>
      </w:pPr>
    </w:p>
    <w:p w14:paraId="2819BE83">
      <w:pPr>
        <w:jc w:val="center"/>
        <w:rPr>
          <w:rFonts w:hint="eastAsia" w:ascii="方正小标宋_GBK" w:hAnsi="宋体" w:eastAsia="方正小标宋_GBK"/>
          <w:sz w:val="44"/>
          <w:szCs w:val="44"/>
        </w:rPr>
      </w:pPr>
    </w:p>
    <w:p w14:paraId="7EAE7F8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乌鲁木齐市第一一一小学</w:t>
      </w:r>
    </w:p>
    <w:p w14:paraId="07604DD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14980B0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7ECBD8D">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0309D2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40A576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BC71F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1101D4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23F49D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0FF8C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6BAFF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EEC6DC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F3CDD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CFA74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F5DC8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BEE80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7C38D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422F3D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BF081A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4ABA12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751AD0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366F1C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F5647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BF426D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082DC3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7465F0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1B95D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F3F01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F1D70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783AE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1CBB2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E977E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4D8E8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062CB4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91C3C1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B399F56">
      <w:r>
        <w:rPr>
          <w:rFonts w:hint="eastAsia" w:ascii="仿宋_GB2312" w:hAnsi="仿宋_GB2312" w:eastAsia="仿宋_GB2312" w:cs="仿宋_GB2312"/>
          <w:sz w:val="32"/>
          <w:szCs w:val="32"/>
        </w:rPr>
        <w:fldChar w:fldCharType="end"/>
      </w:r>
    </w:p>
    <w:p w14:paraId="2CA27871">
      <w:pPr>
        <w:rPr>
          <w:rFonts w:ascii="仿宋_GB2312" w:eastAsia="仿宋_GB2312"/>
          <w:sz w:val="32"/>
          <w:szCs w:val="32"/>
        </w:rPr>
      </w:pPr>
      <w:r>
        <w:rPr>
          <w:rFonts w:hint="eastAsia" w:ascii="仿宋_GB2312" w:eastAsia="仿宋_GB2312"/>
          <w:sz w:val="32"/>
          <w:szCs w:val="32"/>
        </w:rPr>
        <w:br w:type="page"/>
      </w:r>
    </w:p>
    <w:p w14:paraId="6FF3447D">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62976D8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6512F67">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53946313">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7EA9B5E0">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4FB35ABE">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2EAD1B58">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41FEBD29">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64AB9E97">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26EFF8C0">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rPr>
        <w:t>教育部颁布的规定管理学生学籍。</w:t>
      </w:r>
    </w:p>
    <w:p w14:paraId="5F2694D2">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66282988">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2DCE402B">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C806B7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乌鲁木齐市第一一一小学2023年度，实有人数</w:t>
      </w:r>
      <w:r>
        <w:rPr>
          <w:rFonts w:hint="eastAsia" w:ascii="仿宋_GB2312" w:eastAsia="仿宋_GB2312"/>
          <w:sz w:val="32"/>
          <w:szCs w:val="32"/>
          <w:lang w:val="zh-CN"/>
        </w:rPr>
        <w:t>30</w:t>
      </w:r>
      <w:r>
        <w:rPr>
          <w:rFonts w:hint="eastAsia" w:ascii="仿宋_GB2312" w:eastAsia="仿宋_GB2312"/>
          <w:sz w:val="32"/>
          <w:szCs w:val="32"/>
        </w:rPr>
        <w:t>人，其中：在职人员</w:t>
      </w:r>
      <w:r>
        <w:rPr>
          <w:rFonts w:hint="eastAsia" w:ascii="仿宋_GB2312" w:eastAsia="仿宋_GB2312"/>
          <w:sz w:val="32"/>
          <w:szCs w:val="32"/>
          <w:lang w:val="zh-CN"/>
        </w:rPr>
        <w:t>22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14:paraId="45A796C3">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书记、校长室，教务处，德育处，总务处，财务室。</w:t>
      </w:r>
    </w:p>
    <w:p w14:paraId="494F8B3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B9C5E54">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8DB697A">
      <w:pPr>
        <w:ind w:firstLine="640" w:firstLineChars="200"/>
        <w:jc w:val="left"/>
        <w:rPr>
          <w:rFonts w:ascii="仿宋_GB2312" w:eastAsia="仿宋_GB2312"/>
          <w:sz w:val="32"/>
          <w:szCs w:val="32"/>
        </w:rPr>
      </w:pPr>
      <w:r>
        <w:rPr>
          <w:rFonts w:hint="eastAsia" w:ascii="仿宋_GB2312" w:eastAsia="仿宋_GB2312"/>
          <w:sz w:val="32"/>
          <w:szCs w:val="32"/>
        </w:rPr>
        <w:t>2023年度收入总计498.07万元，其中：本年收入合计493.02万元，使用非财政拨款结余0.00万元，年初结转和结余5.06万元。</w:t>
      </w:r>
    </w:p>
    <w:p w14:paraId="646A2032">
      <w:pPr>
        <w:ind w:firstLine="640" w:firstLineChars="200"/>
        <w:jc w:val="left"/>
        <w:rPr>
          <w:rFonts w:ascii="仿宋_GB2312" w:eastAsia="仿宋_GB2312"/>
          <w:sz w:val="32"/>
          <w:szCs w:val="32"/>
        </w:rPr>
      </w:pPr>
      <w:r>
        <w:rPr>
          <w:rFonts w:hint="eastAsia" w:ascii="仿宋_GB2312" w:eastAsia="仿宋_GB2312"/>
          <w:sz w:val="32"/>
          <w:szCs w:val="32"/>
        </w:rPr>
        <w:t>2023年度支出总计498.07万元，其中：本年支出合计469.52万元，结余分配0.00万元，年末结转和结余28.55万元。</w:t>
      </w:r>
    </w:p>
    <w:p w14:paraId="566204D1">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增加64.08万元</w:t>
      </w:r>
      <w:r>
        <w:rPr>
          <w:rFonts w:hint="eastAsia" w:ascii="仿宋_GB2312" w:eastAsia="仿宋_GB2312"/>
          <w:sz w:val="32"/>
          <w:szCs w:val="32"/>
        </w:rPr>
        <w:t>，增长14.77%，主要原因是：本年城乡义务教育经费保障机制-公用经费补助资金增加。</w:t>
      </w:r>
    </w:p>
    <w:p w14:paraId="095F99ED">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3A0BDF7">
      <w:pPr>
        <w:ind w:firstLine="640" w:firstLineChars="200"/>
        <w:jc w:val="left"/>
        <w:rPr>
          <w:rFonts w:ascii="仿宋_GB2312" w:eastAsia="仿宋_GB2312"/>
          <w:sz w:val="32"/>
          <w:szCs w:val="32"/>
        </w:rPr>
      </w:pPr>
      <w:r>
        <w:rPr>
          <w:rFonts w:hint="eastAsia" w:ascii="仿宋_GB2312" w:eastAsia="仿宋_GB2312"/>
          <w:sz w:val="32"/>
          <w:szCs w:val="32"/>
        </w:rPr>
        <w:t>本年收入493.02万元，其中：财政拨款收入</w:t>
      </w:r>
      <w:r>
        <w:rPr>
          <w:rFonts w:hint="eastAsia" w:ascii="仿宋_GB2312" w:eastAsia="仿宋_GB2312"/>
          <w:sz w:val="32"/>
          <w:szCs w:val="32"/>
          <w:lang w:val="zh-CN"/>
        </w:rPr>
        <w:t>479.02</w:t>
      </w:r>
      <w:r>
        <w:rPr>
          <w:rFonts w:hint="eastAsia" w:ascii="仿宋_GB2312" w:eastAsia="仿宋_GB2312"/>
          <w:sz w:val="32"/>
          <w:szCs w:val="32"/>
        </w:rPr>
        <w:t>万元，占</w:t>
      </w:r>
      <w:r>
        <w:rPr>
          <w:rFonts w:hint="eastAsia" w:ascii="仿宋_GB2312" w:eastAsia="仿宋_GB2312"/>
          <w:sz w:val="32"/>
          <w:szCs w:val="32"/>
          <w:lang w:val="zh-CN"/>
        </w:rPr>
        <w:t>97.16%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14.00</w:t>
      </w:r>
      <w:r>
        <w:rPr>
          <w:rFonts w:hint="eastAsia" w:ascii="仿宋_GB2312" w:eastAsia="仿宋_GB2312"/>
          <w:sz w:val="32"/>
          <w:szCs w:val="32"/>
        </w:rPr>
        <w:t>万元，占</w:t>
      </w:r>
      <w:r>
        <w:rPr>
          <w:rFonts w:hint="eastAsia" w:ascii="仿宋_GB2312" w:eastAsia="仿宋_GB2312"/>
          <w:sz w:val="32"/>
          <w:szCs w:val="32"/>
          <w:lang w:val="zh-CN"/>
        </w:rPr>
        <w:t>2.84%</w:t>
      </w:r>
      <w:r>
        <w:rPr>
          <w:rFonts w:hint="eastAsia" w:ascii="仿宋_GB2312" w:eastAsia="仿宋_GB2312"/>
          <w:sz w:val="32"/>
          <w:szCs w:val="32"/>
        </w:rPr>
        <w:t>。</w:t>
      </w:r>
    </w:p>
    <w:p w14:paraId="38A46E4B">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7280A9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本年支出469.52万元，其中：基本支出422.71万元，占90.03%；项目支出46.82万元，占9.97%；上缴上级支出0.00万元，占0.00%；经营支出0.00万元，占0.00%；对附属单位补助支出0.00万元，占0.00%。</w:t>
      </w:r>
    </w:p>
    <w:p w14:paraId="762BFAEE">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0466AC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483.84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4.83</w:t>
      </w:r>
      <w:r>
        <w:rPr>
          <w:rFonts w:hint="eastAsia" w:ascii="仿宋_GB2312" w:eastAsia="仿宋_GB2312"/>
          <w:sz w:val="32"/>
          <w:szCs w:val="32"/>
        </w:rPr>
        <w:t>万元，本年财政拨款收入</w:t>
      </w:r>
      <w:r>
        <w:rPr>
          <w:rFonts w:hint="eastAsia" w:ascii="仿宋_GB2312" w:eastAsia="仿宋_GB2312"/>
          <w:sz w:val="32"/>
          <w:szCs w:val="32"/>
          <w:lang w:val="zh-CN"/>
        </w:rPr>
        <w:t>479.02</w:t>
      </w:r>
      <w:r>
        <w:rPr>
          <w:rFonts w:hint="eastAsia" w:ascii="仿宋_GB2312" w:eastAsia="仿宋_GB2312"/>
          <w:sz w:val="32"/>
          <w:szCs w:val="32"/>
        </w:rPr>
        <w:t>万元。财政拨款支出总计</w:t>
      </w:r>
      <w:r>
        <w:rPr>
          <w:rFonts w:hint="eastAsia" w:ascii="仿宋_GB2312" w:eastAsia="仿宋_GB2312"/>
          <w:sz w:val="32"/>
          <w:szCs w:val="32"/>
          <w:lang w:val="zh-CN"/>
        </w:rPr>
        <w:t>483.84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28.55</w:t>
      </w:r>
      <w:r>
        <w:rPr>
          <w:rFonts w:hint="eastAsia" w:ascii="仿宋_GB2312" w:eastAsia="仿宋_GB2312"/>
          <w:sz w:val="32"/>
          <w:szCs w:val="32"/>
        </w:rPr>
        <w:t>万元，本年财政拨款支出</w:t>
      </w:r>
      <w:r>
        <w:rPr>
          <w:rFonts w:hint="eastAsia" w:ascii="仿宋_GB2312" w:eastAsia="仿宋_GB2312"/>
          <w:sz w:val="32"/>
          <w:szCs w:val="32"/>
          <w:lang w:val="zh-CN"/>
        </w:rPr>
        <w:t>455.29</w:t>
      </w:r>
      <w:r>
        <w:rPr>
          <w:rFonts w:hint="eastAsia" w:ascii="仿宋_GB2312" w:eastAsia="仿宋_GB2312"/>
          <w:sz w:val="32"/>
          <w:szCs w:val="32"/>
        </w:rPr>
        <w:t>万元。</w:t>
      </w:r>
    </w:p>
    <w:p w14:paraId="787A565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增加54.28万元</w:t>
      </w:r>
      <w:r>
        <w:rPr>
          <w:rFonts w:hint="eastAsia" w:ascii="仿宋_GB2312" w:eastAsia="仿宋_GB2312"/>
          <w:sz w:val="32"/>
          <w:szCs w:val="32"/>
        </w:rPr>
        <w:t>，增长12.64%,主要原因是：本年城乡义务教育经费保障机制-公用经费补助资金增加。与年初预算相比，年初预算数</w:t>
      </w:r>
      <w:r>
        <w:rPr>
          <w:rFonts w:hint="eastAsia" w:ascii="仿宋_GB2312" w:eastAsia="仿宋_GB2312"/>
          <w:sz w:val="32"/>
          <w:szCs w:val="32"/>
          <w:lang w:val="zh-CN"/>
        </w:rPr>
        <w:t>461.86</w:t>
      </w:r>
      <w:r>
        <w:rPr>
          <w:rFonts w:hint="eastAsia" w:ascii="仿宋_GB2312" w:eastAsia="仿宋_GB2312"/>
          <w:sz w:val="32"/>
          <w:szCs w:val="32"/>
        </w:rPr>
        <w:t>万元，决算数</w:t>
      </w:r>
      <w:r>
        <w:rPr>
          <w:rFonts w:hint="eastAsia" w:ascii="仿宋_GB2312" w:eastAsia="仿宋_GB2312"/>
          <w:sz w:val="32"/>
          <w:szCs w:val="32"/>
          <w:lang w:val="zh-CN"/>
        </w:rPr>
        <w:t>483.84</w:t>
      </w:r>
      <w:r>
        <w:rPr>
          <w:rFonts w:hint="eastAsia" w:ascii="仿宋_GB2312" w:eastAsia="仿宋_GB2312"/>
          <w:sz w:val="32"/>
          <w:szCs w:val="32"/>
        </w:rPr>
        <w:t>万元，预决算差异率4.76%，主要原因是：年中追加校车接送费，保安工资，同工同酬教师工资等经费。</w:t>
      </w:r>
    </w:p>
    <w:p w14:paraId="084F147C">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CD19A9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0252A09">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2023年度一般公共预算财政拨款支出455.29万元，占本年支出合计的</w:t>
      </w:r>
      <w:r>
        <w:rPr>
          <w:rFonts w:hint="eastAsia" w:ascii="仿宋_GB2312" w:eastAsia="仿宋_GB2312"/>
          <w:sz w:val="32"/>
          <w:szCs w:val="32"/>
          <w:lang w:val="zh-CN"/>
        </w:rPr>
        <w:t>96.97%</w:t>
      </w:r>
      <w:r>
        <w:rPr>
          <w:rFonts w:hint="eastAsia" w:ascii="仿宋_GB2312" w:eastAsia="仿宋_GB2312"/>
          <w:sz w:val="32"/>
          <w:szCs w:val="32"/>
        </w:rPr>
        <w:t>。与上年相比，</w:t>
      </w:r>
      <w:r>
        <w:rPr>
          <w:rFonts w:hint="eastAsia" w:ascii="仿宋_GB2312" w:eastAsia="仿宋_GB2312"/>
          <w:sz w:val="32"/>
          <w:szCs w:val="32"/>
          <w:lang w:val="zh-CN"/>
        </w:rPr>
        <w:t>增加30.55万元</w:t>
      </w:r>
      <w:r>
        <w:rPr>
          <w:rFonts w:hint="eastAsia" w:ascii="仿宋_GB2312" w:eastAsia="仿宋_GB2312"/>
          <w:sz w:val="32"/>
          <w:szCs w:val="32"/>
        </w:rPr>
        <w:t>，增长7.19%,主要原因是：本年城乡义务教育经费保障机制-公用经费补助资金增加。与年初预算相比，年初预算数</w:t>
      </w:r>
      <w:r>
        <w:rPr>
          <w:rFonts w:hint="eastAsia" w:ascii="仿宋_GB2312" w:eastAsia="仿宋_GB2312"/>
          <w:sz w:val="32"/>
          <w:szCs w:val="32"/>
          <w:lang w:val="zh-CN"/>
        </w:rPr>
        <w:t>461.86</w:t>
      </w:r>
      <w:r>
        <w:rPr>
          <w:rFonts w:hint="eastAsia" w:ascii="仿宋_GB2312" w:eastAsia="仿宋_GB2312"/>
          <w:sz w:val="32"/>
          <w:szCs w:val="32"/>
        </w:rPr>
        <w:t>万元，决算数</w:t>
      </w:r>
      <w:r>
        <w:rPr>
          <w:rFonts w:hint="eastAsia" w:ascii="仿宋_GB2312" w:eastAsia="仿宋_GB2312"/>
          <w:sz w:val="32"/>
          <w:szCs w:val="32"/>
          <w:lang w:val="zh-CN"/>
        </w:rPr>
        <w:t>455.29</w:t>
      </w:r>
      <w:r>
        <w:rPr>
          <w:rFonts w:hint="eastAsia" w:ascii="仿宋_GB2312" w:eastAsia="仿宋_GB2312"/>
          <w:sz w:val="32"/>
          <w:szCs w:val="32"/>
        </w:rPr>
        <w:t>万元，预决算差异率</w:t>
      </w:r>
      <w:r>
        <w:rPr>
          <w:rFonts w:hint="eastAsia" w:ascii="仿宋_GB2312" w:eastAsia="仿宋_GB2312"/>
          <w:sz w:val="32"/>
          <w:szCs w:val="32"/>
          <w:lang w:val="zh-CN"/>
        </w:rPr>
        <w:t>-1.42%</w:t>
      </w:r>
      <w:r>
        <w:rPr>
          <w:rFonts w:hint="eastAsia" w:ascii="仿宋_GB2312" w:eastAsia="仿宋_GB2312"/>
          <w:sz w:val="32"/>
          <w:szCs w:val="32"/>
        </w:rPr>
        <w:t>，主要原因是：本年实际发放在职人员工资、津补贴等在职人员经费小于年初预算安排金额。</w:t>
      </w:r>
    </w:p>
    <w:p w14:paraId="5CCA938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28A906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455.29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8D2FB5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101015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1.教育支出（类）普通教育（款）小学教育（项）:支出决算数为455.29万元，比上年决算增加38.59万元，增长9.26%，主要原因是：</w:t>
      </w:r>
      <w:r>
        <w:rPr>
          <w:rFonts w:hint="eastAsia" w:ascii="仿宋_GB2312" w:eastAsia="仿宋_GB2312"/>
          <w:sz w:val="32"/>
          <w:szCs w:val="32"/>
        </w:rPr>
        <w:t>本年城乡义务教育经费保障机制-公用经费补助资金增加</w:t>
      </w:r>
      <w:r>
        <w:rPr>
          <w:rFonts w:hint="eastAsia" w:ascii="仿宋_GB2312" w:hAnsi="仿宋_GB2312" w:eastAsia="仿宋_GB2312" w:cs="仿宋_GB2312"/>
          <w:sz w:val="32"/>
          <w:szCs w:val="32"/>
          <w:lang w:val="zh-CN"/>
        </w:rPr>
        <w:t>。</w:t>
      </w:r>
    </w:p>
    <w:p w14:paraId="2E9E0EA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2.社会保障和就业支出（类）行政事业单位养老支出（款）机关事业单位基本养老保险缴费支出（项）:支出决算数为0.00万元，比上年决算减少8.04万元，下降100%，主要原因是：</w:t>
      </w:r>
      <w:bookmarkStart w:id="18" w:name="_Hlk181978391"/>
      <w:r>
        <w:rPr>
          <w:rFonts w:hint="eastAsia" w:ascii="仿宋_GB2312" w:hAnsi="仿宋_GB2312" w:eastAsia="仿宋_GB2312" w:cs="仿宋_GB2312"/>
          <w:sz w:val="32"/>
          <w:szCs w:val="32"/>
          <w:lang w:val="zh-CN"/>
        </w:rPr>
        <w:t>本年科目调整，养老保险缴费调整至主款，因此本科目减少</w:t>
      </w:r>
      <w:bookmarkEnd w:id="18"/>
      <w:r>
        <w:rPr>
          <w:rFonts w:hint="eastAsia" w:ascii="仿宋_GB2312" w:hAnsi="仿宋_GB2312" w:eastAsia="仿宋_GB2312" w:cs="仿宋_GB2312"/>
          <w:sz w:val="32"/>
          <w:szCs w:val="32"/>
          <w:lang w:val="zh-CN"/>
        </w:rPr>
        <w:t>。</w:t>
      </w:r>
    </w:p>
    <w:p w14:paraId="00A4C3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BE0A37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422.71万元，其中：人员经费385.01万元，包括：基本工资、津贴补贴、奖金、绩效工资、机关事业单位基本养老保险缴费、职工基本医疗保险缴费、公务员医疗补助缴费、其他社会保障缴费、住房公积金、奖励金。</w:t>
      </w:r>
    </w:p>
    <w:p w14:paraId="03ECBBD8">
      <w:pPr>
        <w:ind w:firstLine="640" w:firstLineChars="200"/>
        <w:jc w:val="left"/>
        <w:rPr>
          <w:rFonts w:ascii="仿宋_GB2312" w:eastAsia="仿宋_GB2312"/>
          <w:sz w:val="32"/>
          <w:szCs w:val="32"/>
        </w:rPr>
      </w:pPr>
      <w:r>
        <w:rPr>
          <w:rFonts w:hint="eastAsia" w:ascii="仿宋_GB2312" w:eastAsia="仿宋_GB2312"/>
          <w:sz w:val="32"/>
          <w:szCs w:val="32"/>
        </w:rPr>
        <w:t>公用经费37.70万元，包括：办公费、水费、电费、取暖费、维修（护）费、专用材料费、劳务费、工会经费、福利费、其他交通费用。</w:t>
      </w:r>
    </w:p>
    <w:p w14:paraId="2BEF0CB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CC7614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w:t>
      </w:r>
    </w:p>
    <w:p w14:paraId="57EBE5B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FD8802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。单位全年安排的因公出国（境）团组0个，因公出国（境）0人次。</w:t>
      </w:r>
    </w:p>
    <w:p w14:paraId="7FB9873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14:paraId="0B84955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。单位全年安排的国内公务接待0批次，0人次。</w:t>
      </w:r>
    </w:p>
    <w:p w14:paraId="7862983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本年无此项经费</w:t>
      </w:r>
      <w:r>
        <w:rPr>
          <w:rFonts w:hint="eastAsia" w:ascii="仿宋_GB2312" w:eastAsia="仿宋_GB2312"/>
          <w:sz w:val="32"/>
          <w:szCs w:val="32"/>
          <w:lang w:val="zh-CN"/>
        </w:rPr>
        <w:t>。</w:t>
      </w:r>
    </w:p>
    <w:p w14:paraId="7975DC0D">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14:paraId="3987E4EC">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D65F18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AEE851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B743857">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64A246E8">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4087224D">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乌鲁木齐市第一一一小学（事业单位）公用经费支出37.70万元，</w:t>
      </w:r>
      <w:r>
        <w:rPr>
          <w:rFonts w:hint="eastAsia" w:ascii="仿宋_GB2312" w:hAnsi="仿宋_GB2312" w:eastAsia="仿宋_GB2312" w:cs="仿宋_GB2312"/>
          <w:sz w:val="32"/>
          <w:szCs w:val="32"/>
          <w:lang w:val="zh-CN"/>
        </w:rPr>
        <w:t>比上年增加1.09万元，增长2.98%，主要原因是：本年专用材料费，劳务费和工会经费增加。</w:t>
      </w:r>
    </w:p>
    <w:p w14:paraId="1B3BACA8">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5B5B63D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C126C3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9CEB23B">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19984E0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1,029.29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屋2,083.00平方米，价值310.36万元。车辆1辆，价值3.73万元，其中：副部（省）级及以上领导用车0辆、主要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用车0辆、其他用车1辆，其他用车主要是：单位业务用车；单价100万元（含）以上设备（不含车辆）1</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2F594FF">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2261AE3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498.07</w:t>
      </w:r>
      <w:r>
        <w:rPr>
          <w:rFonts w:hint="eastAsia" w:ascii="仿宋_GB2312" w:eastAsia="仿宋_GB2312"/>
          <w:sz w:val="32"/>
          <w:szCs w:val="32"/>
        </w:rPr>
        <w:t>万元，实际执行总额</w:t>
      </w:r>
      <w:r>
        <w:rPr>
          <w:rFonts w:ascii="仿宋_GB2312" w:eastAsia="仿宋_GB2312"/>
          <w:sz w:val="32"/>
          <w:szCs w:val="32"/>
        </w:rPr>
        <w:t>469.52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4</w:t>
      </w:r>
      <w:r>
        <w:rPr>
          <w:rFonts w:hint="eastAsia" w:ascii="仿宋_GB2312" w:eastAsia="仿宋_GB2312"/>
          <w:sz w:val="32"/>
          <w:szCs w:val="32"/>
        </w:rPr>
        <w:t>个，全年预算数</w:t>
      </w:r>
      <w:r>
        <w:rPr>
          <w:rFonts w:ascii="仿宋_GB2312" w:eastAsia="仿宋_GB2312"/>
          <w:sz w:val="32"/>
          <w:szCs w:val="32"/>
        </w:rPr>
        <w:t>36.49</w:t>
      </w:r>
      <w:r>
        <w:rPr>
          <w:rFonts w:hint="eastAsia" w:ascii="仿宋_GB2312" w:eastAsia="仿宋_GB2312"/>
          <w:sz w:val="32"/>
          <w:szCs w:val="32"/>
        </w:rPr>
        <w:t>万元，全年执行数</w:t>
      </w:r>
      <w:r>
        <w:rPr>
          <w:rFonts w:ascii="仿宋_GB2312" w:eastAsia="仿宋_GB2312"/>
          <w:sz w:val="32"/>
          <w:szCs w:val="32"/>
        </w:rPr>
        <w:t>36.33</w:t>
      </w:r>
      <w:r>
        <w:rPr>
          <w:rFonts w:hint="eastAsia" w:ascii="仿宋_GB2312" w:eastAsia="仿宋_GB2312"/>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有关预算执行有效性的问题。首先是部门资金支出进度普遍较低，对资金支出的控制力度不足；另外是对专项资金的延伸性监管不到位。下一步改进措施：一是提高我校办学硬件设施，校园环境能够得到有效改善办学条件明显改善；二是为师生提供一个良好和谐的校园环境。具体项目自评情况附绩效自评表及自评报告。</w:t>
      </w:r>
    </w:p>
    <w:p w14:paraId="1864401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58FB2B8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63DC9F8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C212A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E52F32D">
            <w:pPr>
              <w:jc w:val="center"/>
            </w:pPr>
            <w:r>
              <w:rPr>
                <w:rFonts w:ascii="宋体" w:hAnsi="宋体"/>
                <w:sz w:val="18"/>
              </w:rPr>
              <w:t>乌鲁木齐市111小学</w:t>
            </w:r>
          </w:p>
        </w:tc>
        <w:tc>
          <w:tcPr>
            <w:tcW w:w="284" w:type="dxa"/>
            <w:tcBorders>
              <w:top w:val="nil"/>
              <w:left w:val="nil"/>
              <w:bottom w:val="nil"/>
              <w:right w:val="nil"/>
            </w:tcBorders>
            <w:shd w:val="clear" w:color="auto" w:fill="auto"/>
            <w:noWrap/>
            <w:vAlign w:val="center"/>
          </w:tcPr>
          <w:p w14:paraId="5F47E302">
            <w:pPr>
              <w:widowControl/>
              <w:jc w:val="left"/>
              <w:rPr>
                <w:rFonts w:hint="eastAsia" w:ascii="宋体" w:hAnsi="宋体" w:cs="宋体"/>
                <w:b/>
                <w:bCs/>
                <w:kern w:val="0"/>
                <w:sz w:val="18"/>
                <w:szCs w:val="18"/>
              </w:rPr>
            </w:pPr>
          </w:p>
        </w:tc>
      </w:tr>
      <w:tr w14:paraId="6BFF987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E051F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5B611E1">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4D8BCB5">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29CC28A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18411BD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4D4BF6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0C0694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0948B5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DB320D6">
            <w:pPr>
              <w:widowControl/>
              <w:jc w:val="center"/>
              <w:rPr>
                <w:rFonts w:hint="eastAsia" w:ascii="宋体" w:hAnsi="宋体" w:cs="宋体"/>
                <w:b/>
                <w:bCs/>
                <w:kern w:val="0"/>
                <w:sz w:val="18"/>
                <w:szCs w:val="18"/>
              </w:rPr>
            </w:pPr>
          </w:p>
        </w:tc>
      </w:tr>
      <w:tr w14:paraId="1ACD131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890E8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0004B34">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56520020">
            <w:pPr>
              <w:jc w:val="center"/>
              <w:rPr>
                <w:rFonts w:hint="eastAsia" w:ascii="宋体" w:hAnsi="宋体"/>
                <w:sz w:val="18"/>
              </w:rPr>
            </w:pPr>
            <w:r>
              <w:rPr>
                <w:rFonts w:hint="eastAsia" w:ascii="宋体" w:hAnsi="宋体"/>
                <w:sz w:val="18"/>
              </w:rPr>
              <w:t>472.19</w:t>
            </w:r>
          </w:p>
        </w:tc>
        <w:tc>
          <w:tcPr>
            <w:tcW w:w="1134" w:type="dxa"/>
            <w:tcBorders>
              <w:top w:val="nil"/>
              <w:left w:val="nil"/>
              <w:bottom w:val="single" w:color="auto" w:sz="4" w:space="0"/>
              <w:right w:val="single" w:color="auto" w:sz="4" w:space="0"/>
            </w:tcBorders>
            <w:shd w:val="clear" w:color="auto" w:fill="auto"/>
            <w:vAlign w:val="center"/>
          </w:tcPr>
          <w:p w14:paraId="22DBBDBE">
            <w:pPr>
              <w:jc w:val="center"/>
              <w:rPr>
                <w:rFonts w:hint="eastAsia" w:ascii="宋体" w:hAnsi="宋体"/>
                <w:sz w:val="18"/>
              </w:rPr>
            </w:pPr>
            <w:r>
              <w:rPr>
                <w:rFonts w:hint="eastAsia" w:ascii="宋体" w:hAnsi="宋体"/>
                <w:sz w:val="18"/>
              </w:rPr>
              <w:t>498.07</w:t>
            </w:r>
          </w:p>
        </w:tc>
        <w:tc>
          <w:tcPr>
            <w:tcW w:w="2126" w:type="dxa"/>
            <w:tcBorders>
              <w:top w:val="nil"/>
              <w:left w:val="nil"/>
              <w:bottom w:val="single" w:color="auto" w:sz="4" w:space="0"/>
              <w:right w:val="single" w:color="auto" w:sz="4" w:space="0"/>
            </w:tcBorders>
            <w:shd w:val="clear" w:color="auto" w:fill="auto"/>
            <w:vAlign w:val="center"/>
          </w:tcPr>
          <w:p w14:paraId="630AEE00">
            <w:pPr>
              <w:jc w:val="center"/>
              <w:rPr>
                <w:rFonts w:hint="eastAsia" w:ascii="宋体" w:hAnsi="宋体"/>
                <w:sz w:val="18"/>
              </w:rPr>
            </w:pPr>
            <w:r>
              <w:rPr>
                <w:rFonts w:hint="eastAsia" w:ascii="宋体" w:hAnsi="宋体"/>
                <w:sz w:val="18"/>
              </w:rPr>
              <w:t>469.52</w:t>
            </w:r>
          </w:p>
        </w:tc>
        <w:tc>
          <w:tcPr>
            <w:tcW w:w="1004" w:type="dxa"/>
            <w:tcBorders>
              <w:top w:val="nil"/>
              <w:left w:val="nil"/>
              <w:bottom w:val="single" w:color="auto" w:sz="4" w:space="0"/>
              <w:right w:val="single" w:color="auto" w:sz="4" w:space="0"/>
            </w:tcBorders>
            <w:shd w:val="clear" w:color="auto" w:fill="auto"/>
            <w:vAlign w:val="center"/>
          </w:tcPr>
          <w:p w14:paraId="355956E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F66F09F">
            <w:pPr>
              <w:jc w:val="center"/>
            </w:pPr>
            <w:r>
              <w:rPr>
                <w:rFonts w:ascii="宋体" w:hAnsi="宋体"/>
                <w:sz w:val="18"/>
              </w:rPr>
              <w:t>91.26%</w:t>
            </w:r>
          </w:p>
        </w:tc>
        <w:tc>
          <w:tcPr>
            <w:tcW w:w="720" w:type="dxa"/>
            <w:tcBorders>
              <w:top w:val="nil"/>
              <w:left w:val="nil"/>
              <w:bottom w:val="single" w:color="auto" w:sz="4" w:space="0"/>
              <w:right w:val="single" w:color="auto" w:sz="4" w:space="0"/>
            </w:tcBorders>
            <w:shd w:val="clear" w:color="auto" w:fill="auto"/>
            <w:vAlign w:val="center"/>
          </w:tcPr>
          <w:p w14:paraId="6B29D967">
            <w:pPr>
              <w:jc w:val="center"/>
            </w:pPr>
            <w:r>
              <w:rPr>
                <w:rFonts w:ascii="宋体" w:hAnsi="宋体"/>
                <w:sz w:val="18"/>
              </w:rPr>
              <w:t>9.43</w:t>
            </w:r>
          </w:p>
        </w:tc>
        <w:tc>
          <w:tcPr>
            <w:tcW w:w="284" w:type="dxa"/>
            <w:tcBorders>
              <w:top w:val="nil"/>
              <w:left w:val="nil"/>
              <w:bottom w:val="nil"/>
              <w:right w:val="nil"/>
            </w:tcBorders>
            <w:shd w:val="clear" w:color="auto" w:fill="auto"/>
            <w:noWrap/>
            <w:vAlign w:val="center"/>
          </w:tcPr>
          <w:p w14:paraId="3F8635DC">
            <w:pPr>
              <w:widowControl/>
              <w:jc w:val="center"/>
              <w:rPr>
                <w:rFonts w:hint="eastAsia" w:ascii="宋体" w:hAnsi="宋体" w:cs="宋体"/>
                <w:b/>
                <w:bCs/>
                <w:kern w:val="0"/>
                <w:sz w:val="18"/>
                <w:szCs w:val="18"/>
              </w:rPr>
            </w:pPr>
          </w:p>
        </w:tc>
      </w:tr>
      <w:tr w14:paraId="292479D8">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6113F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F48E68B">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AC13238">
            <w:pPr>
              <w:jc w:val="center"/>
            </w:pPr>
            <w:r>
              <w:rPr>
                <w:rFonts w:ascii="宋体" w:hAnsi="宋体"/>
                <w:sz w:val="18"/>
              </w:rPr>
              <w:t>16.21</w:t>
            </w:r>
          </w:p>
        </w:tc>
        <w:tc>
          <w:tcPr>
            <w:tcW w:w="1134" w:type="dxa"/>
            <w:tcBorders>
              <w:top w:val="nil"/>
              <w:left w:val="nil"/>
              <w:bottom w:val="single" w:color="auto" w:sz="4" w:space="0"/>
              <w:right w:val="single" w:color="auto" w:sz="4" w:space="0"/>
            </w:tcBorders>
            <w:shd w:val="clear" w:color="auto" w:fill="auto"/>
            <w:vAlign w:val="center"/>
          </w:tcPr>
          <w:p w14:paraId="20B07260">
            <w:pPr>
              <w:jc w:val="center"/>
            </w:pPr>
            <w:r>
              <w:rPr>
                <w:rFonts w:ascii="宋体" w:hAnsi="宋体"/>
                <w:sz w:val="18"/>
              </w:rPr>
              <w:t>27.83</w:t>
            </w:r>
          </w:p>
        </w:tc>
        <w:tc>
          <w:tcPr>
            <w:tcW w:w="2126" w:type="dxa"/>
            <w:tcBorders>
              <w:top w:val="nil"/>
              <w:left w:val="nil"/>
              <w:bottom w:val="single" w:color="auto" w:sz="4" w:space="0"/>
              <w:right w:val="single" w:color="auto" w:sz="4" w:space="0"/>
            </w:tcBorders>
            <w:shd w:val="clear" w:color="auto" w:fill="auto"/>
            <w:vAlign w:val="center"/>
          </w:tcPr>
          <w:p w14:paraId="2C209329">
            <w:pPr>
              <w:jc w:val="center"/>
            </w:pPr>
            <w:r>
              <w:rPr>
                <w:rFonts w:ascii="宋体" w:hAnsi="宋体"/>
                <w:sz w:val="18"/>
              </w:rPr>
              <w:t>27.83</w:t>
            </w:r>
          </w:p>
        </w:tc>
        <w:tc>
          <w:tcPr>
            <w:tcW w:w="1004" w:type="dxa"/>
            <w:tcBorders>
              <w:top w:val="nil"/>
              <w:left w:val="nil"/>
              <w:bottom w:val="single" w:color="auto" w:sz="4" w:space="0"/>
              <w:right w:val="single" w:color="auto" w:sz="4" w:space="0"/>
            </w:tcBorders>
            <w:shd w:val="clear" w:color="auto" w:fill="auto"/>
            <w:vAlign w:val="center"/>
          </w:tcPr>
          <w:p w14:paraId="78BA4DE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E4B981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16B04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27477CA">
            <w:pPr>
              <w:widowControl/>
              <w:jc w:val="center"/>
              <w:rPr>
                <w:rFonts w:hint="eastAsia" w:ascii="宋体" w:hAnsi="宋体" w:cs="宋体"/>
                <w:kern w:val="0"/>
                <w:sz w:val="18"/>
                <w:szCs w:val="18"/>
              </w:rPr>
            </w:pPr>
          </w:p>
        </w:tc>
      </w:tr>
      <w:tr w14:paraId="69A2BD3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6317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F95067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326BC5C">
            <w:pPr>
              <w:jc w:val="center"/>
            </w:pPr>
            <w:r>
              <w:rPr>
                <w:rFonts w:ascii="宋体" w:hAnsi="宋体"/>
                <w:sz w:val="18"/>
              </w:rPr>
              <w:t>1.96</w:t>
            </w:r>
          </w:p>
        </w:tc>
        <w:tc>
          <w:tcPr>
            <w:tcW w:w="1134" w:type="dxa"/>
            <w:tcBorders>
              <w:top w:val="nil"/>
              <w:left w:val="nil"/>
              <w:bottom w:val="single" w:color="auto" w:sz="4" w:space="0"/>
              <w:right w:val="single" w:color="auto" w:sz="4" w:space="0"/>
            </w:tcBorders>
            <w:shd w:val="clear" w:color="auto" w:fill="auto"/>
            <w:vAlign w:val="center"/>
          </w:tcPr>
          <w:p w14:paraId="0014CBD3">
            <w:pPr>
              <w:jc w:val="center"/>
            </w:pPr>
            <w:r>
              <w:rPr>
                <w:rFonts w:ascii="宋体" w:hAnsi="宋体"/>
                <w:sz w:val="18"/>
              </w:rPr>
              <w:t>2.22</w:t>
            </w:r>
          </w:p>
        </w:tc>
        <w:tc>
          <w:tcPr>
            <w:tcW w:w="2126" w:type="dxa"/>
            <w:tcBorders>
              <w:top w:val="nil"/>
              <w:left w:val="nil"/>
              <w:bottom w:val="single" w:color="auto" w:sz="4" w:space="0"/>
              <w:right w:val="single" w:color="auto" w:sz="4" w:space="0"/>
            </w:tcBorders>
            <w:shd w:val="clear" w:color="auto" w:fill="auto"/>
            <w:vAlign w:val="center"/>
          </w:tcPr>
          <w:p w14:paraId="38DC0C30">
            <w:pPr>
              <w:jc w:val="center"/>
            </w:pPr>
            <w:r>
              <w:rPr>
                <w:rFonts w:ascii="宋体" w:hAnsi="宋体"/>
                <w:sz w:val="18"/>
              </w:rPr>
              <w:t>2.00</w:t>
            </w:r>
          </w:p>
        </w:tc>
        <w:tc>
          <w:tcPr>
            <w:tcW w:w="1004" w:type="dxa"/>
            <w:tcBorders>
              <w:top w:val="nil"/>
              <w:left w:val="nil"/>
              <w:bottom w:val="single" w:color="auto" w:sz="4" w:space="0"/>
              <w:right w:val="single" w:color="auto" w:sz="4" w:space="0"/>
            </w:tcBorders>
            <w:shd w:val="clear" w:color="auto" w:fill="auto"/>
            <w:vAlign w:val="center"/>
          </w:tcPr>
          <w:p w14:paraId="6CCC5031">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52D50F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68947B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B91F64D">
            <w:pPr>
              <w:widowControl/>
              <w:jc w:val="center"/>
              <w:rPr>
                <w:rFonts w:hint="eastAsia" w:ascii="宋体" w:hAnsi="宋体" w:cs="宋体"/>
                <w:kern w:val="0"/>
                <w:sz w:val="18"/>
                <w:szCs w:val="18"/>
              </w:rPr>
            </w:pPr>
          </w:p>
        </w:tc>
      </w:tr>
      <w:tr w14:paraId="1AA103DA">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42C22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1E0DD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4306684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7DBE80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A60314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74F2C2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35D0F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41B669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A3ABE3D">
            <w:pPr>
              <w:widowControl/>
              <w:jc w:val="center"/>
              <w:rPr>
                <w:rFonts w:hint="eastAsia" w:ascii="宋体" w:hAnsi="宋体" w:cs="宋体"/>
                <w:kern w:val="0"/>
                <w:sz w:val="18"/>
                <w:szCs w:val="18"/>
              </w:rPr>
            </w:pPr>
          </w:p>
        </w:tc>
      </w:tr>
      <w:tr w14:paraId="79797FBA">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1D85E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A7DD1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6BD9AF31">
            <w:pPr>
              <w:jc w:val="center"/>
              <w:rPr>
                <w:rFonts w:hint="eastAsia" w:ascii="宋体" w:hAnsi="宋体"/>
                <w:sz w:val="18"/>
              </w:rPr>
            </w:pPr>
            <w:r>
              <w:rPr>
                <w:rFonts w:hint="eastAsia" w:ascii="宋体" w:hAnsi="宋体"/>
                <w:sz w:val="18"/>
              </w:rPr>
              <w:t>443.69</w:t>
            </w:r>
          </w:p>
        </w:tc>
        <w:tc>
          <w:tcPr>
            <w:tcW w:w="1134" w:type="dxa"/>
            <w:tcBorders>
              <w:top w:val="nil"/>
              <w:left w:val="nil"/>
              <w:bottom w:val="single" w:color="auto" w:sz="4" w:space="0"/>
              <w:right w:val="single" w:color="auto" w:sz="4" w:space="0"/>
            </w:tcBorders>
            <w:shd w:val="clear" w:color="auto" w:fill="auto"/>
            <w:vAlign w:val="center"/>
          </w:tcPr>
          <w:p w14:paraId="1922E3F6">
            <w:pPr>
              <w:jc w:val="center"/>
              <w:rPr>
                <w:rFonts w:hint="eastAsia" w:ascii="宋体" w:hAnsi="宋体"/>
                <w:sz w:val="18"/>
              </w:rPr>
            </w:pPr>
            <w:r>
              <w:rPr>
                <w:rFonts w:hint="eastAsia" w:ascii="宋体" w:hAnsi="宋体"/>
                <w:sz w:val="18"/>
              </w:rPr>
              <w:t>457.69</w:t>
            </w:r>
          </w:p>
        </w:tc>
        <w:tc>
          <w:tcPr>
            <w:tcW w:w="2126" w:type="dxa"/>
            <w:tcBorders>
              <w:top w:val="nil"/>
              <w:left w:val="nil"/>
              <w:bottom w:val="single" w:color="auto" w:sz="4" w:space="0"/>
              <w:right w:val="single" w:color="auto" w:sz="4" w:space="0"/>
            </w:tcBorders>
            <w:shd w:val="clear" w:color="auto" w:fill="auto"/>
            <w:vAlign w:val="center"/>
          </w:tcPr>
          <w:p w14:paraId="6A902344">
            <w:pPr>
              <w:jc w:val="center"/>
              <w:rPr>
                <w:rFonts w:hint="eastAsia" w:ascii="宋体" w:hAnsi="宋体"/>
                <w:sz w:val="18"/>
              </w:rPr>
            </w:pPr>
            <w:r>
              <w:rPr>
                <w:rFonts w:hint="eastAsia" w:ascii="宋体" w:hAnsi="宋体"/>
                <w:sz w:val="18"/>
              </w:rPr>
              <w:t>429.36</w:t>
            </w:r>
          </w:p>
        </w:tc>
        <w:tc>
          <w:tcPr>
            <w:tcW w:w="1004" w:type="dxa"/>
            <w:tcBorders>
              <w:top w:val="nil"/>
              <w:left w:val="nil"/>
              <w:bottom w:val="single" w:color="auto" w:sz="4" w:space="0"/>
              <w:right w:val="single" w:color="auto" w:sz="4" w:space="0"/>
            </w:tcBorders>
            <w:shd w:val="clear" w:color="auto" w:fill="auto"/>
            <w:vAlign w:val="center"/>
          </w:tcPr>
          <w:p w14:paraId="36A5CBC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18891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F40CD0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4068718">
            <w:pPr>
              <w:widowControl/>
              <w:jc w:val="center"/>
              <w:rPr>
                <w:rFonts w:hint="eastAsia" w:ascii="宋体" w:hAnsi="宋体" w:cs="宋体"/>
                <w:kern w:val="0"/>
                <w:sz w:val="18"/>
                <w:szCs w:val="18"/>
              </w:rPr>
            </w:pPr>
          </w:p>
        </w:tc>
      </w:tr>
      <w:tr w14:paraId="50BC827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2604D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95B40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0295D25">
            <w:pPr>
              <w:jc w:val="center"/>
            </w:pPr>
            <w:r>
              <w:rPr>
                <w:rFonts w:ascii="宋体" w:hAnsi="宋体"/>
                <w:sz w:val="18"/>
              </w:rPr>
              <w:t>10.33</w:t>
            </w:r>
          </w:p>
        </w:tc>
        <w:tc>
          <w:tcPr>
            <w:tcW w:w="1134" w:type="dxa"/>
            <w:tcBorders>
              <w:top w:val="nil"/>
              <w:left w:val="nil"/>
              <w:bottom w:val="single" w:color="auto" w:sz="4" w:space="0"/>
              <w:right w:val="single" w:color="auto" w:sz="4" w:space="0"/>
            </w:tcBorders>
            <w:shd w:val="clear" w:color="auto" w:fill="auto"/>
            <w:vAlign w:val="center"/>
          </w:tcPr>
          <w:p w14:paraId="3DE72909">
            <w:pPr>
              <w:jc w:val="center"/>
            </w:pPr>
            <w:r>
              <w:rPr>
                <w:rFonts w:ascii="宋体" w:hAnsi="宋体"/>
                <w:sz w:val="18"/>
              </w:rPr>
              <w:t>10.33</w:t>
            </w:r>
          </w:p>
        </w:tc>
        <w:tc>
          <w:tcPr>
            <w:tcW w:w="2126" w:type="dxa"/>
            <w:tcBorders>
              <w:top w:val="nil"/>
              <w:left w:val="nil"/>
              <w:bottom w:val="single" w:color="auto" w:sz="4" w:space="0"/>
              <w:right w:val="single" w:color="auto" w:sz="4" w:space="0"/>
            </w:tcBorders>
            <w:shd w:val="clear" w:color="auto" w:fill="auto"/>
            <w:vAlign w:val="center"/>
          </w:tcPr>
          <w:p w14:paraId="681E1AE1">
            <w:pPr>
              <w:jc w:val="center"/>
            </w:pPr>
            <w:r>
              <w:rPr>
                <w:rFonts w:ascii="宋体" w:hAnsi="宋体"/>
                <w:sz w:val="18"/>
              </w:rPr>
              <w:t>10.33</w:t>
            </w:r>
          </w:p>
        </w:tc>
        <w:tc>
          <w:tcPr>
            <w:tcW w:w="1004" w:type="dxa"/>
            <w:tcBorders>
              <w:top w:val="nil"/>
              <w:left w:val="nil"/>
              <w:bottom w:val="single" w:color="auto" w:sz="4" w:space="0"/>
              <w:right w:val="single" w:color="auto" w:sz="4" w:space="0"/>
            </w:tcBorders>
            <w:shd w:val="clear" w:color="auto" w:fill="auto"/>
            <w:vAlign w:val="center"/>
          </w:tcPr>
          <w:p w14:paraId="65FA170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65374D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AB52BA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3586235">
            <w:pPr>
              <w:widowControl/>
              <w:jc w:val="center"/>
              <w:rPr>
                <w:rFonts w:hint="eastAsia" w:ascii="宋体" w:hAnsi="宋体" w:cs="宋体"/>
                <w:kern w:val="0"/>
                <w:sz w:val="18"/>
                <w:szCs w:val="18"/>
              </w:rPr>
            </w:pPr>
          </w:p>
        </w:tc>
      </w:tr>
      <w:tr w14:paraId="0F30097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E5E8B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111CC9DC">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878C4A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C1C27CE">
            <w:pPr>
              <w:widowControl/>
              <w:jc w:val="left"/>
              <w:rPr>
                <w:rFonts w:hint="eastAsia" w:ascii="宋体" w:hAnsi="宋体" w:cs="宋体"/>
                <w:b/>
                <w:bCs/>
                <w:kern w:val="0"/>
                <w:sz w:val="18"/>
                <w:szCs w:val="18"/>
              </w:rPr>
            </w:pPr>
          </w:p>
        </w:tc>
      </w:tr>
      <w:tr w14:paraId="5472384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E6F46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773B6178">
            <w:pPr>
              <w:jc w:val="left"/>
            </w:pPr>
            <w:r>
              <w:rPr>
                <w:rFonts w:ascii="宋体" w:hAnsi="宋体"/>
                <w:sz w:val="18"/>
              </w:rPr>
              <w:t>抓基础教育、培养学生习惯、组织教育教学、科学研究活动、保证教育教学质量。维护教职工利益，保障教职工合法权益，以教职工和学生的人数幸福和生命质量作为重点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14:paraId="3C172611">
            <w:pPr>
              <w:jc w:val="left"/>
            </w:pPr>
            <w:r>
              <w:rPr>
                <w:rFonts w:ascii="宋体" w:hAnsi="宋体"/>
                <w:sz w:val="18"/>
              </w:rPr>
              <w:t>一、提高教育教学水平，加强师资队伍建设。二、开展教育教学各项活动，丰富学生学习生活。三、保障教职工和学生的合法权益。</w:t>
            </w:r>
          </w:p>
        </w:tc>
        <w:tc>
          <w:tcPr>
            <w:tcW w:w="284" w:type="dxa"/>
            <w:tcBorders>
              <w:top w:val="nil"/>
              <w:left w:val="nil"/>
              <w:bottom w:val="nil"/>
              <w:right w:val="nil"/>
            </w:tcBorders>
            <w:shd w:val="clear" w:color="auto" w:fill="auto"/>
            <w:noWrap/>
            <w:vAlign w:val="center"/>
          </w:tcPr>
          <w:p w14:paraId="5F1C1C30">
            <w:pPr>
              <w:widowControl/>
              <w:jc w:val="left"/>
              <w:rPr>
                <w:rFonts w:hint="eastAsia" w:ascii="宋体" w:hAnsi="宋体" w:cs="宋体"/>
                <w:kern w:val="0"/>
                <w:sz w:val="18"/>
                <w:szCs w:val="18"/>
              </w:rPr>
            </w:pPr>
          </w:p>
        </w:tc>
      </w:tr>
      <w:tr w14:paraId="7AB7E11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CE4CEC9">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0DDBF3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5FCDA9F">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105BF07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224AB8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43D4E03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8A9673B">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5EA1B7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12BDC86">
            <w:pPr>
              <w:widowControl/>
              <w:jc w:val="left"/>
              <w:rPr>
                <w:rFonts w:hint="eastAsia" w:ascii="宋体" w:hAnsi="宋体" w:cs="宋体"/>
                <w:b/>
                <w:bCs/>
                <w:kern w:val="0"/>
                <w:sz w:val="18"/>
                <w:szCs w:val="18"/>
              </w:rPr>
            </w:pPr>
          </w:p>
        </w:tc>
      </w:tr>
      <w:tr w14:paraId="0636AA5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B43E69B">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6F2B6D3">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85CB9DB">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7852F47A">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179D812">
            <w:pPr>
              <w:jc w:val="center"/>
            </w:pPr>
            <w:r>
              <w:rPr>
                <w:rFonts w:ascii="宋体" w:hAnsi="宋体"/>
                <w:sz w:val="18"/>
              </w:rPr>
              <w:t>《乌鲁木齐市教育系统开展法治宣传教育的第八个五年规划（2021-2025）》</w:t>
            </w:r>
          </w:p>
        </w:tc>
        <w:tc>
          <w:tcPr>
            <w:tcW w:w="1004" w:type="dxa"/>
            <w:tcBorders>
              <w:top w:val="nil"/>
              <w:left w:val="nil"/>
              <w:bottom w:val="single" w:color="auto" w:sz="4" w:space="0"/>
              <w:right w:val="single" w:color="auto" w:sz="4" w:space="0"/>
            </w:tcBorders>
            <w:shd w:val="clear" w:color="auto" w:fill="auto"/>
            <w:noWrap/>
            <w:vAlign w:val="center"/>
          </w:tcPr>
          <w:p w14:paraId="5A62E5CE">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1F1703A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0F4D6A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BDB46C4">
            <w:pPr>
              <w:widowControl/>
              <w:jc w:val="center"/>
              <w:rPr>
                <w:rFonts w:hint="eastAsia" w:ascii="宋体" w:hAnsi="宋体" w:cs="宋体"/>
                <w:kern w:val="0"/>
                <w:sz w:val="18"/>
                <w:szCs w:val="18"/>
              </w:rPr>
            </w:pPr>
          </w:p>
        </w:tc>
      </w:tr>
      <w:tr w14:paraId="63A698B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319CF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C6006B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AEDDFCF">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2AFFFC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74F497F6">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6769F51">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FCAD67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3919C1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41E260E">
            <w:pPr>
              <w:widowControl/>
              <w:jc w:val="center"/>
              <w:rPr>
                <w:rFonts w:hint="eastAsia" w:ascii="宋体" w:hAnsi="宋体" w:cs="宋体"/>
                <w:kern w:val="0"/>
                <w:sz w:val="18"/>
                <w:szCs w:val="18"/>
              </w:rPr>
            </w:pPr>
          </w:p>
        </w:tc>
      </w:tr>
      <w:tr w14:paraId="4A84FD8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3C7B3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04FE0A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36AEB58">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7D3661B">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04012388">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ABCC67D">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7717781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A66B33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0F5387E">
            <w:pPr>
              <w:widowControl/>
              <w:jc w:val="center"/>
              <w:rPr>
                <w:rFonts w:hint="eastAsia" w:ascii="宋体" w:hAnsi="宋体" w:cs="宋体"/>
                <w:kern w:val="0"/>
                <w:sz w:val="18"/>
                <w:szCs w:val="18"/>
              </w:rPr>
            </w:pPr>
          </w:p>
        </w:tc>
      </w:tr>
      <w:tr w14:paraId="356223E2">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AFE45DB">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37CAD666">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7B8FD9FF">
            <w:pPr>
              <w:jc w:val="center"/>
            </w:pPr>
            <w:r>
              <w:rPr>
                <w:rFonts w:ascii="宋体" w:hAnsi="宋体"/>
                <w:sz w:val="18"/>
              </w:rPr>
              <w:t>99.43分</w:t>
            </w:r>
          </w:p>
        </w:tc>
        <w:tc>
          <w:tcPr>
            <w:tcW w:w="284" w:type="dxa"/>
            <w:tcBorders>
              <w:top w:val="nil"/>
              <w:left w:val="nil"/>
              <w:bottom w:val="nil"/>
              <w:right w:val="nil"/>
            </w:tcBorders>
            <w:shd w:val="clear" w:color="auto" w:fill="auto"/>
            <w:noWrap/>
            <w:vAlign w:val="center"/>
          </w:tcPr>
          <w:p w14:paraId="58AB0EC3">
            <w:pPr>
              <w:widowControl/>
              <w:jc w:val="left"/>
              <w:rPr>
                <w:rFonts w:hint="eastAsia" w:ascii="宋体" w:hAnsi="宋体" w:cs="宋体"/>
                <w:kern w:val="0"/>
                <w:sz w:val="18"/>
                <w:szCs w:val="18"/>
              </w:rPr>
            </w:pPr>
          </w:p>
        </w:tc>
      </w:tr>
    </w:tbl>
    <w:p w14:paraId="1107752A">
      <w:pPr>
        <w:rPr>
          <w:rFonts w:hint="eastAsia" w:ascii="宋体" w:hAnsi="宋体" w:cs="宋体"/>
          <w:b/>
          <w:bCs/>
          <w:kern w:val="0"/>
          <w:sz w:val="18"/>
          <w:szCs w:val="18"/>
        </w:rPr>
      </w:pPr>
    </w:p>
    <w:p w14:paraId="66267A7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D35EA0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8AF373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5FAF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CEAC28">
            <w:pPr>
              <w:jc w:val="center"/>
            </w:pPr>
            <w:r>
              <w:rPr>
                <w:rFonts w:ascii="宋体" w:hAnsi="宋体"/>
                <w:sz w:val="18"/>
              </w:rPr>
              <w:t>乌财科教【2022】67号-关于提前下达2023年自治区教育直达资金预算的通知，乌财科教【2022】75号-关于提前下达2023年城乡义务教育补助经费预算的通知</w:t>
            </w:r>
          </w:p>
        </w:tc>
      </w:tr>
      <w:tr w14:paraId="3DD40A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E664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5AA06FE">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6DB3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36326CA">
            <w:pPr>
              <w:jc w:val="center"/>
            </w:pPr>
            <w:r>
              <w:rPr>
                <w:rFonts w:ascii="宋体" w:hAnsi="宋体"/>
                <w:sz w:val="18"/>
              </w:rPr>
              <w:t>乌鲁木齐市111小学</w:t>
            </w:r>
          </w:p>
        </w:tc>
      </w:tr>
      <w:tr w14:paraId="4332BD0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98E3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5BB70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78A77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6291D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25B42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20B84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E323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AE08A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A4AC68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8A38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B089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A25136">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14:paraId="36126E1E">
            <w:pPr>
              <w:jc w:val="center"/>
            </w:pPr>
            <w:r>
              <w:rPr>
                <w:rFonts w:ascii="宋体" w:hAnsi="宋体"/>
                <w:sz w:val="18"/>
              </w:rPr>
              <w:t>27.83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C174525">
            <w:pPr>
              <w:jc w:val="center"/>
            </w:pPr>
            <w:r>
              <w:rPr>
                <w:rFonts w:ascii="宋体" w:hAnsi="宋体"/>
                <w:sz w:val="18"/>
              </w:rPr>
              <w:t>27.83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C48AE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10F66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3CA1315">
            <w:pPr>
              <w:jc w:val="center"/>
            </w:pPr>
            <w:r>
              <w:rPr>
                <w:rFonts w:ascii="宋体" w:hAnsi="宋体"/>
                <w:sz w:val="18"/>
              </w:rPr>
              <w:t>10.00分</w:t>
            </w:r>
          </w:p>
        </w:tc>
      </w:tr>
      <w:tr w14:paraId="3AEDDAB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AFD25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25E3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9C0590">
            <w:pPr>
              <w:jc w:val="center"/>
            </w:pPr>
            <w:r>
              <w:rPr>
                <w:rFonts w:ascii="宋体" w:hAnsi="宋体"/>
                <w:sz w:val="18"/>
              </w:rPr>
              <w:t>16.20</w:t>
            </w:r>
          </w:p>
        </w:tc>
        <w:tc>
          <w:tcPr>
            <w:tcW w:w="1177" w:type="dxa"/>
            <w:tcBorders>
              <w:top w:val="nil"/>
              <w:left w:val="nil"/>
              <w:bottom w:val="single" w:color="auto" w:sz="4" w:space="0"/>
              <w:right w:val="single" w:color="auto" w:sz="4" w:space="0"/>
            </w:tcBorders>
            <w:shd w:val="clear" w:color="auto" w:fill="auto"/>
            <w:noWrap/>
            <w:vAlign w:val="center"/>
          </w:tcPr>
          <w:p w14:paraId="2D8E5B7A">
            <w:pPr>
              <w:jc w:val="center"/>
            </w:pPr>
            <w:r>
              <w:rPr>
                <w:rFonts w:ascii="宋体" w:hAnsi="宋体"/>
                <w:sz w:val="18"/>
              </w:rPr>
              <w:t>18.56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581BF4">
            <w:pPr>
              <w:jc w:val="center"/>
            </w:pPr>
            <w:r>
              <w:rPr>
                <w:rFonts w:ascii="宋体" w:hAnsi="宋体"/>
                <w:sz w:val="18"/>
              </w:rPr>
              <w:t>18.56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3548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B1E5C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6BC90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6139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ED9D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BDB9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83B38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78B3E6D">
            <w:pPr>
              <w:jc w:val="center"/>
            </w:pPr>
            <w:r>
              <w:rPr>
                <w:rFonts w:ascii="宋体" w:hAnsi="宋体"/>
                <w:sz w:val="18"/>
              </w:rPr>
              <w:t>9.27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E6A327">
            <w:pPr>
              <w:jc w:val="center"/>
            </w:pPr>
            <w:r>
              <w:rPr>
                <w:rFonts w:ascii="宋体" w:hAnsi="宋体"/>
                <w:sz w:val="18"/>
              </w:rPr>
              <w:t>9.27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20DFA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5FC4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01D5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9E593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D868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42E9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AE9CE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777317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3D0885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20C3047">
            <w:pPr>
              <w:jc w:val="left"/>
            </w:pPr>
            <w:r>
              <w:rPr>
                <w:rFonts w:ascii="宋体" w:hAnsi="宋体"/>
                <w:sz w:val="18"/>
              </w:rPr>
              <w:t>本项目通过，支付学校安保服务费，缴纳公用暖气费，可改善校园环境，提高办学条件</w:t>
            </w:r>
          </w:p>
        </w:tc>
        <w:tc>
          <w:tcPr>
            <w:tcW w:w="4625" w:type="dxa"/>
            <w:gridSpan w:val="7"/>
            <w:tcBorders>
              <w:top w:val="single" w:color="auto" w:sz="4" w:space="0"/>
              <w:left w:val="nil"/>
              <w:bottom w:val="single" w:color="auto" w:sz="4" w:space="0"/>
              <w:right w:val="single" w:color="000000" w:sz="4" w:space="0"/>
            </w:tcBorders>
            <w:shd w:val="clear" w:color="auto" w:fill="auto"/>
          </w:tcPr>
          <w:p w14:paraId="18A4DB21">
            <w:pPr>
              <w:jc w:val="left"/>
            </w:pPr>
            <w:r>
              <w:rPr>
                <w:rFonts w:ascii="宋体" w:hAnsi="宋体"/>
                <w:sz w:val="18"/>
              </w:rPr>
              <w:t>该项目资金区财政及时拨付，单位在此次评价期间内，有序完成设定目标的部分工作任务，本项目支付学校安保服务费；水电费、网络通讯及电话费；办公用房取暖费；其他耗材费等。该项目资金使用保障学校日常运行运转，达到改善教学教育环境及教学设施、提高学生综合素质的目标效果。</w:t>
            </w:r>
          </w:p>
        </w:tc>
      </w:tr>
      <w:tr w14:paraId="3FEE0BF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B1901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0F10D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AA6B1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075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49BCF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86438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C5A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A56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8726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5D8B0A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A4E252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F5016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C43558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E362EE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B3547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DBBA08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209882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2B9DDD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F817E57">
            <w:pPr>
              <w:widowControl/>
              <w:jc w:val="left"/>
              <w:rPr>
                <w:rFonts w:hint="eastAsia" w:ascii="宋体" w:hAnsi="宋体" w:cs="宋体"/>
                <w:color w:val="000000"/>
                <w:kern w:val="0"/>
                <w:sz w:val="18"/>
                <w:szCs w:val="18"/>
              </w:rPr>
            </w:pPr>
          </w:p>
        </w:tc>
      </w:tr>
      <w:tr w14:paraId="684961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FD3FA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8076E3">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55DAE4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F44631">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1735A291">
            <w:pPr>
              <w:jc w:val="center"/>
            </w:pPr>
            <w:r>
              <w:rPr>
                <w:rFonts w:ascii="宋体" w:hAnsi="宋体"/>
                <w:sz w:val="18"/>
              </w:rPr>
              <w:t>&gt;=231</w:t>
            </w:r>
          </w:p>
        </w:tc>
        <w:tc>
          <w:tcPr>
            <w:tcW w:w="1177" w:type="dxa"/>
            <w:tcBorders>
              <w:top w:val="nil"/>
              <w:left w:val="nil"/>
              <w:bottom w:val="single" w:color="auto" w:sz="4" w:space="0"/>
              <w:right w:val="single" w:color="auto" w:sz="4" w:space="0"/>
            </w:tcBorders>
            <w:shd w:val="clear" w:color="auto" w:fill="auto"/>
            <w:vAlign w:val="center"/>
          </w:tcPr>
          <w:p w14:paraId="7FAA4334">
            <w:pPr>
              <w:jc w:val="center"/>
            </w:pPr>
            <w:r>
              <w:rPr>
                <w:rFonts w:ascii="宋体" w:hAnsi="宋体"/>
                <w:sz w:val="18"/>
              </w:rPr>
              <w:t>231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E11A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BDB1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576EFB">
            <w:pPr>
              <w:jc w:val="center"/>
            </w:pPr>
          </w:p>
        </w:tc>
      </w:tr>
      <w:tr w14:paraId="6151F9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27E5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8A0DA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E3A2D1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E07D08">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57298627">
            <w:pPr>
              <w:jc w:val="center"/>
            </w:pPr>
            <w:r>
              <w:rPr>
                <w:rFonts w:ascii="宋体" w:hAnsi="宋体"/>
                <w:sz w:val="18"/>
              </w:rPr>
              <w:t>&gt;=4632</w:t>
            </w:r>
          </w:p>
        </w:tc>
        <w:tc>
          <w:tcPr>
            <w:tcW w:w="1177" w:type="dxa"/>
            <w:tcBorders>
              <w:top w:val="nil"/>
              <w:left w:val="nil"/>
              <w:bottom w:val="single" w:color="auto" w:sz="4" w:space="0"/>
              <w:right w:val="single" w:color="auto" w:sz="4" w:space="0"/>
            </w:tcBorders>
            <w:shd w:val="clear" w:color="auto" w:fill="auto"/>
            <w:vAlign w:val="center"/>
          </w:tcPr>
          <w:p w14:paraId="6F0C75E2">
            <w:pPr>
              <w:jc w:val="center"/>
            </w:pPr>
            <w:r>
              <w:rPr>
                <w:rFonts w:ascii="宋体" w:hAnsi="宋体"/>
                <w:sz w:val="18"/>
              </w:rPr>
              <w:t>4632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1358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3C30A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23E697">
            <w:pPr>
              <w:jc w:val="center"/>
            </w:pPr>
          </w:p>
        </w:tc>
      </w:tr>
      <w:tr w14:paraId="31AF5A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EB3F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00E44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426EE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A6731C">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509ABA0F">
            <w:pPr>
              <w:jc w:val="center"/>
            </w:pPr>
            <w:r>
              <w:rPr>
                <w:rFonts w:ascii="宋体" w:hAnsi="宋体"/>
                <w:sz w:val="18"/>
              </w:rPr>
              <w:t>&gt;=6</w:t>
            </w:r>
          </w:p>
        </w:tc>
        <w:tc>
          <w:tcPr>
            <w:tcW w:w="1177" w:type="dxa"/>
            <w:tcBorders>
              <w:top w:val="nil"/>
              <w:left w:val="nil"/>
              <w:bottom w:val="single" w:color="auto" w:sz="4" w:space="0"/>
              <w:right w:val="single" w:color="auto" w:sz="4" w:space="0"/>
            </w:tcBorders>
            <w:shd w:val="clear" w:color="auto" w:fill="auto"/>
            <w:vAlign w:val="center"/>
          </w:tcPr>
          <w:p w14:paraId="5AE0B6D3">
            <w:pPr>
              <w:jc w:val="center"/>
            </w:pPr>
            <w:r>
              <w:rPr>
                <w:rFonts w:ascii="宋体" w:hAnsi="宋体"/>
                <w:sz w:val="18"/>
              </w:rPr>
              <w:t>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D2B3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425F2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48A359">
            <w:pPr>
              <w:jc w:val="center"/>
            </w:pPr>
          </w:p>
        </w:tc>
      </w:tr>
      <w:tr w14:paraId="2E8B01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B89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29CA77">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048EE0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DF6DBD">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4E81A92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F44020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0FC3B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D3AA7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3F0AB8">
            <w:pPr>
              <w:jc w:val="center"/>
            </w:pPr>
          </w:p>
        </w:tc>
      </w:tr>
      <w:tr w14:paraId="1437F9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D397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628BF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CA0AA5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B3D879">
            <w:pPr>
              <w:jc w:val="center"/>
            </w:pPr>
            <w:r>
              <w:rPr>
                <w:rFonts w:ascii="宋体" w:hAnsi="宋体"/>
                <w:sz w:val="18"/>
              </w:rPr>
              <w:t>聘用保安上岗率</w:t>
            </w:r>
          </w:p>
        </w:tc>
        <w:tc>
          <w:tcPr>
            <w:tcW w:w="1177" w:type="dxa"/>
            <w:tcBorders>
              <w:top w:val="nil"/>
              <w:left w:val="nil"/>
              <w:bottom w:val="single" w:color="auto" w:sz="4" w:space="0"/>
              <w:right w:val="single" w:color="auto" w:sz="4" w:space="0"/>
            </w:tcBorders>
            <w:shd w:val="clear" w:color="auto" w:fill="auto"/>
            <w:vAlign w:val="center"/>
          </w:tcPr>
          <w:p w14:paraId="20846004">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1644C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E7E0E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AC290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AFD2D5">
            <w:pPr>
              <w:jc w:val="center"/>
            </w:pPr>
          </w:p>
        </w:tc>
      </w:tr>
      <w:tr w14:paraId="45C9AA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6DEE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5F4D7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92ABD1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A521C6">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150DA40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75AD7E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1931E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9B355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5B2C91">
            <w:pPr>
              <w:jc w:val="center"/>
            </w:pPr>
          </w:p>
        </w:tc>
      </w:tr>
      <w:tr w14:paraId="4BB843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96BD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E5A2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A25DD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F61D9A">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0CDA6E6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32C9DD2D">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36E1F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867ED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BBEE78">
            <w:pPr>
              <w:jc w:val="center"/>
            </w:pPr>
          </w:p>
        </w:tc>
      </w:tr>
      <w:tr w14:paraId="704DEE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04E09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284B8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1E5877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8B3792">
            <w:pPr>
              <w:jc w:val="center"/>
            </w:pPr>
            <w:r>
              <w:rPr>
                <w:rFonts w:ascii="宋体" w:hAnsi="宋体"/>
                <w:sz w:val="18"/>
              </w:rPr>
              <w:t>提高社会服务发展能力，提高学生综合素质</w:t>
            </w:r>
          </w:p>
        </w:tc>
        <w:tc>
          <w:tcPr>
            <w:tcW w:w="1177" w:type="dxa"/>
            <w:tcBorders>
              <w:top w:val="nil"/>
              <w:left w:val="nil"/>
              <w:bottom w:val="single" w:color="auto" w:sz="4" w:space="0"/>
              <w:right w:val="single" w:color="auto" w:sz="4" w:space="0"/>
            </w:tcBorders>
            <w:shd w:val="clear" w:color="auto" w:fill="auto"/>
            <w:vAlign w:val="center"/>
          </w:tcPr>
          <w:p w14:paraId="10DFDD98">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744C5F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6A9175">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5B065A">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0F8428">
            <w:pPr>
              <w:jc w:val="center"/>
            </w:pPr>
          </w:p>
        </w:tc>
      </w:tr>
      <w:tr w14:paraId="2D2992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B3AFF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073494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1CE6CC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2FD52C">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3111F2B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89A5A3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84894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92A48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BEE379">
            <w:pPr>
              <w:jc w:val="center"/>
            </w:pPr>
          </w:p>
        </w:tc>
      </w:tr>
      <w:tr w14:paraId="21761F1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EEB76D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A3A169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180FFC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E0A712">
            <w:pPr>
              <w:jc w:val="center"/>
            </w:pPr>
          </w:p>
        </w:tc>
      </w:tr>
    </w:tbl>
    <w:p w14:paraId="4B93FFD0">
      <w:pPr>
        <w:rPr>
          <w:rFonts w:hint="eastAsia" w:ascii="宋体" w:hAnsi="宋体" w:cs="宋体"/>
          <w:b/>
          <w:bCs/>
          <w:kern w:val="0"/>
          <w:sz w:val="18"/>
          <w:szCs w:val="18"/>
        </w:rPr>
      </w:pPr>
    </w:p>
    <w:p w14:paraId="07C9A07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D1D96C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87F0E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EF8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BF9C81E">
            <w:pPr>
              <w:jc w:val="center"/>
            </w:pPr>
            <w:r>
              <w:rPr>
                <w:rFonts w:ascii="宋体" w:hAnsi="宋体"/>
                <w:sz w:val="18"/>
              </w:rPr>
              <w:t>乌财科教【2022】67号，75号生活补助</w:t>
            </w:r>
          </w:p>
        </w:tc>
      </w:tr>
      <w:tr w14:paraId="573D0C9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62CC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24399EE">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6752D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84C6EA1">
            <w:pPr>
              <w:jc w:val="center"/>
            </w:pPr>
            <w:r>
              <w:rPr>
                <w:rFonts w:ascii="宋体" w:hAnsi="宋体"/>
                <w:sz w:val="18"/>
              </w:rPr>
              <w:t>乌鲁木齐市111小学</w:t>
            </w:r>
          </w:p>
        </w:tc>
      </w:tr>
      <w:tr w14:paraId="0ADDACE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1847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79339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BDA9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52379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CF4A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3DBA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2F78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02733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0F00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3FAC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CD8C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849A89">
            <w:pPr>
              <w:jc w:val="center"/>
            </w:pPr>
            <w:r>
              <w:rPr>
                <w:rFonts w:ascii="宋体" w:hAnsi="宋体"/>
                <w:sz w:val="18"/>
              </w:rPr>
              <w:t>1.93</w:t>
            </w:r>
          </w:p>
        </w:tc>
        <w:tc>
          <w:tcPr>
            <w:tcW w:w="1177" w:type="dxa"/>
            <w:tcBorders>
              <w:top w:val="nil"/>
              <w:left w:val="nil"/>
              <w:bottom w:val="single" w:color="auto" w:sz="4" w:space="0"/>
              <w:right w:val="single" w:color="auto" w:sz="4" w:space="0"/>
            </w:tcBorders>
            <w:shd w:val="clear" w:color="auto" w:fill="auto"/>
            <w:noWrap/>
            <w:vAlign w:val="center"/>
          </w:tcPr>
          <w:p w14:paraId="1829527D">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44E3B4A">
            <w:pPr>
              <w:jc w:val="center"/>
            </w:pPr>
            <w:r>
              <w:rPr>
                <w:rFonts w:ascii="宋体" w:hAnsi="宋体"/>
                <w:sz w:val="18"/>
              </w:rPr>
              <w:t>1.77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452A0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0690A9C">
            <w:pPr>
              <w:jc w:val="center"/>
            </w:pPr>
            <w:r>
              <w:rPr>
                <w:rFonts w:ascii="宋体" w:hAnsi="宋体"/>
                <w:sz w:val="18"/>
              </w:rPr>
              <w:t>91.71%</w:t>
            </w:r>
          </w:p>
        </w:tc>
        <w:tc>
          <w:tcPr>
            <w:tcW w:w="1275" w:type="dxa"/>
            <w:tcBorders>
              <w:top w:val="nil"/>
              <w:left w:val="nil"/>
              <w:bottom w:val="single" w:color="auto" w:sz="4" w:space="0"/>
              <w:right w:val="single" w:color="auto" w:sz="4" w:space="0"/>
            </w:tcBorders>
            <w:shd w:val="clear" w:color="auto" w:fill="auto"/>
            <w:vAlign w:val="center"/>
          </w:tcPr>
          <w:p w14:paraId="78C8B685">
            <w:pPr>
              <w:jc w:val="center"/>
            </w:pPr>
            <w:r>
              <w:rPr>
                <w:rFonts w:ascii="宋体" w:hAnsi="宋体"/>
                <w:sz w:val="18"/>
              </w:rPr>
              <w:t>9.17分</w:t>
            </w:r>
          </w:p>
        </w:tc>
      </w:tr>
      <w:tr w14:paraId="6B1D1F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9FB03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38EB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A4EC74">
            <w:pPr>
              <w:jc w:val="center"/>
            </w:pPr>
            <w:r>
              <w:rPr>
                <w:rFonts w:ascii="宋体" w:hAnsi="宋体"/>
                <w:sz w:val="18"/>
              </w:rPr>
              <w:t>1.93</w:t>
            </w:r>
          </w:p>
        </w:tc>
        <w:tc>
          <w:tcPr>
            <w:tcW w:w="1177" w:type="dxa"/>
            <w:tcBorders>
              <w:top w:val="nil"/>
              <w:left w:val="nil"/>
              <w:bottom w:val="single" w:color="auto" w:sz="4" w:space="0"/>
              <w:right w:val="single" w:color="auto" w:sz="4" w:space="0"/>
            </w:tcBorders>
            <w:shd w:val="clear" w:color="auto" w:fill="auto"/>
            <w:noWrap/>
            <w:vAlign w:val="center"/>
          </w:tcPr>
          <w:p w14:paraId="76101CFE">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3352A0B">
            <w:pPr>
              <w:jc w:val="center"/>
            </w:pPr>
            <w:r>
              <w:rPr>
                <w:rFonts w:ascii="宋体" w:hAnsi="宋体"/>
                <w:sz w:val="18"/>
              </w:rPr>
              <w:t>1.27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99AC5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1A639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F611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FF449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5716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00AD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FF3E5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A0801B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36054D">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37603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65F6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FBBCE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55E1F4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F799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6BEBC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E52B1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5C738D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6E3AAE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721641F">
            <w:pPr>
              <w:jc w:val="left"/>
            </w:pPr>
            <w:r>
              <w:rPr>
                <w:rFonts w:ascii="宋体" w:hAnsi="宋体"/>
                <w:sz w:val="18"/>
              </w:rPr>
              <w:t>我校贫困生资助管理专干根据贫困生资助管理平台提供贫困生人数22人，资助经费0.29万元，可改善贫困生家庭条件，减轻贫困生生活压力，关爱贫困生的思想，帮助贫困生顺利完成学业。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670AD62C">
            <w:pPr>
              <w:jc w:val="left"/>
            </w:pPr>
            <w:r>
              <w:rPr>
                <w:rFonts w:ascii="宋体" w:hAnsi="宋体"/>
                <w:sz w:val="18"/>
              </w:rPr>
              <w:t>我校贫困生资助管理专干根据贫困生资助管理平台提供贫困生人数22人，资助经费1.77万元，可改善贫困生家庭条件，减轻贫困生生活压力，关爱贫困生的思想，帮助贫困生顺利完成学业。</w:t>
            </w:r>
          </w:p>
        </w:tc>
      </w:tr>
      <w:tr w14:paraId="0814EA1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DB73C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F683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B1C9B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753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23B8C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17B3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E245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9097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1ECF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DA09CD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56653E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AE421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2AB03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1B726D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A59DF7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4DFD95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AA2A78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D02426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ABA717D">
            <w:pPr>
              <w:widowControl/>
              <w:jc w:val="left"/>
              <w:rPr>
                <w:rFonts w:hint="eastAsia" w:ascii="宋体" w:hAnsi="宋体" w:cs="宋体"/>
                <w:color w:val="000000"/>
                <w:kern w:val="0"/>
                <w:sz w:val="18"/>
                <w:szCs w:val="18"/>
              </w:rPr>
            </w:pPr>
          </w:p>
        </w:tc>
      </w:tr>
      <w:tr w14:paraId="2D178EA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AE4C3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AAF690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65BD84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83F262">
            <w:pPr>
              <w:jc w:val="center"/>
            </w:pPr>
            <w:r>
              <w:rPr>
                <w:rFonts w:ascii="宋体" w:hAnsi="宋体"/>
                <w:sz w:val="18"/>
              </w:rPr>
              <w:t>发放贫困学生人数</w:t>
            </w:r>
          </w:p>
        </w:tc>
        <w:tc>
          <w:tcPr>
            <w:tcW w:w="1177" w:type="dxa"/>
            <w:tcBorders>
              <w:top w:val="nil"/>
              <w:left w:val="nil"/>
              <w:bottom w:val="single" w:color="auto" w:sz="4" w:space="0"/>
              <w:right w:val="single" w:color="auto" w:sz="4" w:space="0"/>
            </w:tcBorders>
            <w:shd w:val="clear" w:color="auto" w:fill="auto"/>
            <w:vAlign w:val="center"/>
          </w:tcPr>
          <w:p w14:paraId="0CF658FF">
            <w:pPr>
              <w:jc w:val="center"/>
            </w:pPr>
            <w:r>
              <w:rPr>
                <w:rFonts w:ascii="宋体" w:hAnsi="宋体"/>
                <w:sz w:val="18"/>
              </w:rPr>
              <w:t>&gt;=22人</w:t>
            </w:r>
          </w:p>
        </w:tc>
        <w:tc>
          <w:tcPr>
            <w:tcW w:w="1177" w:type="dxa"/>
            <w:tcBorders>
              <w:top w:val="nil"/>
              <w:left w:val="nil"/>
              <w:bottom w:val="single" w:color="auto" w:sz="4" w:space="0"/>
              <w:right w:val="single" w:color="auto" w:sz="4" w:space="0"/>
            </w:tcBorders>
            <w:shd w:val="clear" w:color="auto" w:fill="auto"/>
            <w:vAlign w:val="center"/>
          </w:tcPr>
          <w:p w14:paraId="61C0D55F">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C69A3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162D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D20BB1">
            <w:pPr>
              <w:jc w:val="center"/>
            </w:pPr>
          </w:p>
        </w:tc>
      </w:tr>
      <w:tr w14:paraId="7CF476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C827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ACF2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E741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D2273D">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14:paraId="68380362">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7E6B79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1E18C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A8C2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46749C">
            <w:pPr>
              <w:jc w:val="center"/>
            </w:pPr>
          </w:p>
        </w:tc>
      </w:tr>
      <w:tr w14:paraId="2B3A33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7B0F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13D33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09B514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8AF322">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6A9E1200">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4D25821C">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FD4C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6DC7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8BB8B8">
            <w:pPr>
              <w:jc w:val="center"/>
            </w:pPr>
          </w:p>
        </w:tc>
      </w:tr>
      <w:tr w14:paraId="0C2A97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CEDD3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0AB6A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70D9C0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87CD5">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1C49D69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7BB19B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D5F1F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B0A0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0237FC">
            <w:pPr>
              <w:jc w:val="center"/>
            </w:pPr>
          </w:p>
        </w:tc>
      </w:tr>
      <w:tr w14:paraId="6E20DB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F401D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F7417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F973A1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9C3F40">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50334B3F">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5ADA9749">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EABED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A7E01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4DF0EE">
            <w:pPr>
              <w:jc w:val="center"/>
            </w:pPr>
          </w:p>
        </w:tc>
      </w:tr>
      <w:tr w14:paraId="67A392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8B5C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5F777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77602B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521593">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14:paraId="391250CA">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0EB22B8E">
            <w:pPr>
              <w:jc w:val="center"/>
            </w:pPr>
            <w:r>
              <w:rPr>
                <w:rFonts w:ascii="宋体" w:hAnsi="宋体"/>
                <w:sz w:val="18"/>
              </w:rPr>
              <w:tab/>
            </w: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3D95B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A570F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EC55C7">
            <w:pPr>
              <w:jc w:val="center"/>
            </w:pPr>
          </w:p>
        </w:tc>
      </w:tr>
      <w:tr w14:paraId="7A557E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2ABA5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3C2D3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AA08AD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FB932E">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D4A1836">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E8FBAE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02810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1D5B4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42F248">
            <w:pPr>
              <w:jc w:val="center"/>
            </w:pPr>
          </w:p>
        </w:tc>
      </w:tr>
      <w:tr w14:paraId="602B762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F37B4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3CE292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0D20B1">
            <w:pPr>
              <w:jc w:val="center"/>
            </w:pPr>
            <w:r>
              <w:rPr>
                <w:rFonts w:ascii="宋体" w:hAnsi="宋体"/>
                <w:sz w:val="18"/>
              </w:rPr>
              <w:t>99.17分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AC259A">
            <w:pPr>
              <w:jc w:val="center"/>
            </w:pPr>
          </w:p>
        </w:tc>
      </w:tr>
    </w:tbl>
    <w:p w14:paraId="7E60EE57">
      <w:pPr>
        <w:rPr>
          <w:rFonts w:hint="eastAsia" w:ascii="宋体" w:hAnsi="宋体" w:cs="宋体"/>
          <w:b/>
          <w:bCs/>
          <w:kern w:val="0"/>
          <w:sz w:val="18"/>
          <w:szCs w:val="18"/>
        </w:rPr>
      </w:pPr>
    </w:p>
    <w:p w14:paraId="67A46B9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9BFDCD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C161A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88EA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FA445C9">
            <w:pPr>
              <w:jc w:val="center"/>
            </w:pPr>
            <w:r>
              <w:rPr>
                <w:rFonts w:ascii="宋体" w:hAnsi="宋体"/>
                <w:sz w:val="18"/>
              </w:rPr>
              <w:t>乌财科教【2023】106号-关于拨付2023年中小学和幼儿园自聘教师补助资金的通知</w:t>
            </w:r>
          </w:p>
        </w:tc>
      </w:tr>
      <w:tr w14:paraId="2C03E2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FA92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5CA4CA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CEBE9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1621D1F">
            <w:pPr>
              <w:jc w:val="center"/>
            </w:pPr>
            <w:r>
              <w:rPr>
                <w:rFonts w:ascii="宋体" w:hAnsi="宋体"/>
                <w:sz w:val="18"/>
              </w:rPr>
              <w:t>乌鲁木齐市111小学</w:t>
            </w:r>
          </w:p>
        </w:tc>
      </w:tr>
      <w:tr w14:paraId="4C7C380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0EE0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BFADE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7F0A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1B1D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FA37B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C293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C9362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D302E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67B8B2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7D7A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C979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4F65F5">
            <w:pPr>
              <w:jc w:val="center"/>
            </w:pPr>
            <w:r>
              <w:rPr>
                <w:rFonts w:ascii="宋体" w:hAnsi="宋体"/>
                <w:sz w:val="18"/>
              </w:rPr>
              <w:t>6.44</w:t>
            </w:r>
          </w:p>
        </w:tc>
        <w:tc>
          <w:tcPr>
            <w:tcW w:w="1177" w:type="dxa"/>
            <w:tcBorders>
              <w:top w:val="nil"/>
              <w:left w:val="nil"/>
              <w:bottom w:val="single" w:color="auto" w:sz="4" w:space="0"/>
              <w:right w:val="single" w:color="auto" w:sz="4" w:space="0"/>
            </w:tcBorders>
            <w:shd w:val="clear" w:color="auto" w:fill="auto"/>
            <w:noWrap/>
            <w:vAlign w:val="center"/>
          </w:tcPr>
          <w:p w14:paraId="690720DF">
            <w:pPr>
              <w:jc w:val="center"/>
            </w:pPr>
            <w:r>
              <w:rPr>
                <w:rFonts w:ascii="宋体" w:hAnsi="宋体"/>
                <w:sz w:val="18"/>
              </w:rPr>
              <w:t>6.44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85060B">
            <w:pPr>
              <w:jc w:val="center"/>
            </w:pPr>
            <w:r>
              <w:rPr>
                <w:rFonts w:ascii="宋体" w:hAnsi="宋体"/>
                <w:sz w:val="18"/>
              </w:rPr>
              <w:t>6.44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45B79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A06B9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D4CCDAF">
            <w:pPr>
              <w:jc w:val="center"/>
            </w:pPr>
            <w:r>
              <w:rPr>
                <w:rFonts w:ascii="宋体" w:hAnsi="宋体"/>
                <w:sz w:val="18"/>
              </w:rPr>
              <w:t>10.00分</w:t>
            </w:r>
          </w:p>
        </w:tc>
      </w:tr>
      <w:tr w14:paraId="05DBDA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95B2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E905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967639">
            <w:pPr>
              <w:jc w:val="center"/>
            </w:pPr>
            <w:r>
              <w:rPr>
                <w:rFonts w:ascii="宋体" w:hAnsi="宋体"/>
                <w:sz w:val="18"/>
              </w:rPr>
              <w:t>2.76</w:t>
            </w:r>
          </w:p>
        </w:tc>
        <w:tc>
          <w:tcPr>
            <w:tcW w:w="1177" w:type="dxa"/>
            <w:tcBorders>
              <w:top w:val="nil"/>
              <w:left w:val="nil"/>
              <w:bottom w:val="single" w:color="auto" w:sz="4" w:space="0"/>
              <w:right w:val="single" w:color="auto" w:sz="4" w:space="0"/>
            </w:tcBorders>
            <w:shd w:val="clear" w:color="auto" w:fill="auto"/>
            <w:noWrap/>
            <w:vAlign w:val="center"/>
          </w:tcPr>
          <w:p w14:paraId="724249F6">
            <w:pPr>
              <w:jc w:val="center"/>
            </w:pPr>
            <w:r>
              <w:rPr>
                <w:rFonts w:ascii="宋体" w:hAnsi="宋体"/>
                <w:sz w:val="18"/>
              </w:rPr>
              <w:t>2.76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1C59BA">
            <w:pPr>
              <w:jc w:val="center"/>
            </w:pPr>
            <w:r>
              <w:rPr>
                <w:rFonts w:ascii="宋体" w:hAnsi="宋体"/>
                <w:sz w:val="18"/>
              </w:rPr>
              <w:t>2.76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EAB1C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55FCC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2F8A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AF1DF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5328A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4C20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9176E2">
            <w:pPr>
              <w:jc w:val="center"/>
            </w:pPr>
            <w:r>
              <w:rPr>
                <w:rFonts w:ascii="宋体" w:hAnsi="宋体"/>
                <w:sz w:val="18"/>
              </w:rPr>
              <w:t>3.68</w:t>
            </w:r>
          </w:p>
        </w:tc>
        <w:tc>
          <w:tcPr>
            <w:tcW w:w="1177" w:type="dxa"/>
            <w:tcBorders>
              <w:top w:val="nil"/>
              <w:left w:val="nil"/>
              <w:bottom w:val="single" w:color="auto" w:sz="4" w:space="0"/>
              <w:right w:val="single" w:color="auto" w:sz="4" w:space="0"/>
            </w:tcBorders>
            <w:shd w:val="clear" w:color="auto" w:fill="auto"/>
            <w:noWrap/>
            <w:vAlign w:val="center"/>
          </w:tcPr>
          <w:p w14:paraId="2D8AB616">
            <w:pPr>
              <w:jc w:val="center"/>
            </w:pPr>
            <w:r>
              <w:rPr>
                <w:rFonts w:ascii="宋体" w:hAnsi="宋体"/>
                <w:sz w:val="18"/>
              </w:rPr>
              <w:t>3.68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D7838BE">
            <w:pPr>
              <w:jc w:val="center"/>
            </w:pPr>
            <w:r>
              <w:rPr>
                <w:rFonts w:ascii="宋体" w:hAnsi="宋体"/>
                <w:sz w:val="18"/>
              </w:rPr>
              <w:t>3.68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25A7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8BD8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AF598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935B3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2A7F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55B81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272E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F0A7E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920607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A21BA9A">
            <w:pPr>
              <w:jc w:val="left"/>
            </w:pPr>
            <w:r>
              <w:rPr>
                <w:rFonts w:ascii="宋体" w:hAnsi="宋体"/>
                <w:sz w:val="18"/>
              </w:rPr>
              <w:t>完成代课教师发放人数2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14:paraId="2B008C13">
            <w:pPr>
              <w:jc w:val="left"/>
            </w:pPr>
            <w:r>
              <w:rPr>
                <w:rFonts w:ascii="宋体" w:hAnsi="宋体"/>
                <w:sz w:val="18"/>
              </w:rPr>
              <w:t>完成代课教师发放人数2人，保障资金发放准确性，保障学校各项正常教学工作的完成；调动代课教师的工作热情和积极性，提高教学质量提高教师的工作效率。</w:t>
            </w:r>
          </w:p>
        </w:tc>
      </w:tr>
      <w:tr w14:paraId="20D47E9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A31CC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C9323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3D079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CABA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F6DCC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23AE1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DD40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0EE7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C6C7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28CECB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3092DF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2351EA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AE659F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163C6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A176BC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F8E3B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E81530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25A8B3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69C3AE9">
            <w:pPr>
              <w:widowControl/>
              <w:jc w:val="left"/>
              <w:rPr>
                <w:rFonts w:hint="eastAsia" w:ascii="宋体" w:hAnsi="宋体" w:cs="宋体"/>
                <w:color w:val="000000"/>
                <w:kern w:val="0"/>
                <w:sz w:val="18"/>
                <w:szCs w:val="18"/>
              </w:rPr>
            </w:pPr>
          </w:p>
        </w:tc>
      </w:tr>
      <w:tr w14:paraId="70313A8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62DE4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F759C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3B583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B52A87">
            <w:pPr>
              <w:jc w:val="center"/>
            </w:pPr>
            <w:r>
              <w:rPr>
                <w:rFonts w:ascii="宋体" w:hAnsi="宋体"/>
                <w:sz w:val="18"/>
              </w:rPr>
              <w:t>代课教师人数</w:t>
            </w:r>
          </w:p>
        </w:tc>
        <w:tc>
          <w:tcPr>
            <w:tcW w:w="1177" w:type="dxa"/>
            <w:tcBorders>
              <w:top w:val="nil"/>
              <w:left w:val="nil"/>
              <w:bottom w:val="single" w:color="auto" w:sz="4" w:space="0"/>
              <w:right w:val="single" w:color="auto" w:sz="4" w:space="0"/>
            </w:tcBorders>
            <w:shd w:val="clear" w:color="auto" w:fill="auto"/>
            <w:vAlign w:val="center"/>
          </w:tcPr>
          <w:p w14:paraId="4A2D3504">
            <w:pPr>
              <w:jc w:val="center"/>
            </w:pPr>
            <w:r>
              <w:rPr>
                <w:rFonts w:ascii="宋体" w:hAnsi="宋体"/>
                <w:sz w:val="18"/>
              </w:rPr>
              <w:t>=2人</w:t>
            </w:r>
          </w:p>
        </w:tc>
        <w:tc>
          <w:tcPr>
            <w:tcW w:w="1177" w:type="dxa"/>
            <w:tcBorders>
              <w:top w:val="nil"/>
              <w:left w:val="nil"/>
              <w:bottom w:val="single" w:color="auto" w:sz="4" w:space="0"/>
              <w:right w:val="single" w:color="auto" w:sz="4" w:space="0"/>
            </w:tcBorders>
            <w:shd w:val="clear" w:color="auto" w:fill="auto"/>
            <w:vAlign w:val="center"/>
          </w:tcPr>
          <w:p w14:paraId="4357A83B">
            <w:pPr>
              <w:jc w:val="center"/>
            </w:pPr>
            <w:r>
              <w:rPr>
                <w:rFonts w:ascii="宋体" w:hAnsi="宋体"/>
                <w:sz w:val="18"/>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DDA7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78E25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90E86C">
            <w:pPr>
              <w:jc w:val="center"/>
            </w:pPr>
          </w:p>
        </w:tc>
      </w:tr>
      <w:tr w14:paraId="6A17D3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9EDE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CABAC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46C3BC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3F5409">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14:paraId="43879CF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49D4BF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78A20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EC586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0774C7">
            <w:pPr>
              <w:jc w:val="center"/>
            </w:pPr>
          </w:p>
        </w:tc>
      </w:tr>
      <w:tr w14:paraId="36CB7E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2273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C1EC5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593E5F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EB4A2B">
            <w:pPr>
              <w:jc w:val="center"/>
            </w:pPr>
            <w:r>
              <w:rPr>
                <w:rFonts w:ascii="宋体" w:hAnsi="宋体"/>
                <w:sz w:val="18"/>
              </w:rPr>
              <w:t>资金使用准确率（%）</w:t>
            </w:r>
          </w:p>
        </w:tc>
        <w:tc>
          <w:tcPr>
            <w:tcW w:w="1177" w:type="dxa"/>
            <w:tcBorders>
              <w:top w:val="nil"/>
              <w:left w:val="nil"/>
              <w:bottom w:val="single" w:color="auto" w:sz="4" w:space="0"/>
              <w:right w:val="single" w:color="auto" w:sz="4" w:space="0"/>
            </w:tcBorders>
            <w:shd w:val="clear" w:color="auto" w:fill="auto"/>
            <w:vAlign w:val="center"/>
          </w:tcPr>
          <w:p w14:paraId="3E8927FE">
            <w:pPr>
              <w:jc w:val="center"/>
            </w:pPr>
            <w:r>
              <w:rPr>
                <w:rFonts w:ascii="宋体" w:hAnsi="宋体"/>
                <w:sz w:val="18"/>
              </w:rPr>
              <w:t>&lt;=5000元/月</w:t>
            </w:r>
          </w:p>
        </w:tc>
        <w:tc>
          <w:tcPr>
            <w:tcW w:w="1177" w:type="dxa"/>
            <w:tcBorders>
              <w:top w:val="nil"/>
              <w:left w:val="nil"/>
              <w:bottom w:val="single" w:color="auto" w:sz="4" w:space="0"/>
              <w:right w:val="single" w:color="auto" w:sz="4" w:space="0"/>
            </w:tcBorders>
            <w:shd w:val="clear" w:color="auto" w:fill="auto"/>
            <w:vAlign w:val="center"/>
          </w:tcPr>
          <w:p w14:paraId="2ED002FB">
            <w:pPr>
              <w:jc w:val="center"/>
            </w:pPr>
            <w:r>
              <w:rPr>
                <w:rFonts w:ascii="宋体" w:hAnsi="宋体"/>
                <w:sz w:val="18"/>
              </w:rPr>
              <w:t>5000元/月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0F2A8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DE701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7F7C2B">
            <w:pPr>
              <w:jc w:val="center"/>
            </w:pPr>
          </w:p>
        </w:tc>
      </w:tr>
      <w:tr w14:paraId="23239F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D1F7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D1212A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9620F8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FB2BE7">
            <w:pPr>
              <w:jc w:val="center"/>
            </w:pPr>
            <w:r>
              <w:rPr>
                <w:rFonts w:ascii="宋体" w:hAnsi="宋体"/>
                <w:sz w:val="18"/>
              </w:rPr>
              <w:t>代课教师工资</w:t>
            </w:r>
          </w:p>
        </w:tc>
        <w:tc>
          <w:tcPr>
            <w:tcW w:w="1177" w:type="dxa"/>
            <w:tcBorders>
              <w:top w:val="nil"/>
              <w:left w:val="nil"/>
              <w:bottom w:val="single" w:color="auto" w:sz="4" w:space="0"/>
              <w:right w:val="single" w:color="auto" w:sz="4" w:space="0"/>
            </w:tcBorders>
            <w:shd w:val="clear" w:color="auto" w:fill="auto"/>
            <w:vAlign w:val="center"/>
          </w:tcPr>
          <w:p w14:paraId="6BCFFFAD">
            <w:pPr>
              <w:jc w:val="center"/>
            </w:pPr>
            <w:r>
              <w:rPr>
                <w:rFonts w:ascii="宋体" w:hAnsi="宋体"/>
                <w:sz w:val="18"/>
              </w:rPr>
              <w:t>=3.68万元</w:t>
            </w:r>
          </w:p>
        </w:tc>
        <w:tc>
          <w:tcPr>
            <w:tcW w:w="1177" w:type="dxa"/>
            <w:tcBorders>
              <w:top w:val="nil"/>
              <w:left w:val="nil"/>
              <w:bottom w:val="single" w:color="auto" w:sz="4" w:space="0"/>
              <w:right w:val="single" w:color="auto" w:sz="4" w:space="0"/>
            </w:tcBorders>
            <w:shd w:val="clear" w:color="auto" w:fill="auto"/>
            <w:vAlign w:val="center"/>
          </w:tcPr>
          <w:p w14:paraId="259089FC">
            <w:pPr>
              <w:jc w:val="center"/>
            </w:pPr>
            <w:r>
              <w:rPr>
                <w:rFonts w:ascii="宋体" w:hAnsi="宋体"/>
                <w:sz w:val="18"/>
              </w:rPr>
              <w:t>3.68万元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0A3F0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207EA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A8A737">
            <w:pPr>
              <w:jc w:val="center"/>
            </w:pPr>
          </w:p>
        </w:tc>
      </w:tr>
      <w:tr w14:paraId="00402B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B7605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DF862D2">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5CF3CB0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BFF8D3">
            <w:pPr>
              <w:jc w:val="center"/>
            </w:pPr>
            <w:r>
              <w:rPr>
                <w:rFonts w:ascii="宋体" w:hAnsi="宋体"/>
                <w:sz w:val="18"/>
              </w:rPr>
              <w:t>调动代课教师的工作热情和积极性</w:t>
            </w:r>
          </w:p>
        </w:tc>
        <w:tc>
          <w:tcPr>
            <w:tcW w:w="1177" w:type="dxa"/>
            <w:tcBorders>
              <w:top w:val="nil"/>
              <w:left w:val="nil"/>
              <w:bottom w:val="single" w:color="auto" w:sz="4" w:space="0"/>
              <w:right w:val="single" w:color="auto" w:sz="4" w:space="0"/>
            </w:tcBorders>
            <w:shd w:val="clear" w:color="auto" w:fill="auto"/>
            <w:vAlign w:val="center"/>
          </w:tcPr>
          <w:p w14:paraId="52B97C1C">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30DB26A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65838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7446E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D12332">
            <w:pPr>
              <w:jc w:val="center"/>
            </w:pPr>
          </w:p>
        </w:tc>
      </w:tr>
      <w:tr w14:paraId="29EC83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C53A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5E988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50F293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AE2F6D">
            <w:pPr>
              <w:jc w:val="center"/>
            </w:pPr>
            <w:r>
              <w:rPr>
                <w:rFonts w:ascii="宋体" w:hAnsi="宋体"/>
                <w:sz w:val="18"/>
              </w:rPr>
              <w:t>提高教学质量</w:t>
            </w:r>
          </w:p>
        </w:tc>
        <w:tc>
          <w:tcPr>
            <w:tcW w:w="1177" w:type="dxa"/>
            <w:tcBorders>
              <w:top w:val="nil"/>
              <w:left w:val="nil"/>
              <w:bottom w:val="single" w:color="auto" w:sz="4" w:space="0"/>
              <w:right w:val="single" w:color="auto" w:sz="4" w:space="0"/>
            </w:tcBorders>
            <w:shd w:val="clear" w:color="auto" w:fill="auto"/>
            <w:vAlign w:val="center"/>
          </w:tcPr>
          <w:p w14:paraId="225E5043">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1739EC7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3147B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98A0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48AB9E">
            <w:pPr>
              <w:jc w:val="center"/>
            </w:pPr>
          </w:p>
        </w:tc>
      </w:tr>
      <w:tr w14:paraId="132B5C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3E0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6DF0D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5BCD43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276FEC">
            <w:pPr>
              <w:jc w:val="center"/>
            </w:pPr>
            <w:r>
              <w:rPr>
                <w:rFonts w:ascii="宋体" w:hAnsi="宋体"/>
                <w:sz w:val="18"/>
              </w:rPr>
              <w:t>临聘教师满意度</w:t>
            </w:r>
          </w:p>
        </w:tc>
        <w:tc>
          <w:tcPr>
            <w:tcW w:w="1177" w:type="dxa"/>
            <w:tcBorders>
              <w:top w:val="nil"/>
              <w:left w:val="nil"/>
              <w:bottom w:val="single" w:color="auto" w:sz="4" w:space="0"/>
              <w:right w:val="single" w:color="auto" w:sz="4" w:space="0"/>
            </w:tcBorders>
            <w:shd w:val="clear" w:color="auto" w:fill="auto"/>
            <w:vAlign w:val="center"/>
          </w:tcPr>
          <w:p w14:paraId="3BFD6DF4">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46FEC7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CFDF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AD1B0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F236C1">
            <w:pPr>
              <w:jc w:val="center"/>
            </w:pPr>
            <w:r>
              <w:rPr>
                <w:rFonts w:ascii="宋体" w:hAnsi="宋体"/>
                <w:sz w:val="18"/>
              </w:rPr>
              <w:t>已完成</w:t>
            </w:r>
          </w:p>
        </w:tc>
      </w:tr>
      <w:tr w14:paraId="018BA60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95459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69BDFD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4E70C1B">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C83450">
            <w:pPr>
              <w:jc w:val="center"/>
            </w:pPr>
          </w:p>
        </w:tc>
      </w:tr>
    </w:tbl>
    <w:p w14:paraId="656C05AB">
      <w:pPr>
        <w:rPr>
          <w:rFonts w:hint="eastAsia" w:ascii="宋体" w:hAnsi="宋体" w:cs="宋体"/>
          <w:b/>
          <w:bCs/>
          <w:kern w:val="0"/>
          <w:sz w:val="18"/>
          <w:szCs w:val="18"/>
        </w:rPr>
      </w:pPr>
    </w:p>
    <w:p w14:paraId="7C226FB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025FD0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9E2508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7EA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A3BEFB">
            <w:pPr>
              <w:jc w:val="center"/>
            </w:pPr>
            <w:r>
              <w:rPr>
                <w:rFonts w:ascii="宋体" w:hAnsi="宋体"/>
                <w:sz w:val="18"/>
              </w:rPr>
              <w:t>家庭经济困难学生生活补助</w:t>
            </w:r>
          </w:p>
        </w:tc>
      </w:tr>
      <w:tr w14:paraId="4AA6DD2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37AD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50E7189">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62644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5161169">
            <w:pPr>
              <w:jc w:val="center"/>
            </w:pPr>
            <w:r>
              <w:rPr>
                <w:rFonts w:ascii="宋体" w:hAnsi="宋体"/>
                <w:sz w:val="18"/>
              </w:rPr>
              <w:t>乌鲁木齐市111小学</w:t>
            </w:r>
          </w:p>
        </w:tc>
      </w:tr>
      <w:tr w14:paraId="37F46BF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7E42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BA0C9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88141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1B83D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42D92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5769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6A5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A7DD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A32DFE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DE29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DEDD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D4C693">
            <w:pPr>
              <w:jc w:val="center"/>
            </w:pPr>
            <w:r>
              <w:rPr>
                <w:rFonts w:ascii="宋体" w:hAnsi="宋体"/>
                <w:sz w:val="18"/>
              </w:rPr>
              <w:t>0.29</w:t>
            </w:r>
          </w:p>
        </w:tc>
        <w:tc>
          <w:tcPr>
            <w:tcW w:w="1177" w:type="dxa"/>
            <w:tcBorders>
              <w:top w:val="nil"/>
              <w:left w:val="nil"/>
              <w:bottom w:val="single" w:color="auto" w:sz="4" w:space="0"/>
              <w:right w:val="single" w:color="auto" w:sz="4" w:space="0"/>
            </w:tcBorders>
            <w:shd w:val="clear" w:color="auto" w:fill="auto"/>
            <w:noWrap/>
            <w:vAlign w:val="center"/>
          </w:tcPr>
          <w:p w14:paraId="58D2BB9C">
            <w:pPr>
              <w:jc w:val="center"/>
            </w:pPr>
            <w:r>
              <w:rPr>
                <w:rFonts w:ascii="宋体" w:hAnsi="宋体"/>
                <w:sz w:val="18"/>
              </w:rPr>
              <w:t>0.29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7743115">
            <w:pPr>
              <w:jc w:val="center"/>
            </w:pPr>
            <w:r>
              <w:rPr>
                <w:rFonts w:ascii="宋体" w:hAnsi="宋体"/>
                <w:sz w:val="18"/>
              </w:rPr>
              <w:t>0.29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8BAB3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C33A2B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3F507A4">
            <w:pPr>
              <w:jc w:val="center"/>
            </w:pPr>
            <w:r>
              <w:rPr>
                <w:rFonts w:ascii="宋体" w:hAnsi="宋体"/>
                <w:sz w:val="18"/>
              </w:rPr>
              <w:t>10.00分</w:t>
            </w:r>
          </w:p>
        </w:tc>
      </w:tr>
      <w:tr w14:paraId="1703FC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C4FCD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2455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F63B63">
            <w:pPr>
              <w:jc w:val="center"/>
            </w:pPr>
            <w:r>
              <w:rPr>
                <w:rFonts w:ascii="宋体" w:hAnsi="宋体"/>
                <w:sz w:val="18"/>
              </w:rPr>
              <w:t>0.29</w:t>
            </w:r>
          </w:p>
        </w:tc>
        <w:tc>
          <w:tcPr>
            <w:tcW w:w="1177" w:type="dxa"/>
            <w:tcBorders>
              <w:top w:val="nil"/>
              <w:left w:val="nil"/>
              <w:bottom w:val="single" w:color="auto" w:sz="4" w:space="0"/>
              <w:right w:val="single" w:color="auto" w:sz="4" w:space="0"/>
            </w:tcBorders>
            <w:shd w:val="clear" w:color="auto" w:fill="auto"/>
            <w:noWrap/>
            <w:vAlign w:val="center"/>
          </w:tcPr>
          <w:p w14:paraId="29511178">
            <w:pPr>
              <w:jc w:val="center"/>
            </w:pPr>
            <w:r>
              <w:rPr>
                <w:rFonts w:ascii="宋体" w:hAnsi="宋体"/>
                <w:sz w:val="18"/>
              </w:rPr>
              <w:t>0.29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17ED88">
            <w:pPr>
              <w:jc w:val="center"/>
            </w:pPr>
            <w:r>
              <w:rPr>
                <w:rFonts w:ascii="宋体" w:hAnsi="宋体"/>
                <w:sz w:val="18"/>
              </w:rPr>
              <w:t>0.29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0032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58E01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DD97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D213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EBA2C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D16A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E1AE7B">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8EFA8D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D2DCED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16432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F0F9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AC80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651BCF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4FFD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7BD85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CBEFF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B6779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8CC383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D954496">
            <w:pPr>
              <w:jc w:val="left"/>
            </w:pPr>
            <w:r>
              <w:rPr>
                <w:rFonts w:ascii="宋体" w:hAnsi="宋体"/>
                <w:sz w:val="18"/>
              </w:rPr>
              <w:t>我校贫困生资助管理专干根据贫困生资助管理平台提供贫困生人数22人，资助经费0.29万元，可改善贫困生家庭条件，帮助贫困生顺利完成学业。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727507BB">
            <w:pPr>
              <w:jc w:val="left"/>
            </w:pPr>
            <w:r>
              <w:rPr>
                <w:rFonts w:ascii="宋体" w:hAnsi="宋体"/>
                <w:sz w:val="18"/>
              </w:rPr>
              <w:t>贫困生资助管理专干根据贫困生资助管理平台提供贫困生人数22人，资助经费0.29万元，帮助贫困生顺利完成学业。</w:t>
            </w:r>
          </w:p>
        </w:tc>
      </w:tr>
      <w:tr w14:paraId="7363150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1689A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0AB0B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CE067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FFA0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4CA96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EB3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7C0B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DD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2368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711341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2B573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BE659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B4C7F6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BFECE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EF4D8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7D189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A24502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250F4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C85928">
            <w:pPr>
              <w:widowControl/>
              <w:jc w:val="left"/>
              <w:rPr>
                <w:rFonts w:hint="eastAsia" w:ascii="宋体" w:hAnsi="宋体" w:cs="宋体"/>
                <w:color w:val="000000"/>
                <w:kern w:val="0"/>
                <w:sz w:val="18"/>
                <w:szCs w:val="18"/>
              </w:rPr>
            </w:pPr>
          </w:p>
        </w:tc>
      </w:tr>
      <w:tr w14:paraId="2EC232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091B8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7289A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71688B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874978">
            <w:pPr>
              <w:jc w:val="center"/>
            </w:pPr>
            <w:r>
              <w:rPr>
                <w:rFonts w:ascii="宋体" w:hAnsi="宋体"/>
                <w:sz w:val="18"/>
              </w:rPr>
              <w:t>发放贫困学生人数</w:t>
            </w:r>
          </w:p>
        </w:tc>
        <w:tc>
          <w:tcPr>
            <w:tcW w:w="1177" w:type="dxa"/>
            <w:tcBorders>
              <w:top w:val="nil"/>
              <w:left w:val="nil"/>
              <w:bottom w:val="single" w:color="auto" w:sz="4" w:space="0"/>
              <w:right w:val="single" w:color="auto" w:sz="4" w:space="0"/>
            </w:tcBorders>
            <w:shd w:val="clear" w:color="auto" w:fill="auto"/>
            <w:vAlign w:val="center"/>
          </w:tcPr>
          <w:p w14:paraId="0F1A3F89">
            <w:pPr>
              <w:jc w:val="center"/>
            </w:pPr>
            <w:r>
              <w:rPr>
                <w:rFonts w:ascii="宋体" w:hAnsi="宋体"/>
                <w:sz w:val="18"/>
              </w:rPr>
              <w:t>&gt;=22人</w:t>
            </w:r>
          </w:p>
        </w:tc>
        <w:tc>
          <w:tcPr>
            <w:tcW w:w="1177" w:type="dxa"/>
            <w:tcBorders>
              <w:top w:val="nil"/>
              <w:left w:val="nil"/>
              <w:bottom w:val="single" w:color="auto" w:sz="4" w:space="0"/>
              <w:right w:val="single" w:color="auto" w:sz="4" w:space="0"/>
            </w:tcBorders>
            <w:shd w:val="clear" w:color="auto" w:fill="auto"/>
            <w:vAlign w:val="center"/>
          </w:tcPr>
          <w:p w14:paraId="7D04346C">
            <w:pPr>
              <w:jc w:val="center"/>
            </w:pPr>
            <w:r>
              <w:rPr>
                <w:rFonts w:ascii="宋体" w:hAnsi="宋体"/>
                <w:sz w:val="18"/>
              </w:rPr>
              <w:t>22人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5C024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D03F2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128698">
            <w:pPr>
              <w:jc w:val="center"/>
            </w:pPr>
          </w:p>
        </w:tc>
      </w:tr>
      <w:tr w14:paraId="6FF4EC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0A36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C808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0890B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A40662">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14:paraId="2895C8F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54BDD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7BCC0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4E68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02654C">
            <w:pPr>
              <w:jc w:val="center"/>
            </w:pPr>
          </w:p>
        </w:tc>
      </w:tr>
      <w:tr w14:paraId="1898DF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2A66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A828C1">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130670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EE4FFD">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297F76D4">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19FE60C2">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D2BF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1226D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6847D8">
            <w:pPr>
              <w:jc w:val="center"/>
            </w:pPr>
          </w:p>
        </w:tc>
      </w:tr>
      <w:tr w14:paraId="61BCA8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B45D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80BB3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29AEE5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B58240">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3A52AF8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123FB6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70447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00070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19E040">
            <w:pPr>
              <w:jc w:val="center"/>
            </w:pPr>
          </w:p>
        </w:tc>
      </w:tr>
      <w:tr w14:paraId="3ED9A8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A3B6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A129C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DCBBBF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F6A6F5">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506FCFA2">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6C7D5064">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8204A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F9BCC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CD1CE1">
            <w:pPr>
              <w:jc w:val="center"/>
            </w:pPr>
          </w:p>
        </w:tc>
      </w:tr>
      <w:tr w14:paraId="6B6992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314C2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42804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F3F178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766EAF">
            <w:pPr>
              <w:jc w:val="center"/>
            </w:pPr>
            <w:r>
              <w:rPr>
                <w:rFonts w:ascii="宋体" w:hAnsi="宋体"/>
                <w:sz w:val="18"/>
              </w:rPr>
              <w:t>解决非寄宿贫困生困难</w:t>
            </w:r>
          </w:p>
        </w:tc>
        <w:tc>
          <w:tcPr>
            <w:tcW w:w="1177" w:type="dxa"/>
            <w:tcBorders>
              <w:top w:val="nil"/>
              <w:left w:val="nil"/>
              <w:bottom w:val="single" w:color="auto" w:sz="4" w:space="0"/>
              <w:right w:val="single" w:color="auto" w:sz="4" w:space="0"/>
            </w:tcBorders>
            <w:shd w:val="clear" w:color="auto" w:fill="auto"/>
            <w:vAlign w:val="center"/>
          </w:tcPr>
          <w:p w14:paraId="548104D7">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74A3A11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66F7C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3C1E4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6352BA">
            <w:pPr>
              <w:jc w:val="center"/>
            </w:pPr>
          </w:p>
        </w:tc>
      </w:tr>
      <w:tr w14:paraId="33507B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334A2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B174C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DA5E6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652470">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07338FF1">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025CD5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42822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88EB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CB60E1">
            <w:pPr>
              <w:jc w:val="center"/>
            </w:pPr>
          </w:p>
        </w:tc>
      </w:tr>
      <w:tr w14:paraId="6BF73F0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191FBE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878F01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29F2D71">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9F43C3">
            <w:pPr>
              <w:jc w:val="center"/>
            </w:pPr>
          </w:p>
        </w:tc>
      </w:tr>
    </w:tbl>
    <w:p w14:paraId="073A7379">
      <w:pPr>
        <w:jc w:val="left"/>
        <w:rPr>
          <w:rFonts w:hint="eastAsia" w:ascii="宋体" w:hAnsi="宋体" w:cs="宋体"/>
          <w:b/>
          <w:bCs/>
          <w:kern w:val="0"/>
          <w:sz w:val="18"/>
          <w:szCs w:val="18"/>
        </w:rPr>
      </w:pPr>
    </w:p>
    <w:p w14:paraId="686CA0C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A60D87F">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605E50AF">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1D4A2D8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1C179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66774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9E7080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F2C71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6F9DE8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AD9F2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639DB9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AA12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B9BB3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F4E36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68E146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3B1CB4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D1039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B82AD2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F39F5C7">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7D96C51B">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1C1499A4">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5D56F3BB">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6BD12DE3">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52DA5F51">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1E87780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4E14509A">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7C64F64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84966A0">
      <w:pPr>
        <w:ind w:firstLine="640" w:firstLineChars="200"/>
        <w:rPr>
          <w:rFonts w:ascii="仿宋_GB2312" w:eastAsia="仿宋_GB2312"/>
          <w:sz w:val="32"/>
          <w:szCs w:val="32"/>
        </w:rPr>
      </w:pPr>
    </w:p>
    <w:p w14:paraId="42F2D7C6">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E326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02B3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B502B3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691097"/>
    <w:rsid w:val="00020E8B"/>
    <w:rsid w:val="00213C59"/>
    <w:rsid w:val="003210CE"/>
    <w:rsid w:val="003D2065"/>
    <w:rsid w:val="00547D62"/>
    <w:rsid w:val="006367AE"/>
    <w:rsid w:val="00691097"/>
    <w:rsid w:val="00771657"/>
    <w:rsid w:val="00B075D4"/>
    <w:rsid w:val="00B70D59"/>
    <w:rsid w:val="00C24467"/>
    <w:rsid w:val="00D55605"/>
    <w:rsid w:val="00DB3E67"/>
    <w:rsid w:val="00DD3715"/>
    <w:rsid w:val="00DF4B18"/>
    <w:rsid w:val="00E05401"/>
    <w:rsid w:val="00F52A8D"/>
    <w:rsid w:val="00FE1D7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961624"/>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F66D40"/>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D12D60"/>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7619</Words>
  <Characters>8682</Characters>
  <Lines>73</Lines>
  <Paragraphs>20</Paragraphs>
  <TotalTime>21</TotalTime>
  <ScaleCrop>false</ScaleCrop>
  <LinksUpToDate>false</LinksUpToDate>
  <CharactersWithSpaces>8693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2025-07-25T10:47:41Z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