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59F4F" w14:textId="77777777" w:rsidR="0032375B" w:rsidRDefault="0032375B">
      <w:pPr>
        <w:rPr>
          <w:rFonts w:ascii="黑体" w:eastAsia="黑体" w:hAnsi="黑体" w:hint="eastAsia"/>
          <w:sz w:val="32"/>
          <w:szCs w:val="32"/>
        </w:rPr>
      </w:pPr>
    </w:p>
    <w:p w14:paraId="1FFD618F" w14:textId="77777777" w:rsidR="0032375B" w:rsidRDefault="0032375B">
      <w:pPr>
        <w:jc w:val="center"/>
        <w:rPr>
          <w:rFonts w:ascii="方正小标宋_GBK" w:eastAsia="方正小标宋_GBK" w:hAnsi="宋体" w:hint="eastAsia"/>
          <w:sz w:val="44"/>
          <w:szCs w:val="44"/>
        </w:rPr>
      </w:pPr>
    </w:p>
    <w:p w14:paraId="55A63D34" w14:textId="77777777" w:rsidR="00BA1EA8" w:rsidRDefault="00000000" w:rsidP="00BA1E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乌鲁木齐市米东区卫生计生综合监督</w:t>
      </w:r>
    </w:p>
    <w:p w14:paraId="1613E078" w14:textId="0BF1C885" w:rsidR="0032375B" w:rsidRDefault="00000000" w:rsidP="00BA1E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执法局2023年度部门决算</w:t>
      </w:r>
    </w:p>
    <w:p w14:paraId="13971CA2" w14:textId="77777777" w:rsidR="003237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323FCE" w14:textId="77777777" w:rsidR="0032375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DC68A37" w14:textId="77777777" w:rsidR="0032375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4B14BA7" w14:textId="77777777" w:rsidR="0032375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2375B">
          <w:rPr>
            <w:rFonts w:ascii="仿宋_GB2312" w:eastAsia="仿宋_GB2312" w:hAnsi="仿宋_GB2312" w:cs="仿宋_GB2312" w:hint="eastAsia"/>
            <w:b/>
            <w:bCs/>
            <w:sz w:val="32"/>
            <w:szCs w:val="32"/>
          </w:rPr>
          <w:t>第一部分 单位概况</w:t>
        </w:r>
      </w:hyperlink>
    </w:p>
    <w:p w14:paraId="30B0202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CF6E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3D7FCF7"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0103B1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9B8A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0DC64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77D1DB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5EAA41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A6DF2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CC9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CEBD7C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EC2A260" w14:textId="77777777" w:rsidR="0032375B" w:rsidRDefault="0032375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DBFA9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2A4CA7"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ECB608F"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B442924"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0EAFF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2615E81" w14:textId="77777777" w:rsidR="0032375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737633"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8A3568"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52F9713"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DC36188"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B81900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47E119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37498A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B121D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0F383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8F964AC" w14:textId="77777777" w:rsidR="0032375B" w:rsidRDefault="0032375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297E75D" w14:textId="77777777" w:rsidR="0032375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893A7B4" w14:textId="77777777" w:rsidR="0032375B" w:rsidRDefault="00000000">
      <w:r>
        <w:rPr>
          <w:rFonts w:ascii="仿宋_GB2312" w:eastAsia="仿宋_GB2312" w:hAnsi="仿宋_GB2312" w:cs="仿宋_GB2312" w:hint="eastAsia"/>
          <w:sz w:val="32"/>
          <w:szCs w:val="32"/>
        </w:rPr>
        <w:fldChar w:fldCharType="end"/>
      </w:r>
    </w:p>
    <w:p w14:paraId="2395561C" w14:textId="77777777" w:rsidR="0032375B" w:rsidRDefault="00000000">
      <w:pPr>
        <w:rPr>
          <w:rFonts w:ascii="仿宋_GB2312" w:eastAsia="仿宋_GB2312"/>
          <w:sz w:val="32"/>
          <w:szCs w:val="32"/>
        </w:rPr>
      </w:pPr>
      <w:r>
        <w:rPr>
          <w:rFonts w:ascii="仿宋_GB2312" w:eastAsia="仿宋_GB2312" w:hint="eastAsia"/>
          <w:sz w:val="32"/>
          <w:szCs w:val="32"/>
        </w:rPr>
        <w:br w:type="page"/>
      </w:r>
    </w:p>
    <w:p w14:paraId="3315245C" w14:textId="77777777" w:rsidR="0032375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D20B7BF" w14:textId="77777777" w:rsidR="0032375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B3606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（一）宣传贯彻执行国家、自治区和乌鲁木齐市有关卫生计生工作的方针、政策和法律、法规，拟订本区（县）卫生计生监督规划和执法检查计划，并组织实施；</w:t>
      </w:r>
    </w:p>
    <w:p w14:paraId="629797C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（二）承担卫生计生专项整治和日常监督检查；</w:t>
      </w:r>
    </w:p>
    <w:p w14:paraId="6CA7A12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（三）开展公共场所卫生、生活饮用水卫生、学校卫生及消毒产品和涉及饮用水卫生安全产品监督检查，查处违法行为；</w:t>
      </w:r>
    </w:p>
    <w:p w14:paraId="75DE8E3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（四）开展医疗机构、采供血机构及其从业人员的执业活动监督检查，打击非法行医和非法采供血，整顿和规范医疗服务秩序，查处违法行为；</w:t>
      </w:r>
    </w:p>
    <w:p w14:paraId="7603AD2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（五）开展医疗卫生机构的放射诊疗、职业健康检查和职业病诊断与鉴定工作监督检查，查处违法行为；</w:t>
      </w:r>
    </w:p>
    <w:p w14:paraId="06176A4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（六）开展医疗机构、采供血机构、疾病预防控制机构的预防接种、传染病疫情报告、疫情控制措施、消毒隔离制度执行情况、医疗废物处置情况和病原微生物实验室生物安全等监督检查，查处违法行为；</w:t>
      </w:r>
    </w:p>
    <w:p w14:paraId="4B559C15"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（七）开展母婴保健机构、计划生育技术服务机构服务内容和从业人员的行为规范监督检查，依法打击“两非”行为，开展计划生育违法案件的督查督办；</w:t>
      </w:r>
    </w:p>
    <w:p w14:paraId="2E51AD7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（八）开展监督协管员培训、业务指导；承担辖区内卫</w:t>
      </w:r>
      <w:r>
        <w:rPr>
          <w:rFonts w:ascii="仿宋_GB2312" w:eastAsia="仿宋_GB2312" w:hint="eastAsia"/>
          <w:sz w:val="32"/>
          <w:szCs w:val="32"/>
        </w:rPr>
        <w:lastRenderedPageBreak/>
        <w:t>生计生监督信息的收集、核实和上报；</w:t>
      </w:r>
    </w:p>
    <w:p w14:paraId="0E7988C7"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（九）承担对违法行为投诉、举报的调查处理。</w:t>
      </w:r>
    </w:p>
    <w:p w14:paraId="6780F123" w14:textId="77777777" w:rsidR="0032375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AFCA6B" w14:textId="77777777" w:rsidR="0032375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乌鲁木齐市米东区卫生计生综合监督执法局2023年度，实有人数</w:t>
      </w:r>
      <w:r>
        <w:rPr>
          <w:rFonts w:ascii="仿宋_GB2312" w:eastAsia="仿宋_GB2312" w:hint="eastAsia"/>
          <w:sz w:val="32"/>
          <w:szCs w:val="32"/>
          <w:lang w:val="zh-CN"/>
        </w:rPr>
        <w:t>21</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6AF54AA1" w14:textId="77777777" w:rsidR="0032375B" w:rsidRDefault="00000000">
      <w:pPr>
        <w:ind w:firstLineChars="200" w:firstLine="640"/>
        <w:rPr>
          <w:rFonts w:ascii="仿宋_GB2312" w:eastAsia="仿宋_GB2312" w:hAnsi="宋体" w:cs="宋体" w:hint="eastAsia"/>
          <w:kern w:val="0"/>
          <w:sz w:val="32"/>
          <w:szCs w:val="32"/>
        </w:rPr>
        <w:sectPr w:rsidR="0032375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领导办、综合办、财务室、法培科、监督一科、监督二科、监督三科。</w:t>
      </w:r>
    </w:p>
    <w:p w14:paraId="5F3CE192" w14:textId="77777777" w:rsidR="0032375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DA68B36" w14:textId="77777777" w:rsidR="0032375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937630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2023年度收入总计291.87万元，其中：本年收入合计289.19万元，使用非财政拨款结余0.00万元，年初结转和结余2.68万元。</w:t>
      </w:r>
    </w:p>
    <w:p w14:paraId="1CDF815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2023年度支出总计291.87万元，其中：本年支出合计289.26万元，结余分配0.00万元，年末结转和结余2.61万元。</w:t>
      </w:r>
    </w:p>
    <w:p w14:paraId="45712F4F"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增加24.65万元</w:t>
      </w:r>
      <w:r>
        <w:rPr>
          <w:rFonts w:ascii="仿宋_GB2312" w:eastAsia="仿宋_GB2312" w:hint="eastAsia"/>
          <w:sz w:val="32"/>
          <w:szCs w:val="32"/>
        </w:rPr>
        <w:t>，增长9.22%，主要原因是：本年基本医疗卫生服务补助项目经费增加。</w:t>
      </w:r>
    </w:p>
    <w:p w14:paraId="2230C19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37F9A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本年收入289.19万元，其中：财政拨款收入</w:t>
      </w:r>
      <w:r>
        <w:rPr>
          <w:rFonts w:ascii="仿宋_GB2312" w:eastAsia="仿宋_GB2312" w:hint="eastAsia"/>
          <w:sz w:val="32"/>
          <w:szCs w:val="32"/>
          <w:lang w:val="zh-CN"/>
        </w:rPr>
        <w:t>289.13</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114A3512" w14:textId="77777777" w:rsidR="0032375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6E2B805"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本年支出289.26万元，其中：基本支出287.76万元，占99.48%；项目支出1.50万元，占0.52%；上缴上级支出0.00万元，占0.00%；经营支出0.00万元，占0.00%；对附属单位补助支出0.00万元，占0.00%。</w:t>
      </w:r>
    </w:p>
    <w:p w14:paraId="22BA98C5" w14:textId="77777777" w:rsidR="0032375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B838831"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289.13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289.13</w:t>
      </w:r>
      <w:r>
        <w:rPr>
          <w:rFonts w:ascii="仿宋_GB2312" w:eastAsia="仿宋_GB2312" w:hint="eastAsia"/>
          <w:sz w:val="32"/>
          <w:szCs w:val="32"/>
        </w:rPr>
        <w:t>万元。财政拨款支出总计</w:t>
      </w:r>
      <w:r>
        <w:rPr>
          <w:rFonts w:ascii="仿宋_GB2312" w:eastAsia="仿宋_GB2312" w:hint="eastAsia"/>
          <w:sz w:val="32"/>
          <w:szCs w:val="32"/>
          <w:lang w:val="zh-CN"/>
        </w:rPr>
        <w:t>289.13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289.13</w:t>
      </w:r>
      <w:r>
        <w:rPr>
          <w:rFonts w:ascii="仿宋_GB2312" w:eastAsia="仿宋_GB2312" w:hint="eastAsia"/>
          <w:sz w:val="32"/>
          <w:szCs w:val="32"/>
        </w:rPr>
        <w:t>万元。</w:t>
      </w:r>
    </w:p>
    <w:p w14:paraId="300CBCB5" w14:textId="18C1423D"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万元，预决算差异率-2.61%，主要原因是：</w:t>
      </w:r>
      <w:r w:rsidR="00E0797A">
        <w:rPr>
          <w:rFonts w:ascii="仿宋_GB2312" w:eastAsia="仿宋_GB2312" w:hint="eastAsia"/>
          <w:sz w:val="32"/>
          <w:szCs w:val="32"/>
        </w:rPr>
        <w:t>本年单位办公经费、水电费等</w:t>
      </w:r>
      <w:r>
        <w:rPr>
          <w:rFonts w:ascii="仿宋_GB2312" w:eastAsia="仿宋_GB2312" w:hint="eastAsia"/>
          <w:sz w:val="32"/>
          <w:szCs w:val="32"/>
        </w:rPr>
        <w:t>小于年初预算安排金额。</w:t>
      </w:r>
    </w:p>
    <w:p w14:paraId="73B03DCC" w14:textId="77777777" w:rsidR="0032375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B3FB757"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66964BD" w14:textId="691CBA58" w:rsidR="0032375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2023年度一般公共预算财政拨款支出289.13万元，占本年支出合计的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w:t>
      </w:r>
      <w:r>
        <w:rPr>
          <w:rFonts w:ascii="仿宋_GB2312" w:eastAsia="仿宋_GB2312" w:hint="eastAsia"/>
          <w:sz w:val="32"/>
          <w:szCs w:val="32"/>
          <w:lang w:val="zh-CN"/>
        </w:rPr>
        <w:t>-2.61%</w:t>
      </w:r>
      <w:r>
        <w:rPr>
          <w:rFonts w:ascii="仿宋_GB2312" w:eastAsia="仿宋_GB2312" w:hint="eastAsia"/>
          <w:sz w:val="32"/>
          <w:szCs w:val="32"/>
        </w:rPr>
        <w:t>，主要原因是：</w:t>
      </w:r>
      <w:r w:rsidR="00E0797A">
        <w:rPr>
          <w:rFonts w:ascii="仿宋_GB2312" w:eastAsia="仿宋_GB2312" w:hint="eastAsia"/>
          <w:sz w:val="32"/>
          <w:szCs w:val="32"/>
        </w:rPr>
        <w:t>本年单位办公经费、水电费等小于年初预算安排金额</w:t>
      </w:r>
      <w:r>
        <w:rPr>
          <w:rFonts w:ascii="仿宋_GB2312" w:eastAsia="仿宋_GB2312" w:hint="eastAsia"/>
          <w:sz w:val="32"/>
          <w:szCs w:val="32"/>
        </w:rPr>
        <w:t>。</w:t>
      </w:r>
    </w:p>
    <w:p w14:paraId="744A8238" w14:textId="77777777" w:rsidR="0032375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729D32"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17.24</w:t>
      </w:r>
      <w:r>
        <w:rPr>
          <w:rFonts w:ascii="仿宋_GB2312" w:eastAsia="仿宋_GB2312"/>
          <w:kern w:val="2"/>
          <w:sz w:val="32"/>
          <w:szCs w:val="32"/>
          <w:lang w:val="zh-CN"/>
        </w:rPr>
        <w:t>万元，占</w:t>
      </w:r>
      <w:r>
        <w:rPr>
          <w:rFonts w:ascii="仿宋_GB2312" w:eastAsia="仿宋_GB2312" w:hint="eastAsia"/>
          <w:kern w:val="2"/>
          <w:sz w:val="32"/>
          <w:szCs w:val="32"/>
          <w:lang w:val="zh-CN"/>
        </w:rPr>
        <w:t>5.96%</w:t>
      </w:r>
      <w:r>
        <w:rPr>
          <w:rFonts w:ascii="仿宋_GB2312" w:eastAsia="仿宋_GB2312"/>
          <w:kern w:val="2"/>
          <w:sz w:val="32"/>
          <w:szCs w:val="32"/>
          <w:lang w:val="zh-CN"/>
        </w:rPr>
        <w:t>；</w:t>
      </w:r>
    </w:p>
    <w:p w14:paraId="6D0574EE"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271.89</w:t>
      </w:r>
      <w:r>
        <w:rPr>
          <w:rFonts w:ascii="仿宋_GB2312" w:eastAsia="仿宋_GB2312"/>
          <w:kern w:val="2"/>
          <w:sz w:val="32"/>
          <w:szCs w:val="32"/>
          <w:lang w:val="zh-CN"/>
        </w:rPr>
        <w:t>万元，占</w:t>
      </w:r>
      <w:r>
        <w:rPr>
          <w:rFonts w:ascii="仿宋_GB2312" w:eastAsia="仿宋_GB2312" w:hint="eastAsia"/>
          <w:kern w:val="2"/>
          <w:sz w:val="32"/>
          <w:szCs w:val="32"/>
          <w:lang w:val="zh-CN"/>
        </w:rPr>
        <w:t>94.04%。</w:t>
      </w:r>
    </w:p>
    <w:p w14:paraId="0563D2A3"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1947A93"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1.卫生健康支出（类）公共卫生（款）卫生监督机构（项）:</w:t>
      </w:r>
      <w:r>
        <w:rPr>
          <w:rFonts w:ascii="仿宋_GB2312" w:eastAsia="仿宋_GB2312" w:hAnsi="仿宋_GB2312" w:cs="仿宋_GB2312" w:hint="eastAsia"/>
          <w:sz w:val="32"/>
          <w:szCs w:val="32"/>
        </w:rPr>
        <w:lastRenderedPageBreak/>
        <w:t>支出决算数为270.39万元，比上年决算增加26.49万元，增长10.86%，主要原因是：本年人员增加，人员工资，津补贴等相应经费增加</w:t>
      </w:r>
      <w:r>
        <w:rPr>
          <w:rFonts w:ascii="仿宋_GB2312" w:eastAsia="仿宋_GB2312" w:hAnsi="仿宋_GB2312" w:cs="仿宋_GB2312" w:hint="eastAsia"/>
          <w:sz w:val="32"/>
          <w:szCs w:val="32"/>
          <w:lang w:val="zh-CN"/>
        </w:rPr>
        <w:t>。</w:t>
      </w:r>
    </w:p>
    <w:p w14:paraId="182F3E8F"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2.卫生健康支出（类）公共卫生（款）基本公共卫生服务（项）:支出决算数为1.50万元，比上年决算增加1.50万元，增长100%，主要原因是：</w:t>
      </w:r>
      <w:r>
        <w:rPr>
          <w:rFonts w:ascii="仿宋_GB2312" w:eastAsia="仿宋_GB2312" w:hint="eastAsia"/>
          <w:sz w:val="32"/>
          <w:szCs w:val="32"/>
        </w:rPr>
        <w:t>本年基本医疗卫生服务补助项目经费增加</w:t>
      </w:r>
      <w:r>
        <w:rPr>
          <w:rFonts w:ascii="仿宋_GB2312" w:eastAsia="仿宋_GB2312" w:hAnsi="仿宋_GB2312" w:cs="仿宋_GB2312" w:hint="eastAsia"/>
          <w:sz w:val="32"/>
          <w:szCs w:val="32"/>
          <w:lang w:val="zh-CN"/>
        </w:rPr>
        <w:t>。</w:t>
      </w:r>
    </w:p>
    <w:p w14:paraId="677FAFAA" w14:textId="344135C8"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3.社会保障和就业支出（类）行政事业单位养老支出（款）机关事业单位基本养老保险缴费支出（项）:支出决算数为17.24万元，比上年决算减少3.18万元，下降15.57%，主要原因是：</w:t>
      </w:r>
      <w:r w:rsidR="00C9671C" w:rsidRPr="00C9671C">
        <w:rPr>
          <w:rFonts w:ascii="仿宋_GB2312" w:eastAsia="仿宋_GB2312" w:hint="eastAsia"/>
          <w:sz w:val="32"/>
          <w:szCs w:val="32"/>
        </w:rPr>
        <w:t>单位新进人员职级低于调出人员，新进人员社保缴费基数低，单位人员养老保险缴费减少</w:t>
      </w:r>
      <w:r>
        <w:rPr>
          <w:rFonts w:ascii="仿宋_GB2312" w:eastAsia="仿宋_GB2312" w:hAnsi="仿宋_GB2312" w:cs="仿宋_GB2312" w:hint="eastAsia"/>
          <w:sz w:val="32"/>
          <w:szCs w:val="32"/>
          <w:lang w:val="zh-CN"/>
        </w:rPr>
        <w:t>。</w:t>
      </w:r>
    </w:p>
    <w:p w14:paraId="2883040C"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53EFA6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287.63万元，其中：人员经费200.22万元，包括：基本工资、津贴补贴、奖金、机关事业单位基本养老保险缴费、职业年金缴费、职工基本医疗保险缴费、公务员医疗补助缴费、其他社会保障缴费、住房公积金、奖励金。</w:t>
      </w:r>
    </w:p>
    <w:p w14:paraId="1C1A1F0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87.41万元，包括：办公费、印刷费、水费、电费、取暖费、差旅费、维修（护）费、专用材料费、劳务费、委托业务费、工会经费、福利费、公务用车运行维护费、其他交通费用、其他商品和服务支出、办公设备购置。</w:t>
      </w:r>
    </w:p>
    <w:p w14:paraId="31256447"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0284C0A1"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“三公”经费支出8.88万元，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主要原因是：本年单位无此项经费；公务用车购置及运行维护费支出8.88万元，占100.00%，比上年增加0.00万元，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9DE82E2"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4FD9E5"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A66DCBE" w14:textId="4219E470"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8.88万元，其中：公务用车购置费0.00万元，公务用车运行维护费8.88万元。公务用车运行维护费开支内容包括公务用车燃油费、车辆维修维护费、保险费、过路费等。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A1EA8" w:rsidRPr="00BA1EA8">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72F217D"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w:t>
      </w:r>
      <w:r>
        <w:rPr>
          <w:rFonts w:ascii="仿宋_GB2312" w:eastAsia="仿宋_GB2312" w:hint="eastAsia"/>
          <w:sz w:val="32"/>
          <w:szCs w:val="32"/>
          <w:lang w:val="zh-CN"/>
        </w:rPr>
        <w:lastRenderedPageBreak/>
        <w:t>经费。单位全年安排的国内公务接待0批次，0人次。</w:t>
      </w:r>
    </w:p>
    <w:p w14:paraId="6624A8A7"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766EC6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2880E2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8949743"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7BA0A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D02E0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982447E" w14:textId="77777777" w:rsidR="0032375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058A64FA" w14:textId="77777777" w:rsidR="0032375B"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乌鲁木齐市米东区卫生计生综合监督执法局（行政单位和参照公务员法管理事业单位）机关运行经费支出87.41万元，</w:t>
      </w:r>
      <w:r>
        <w:rPr>
          <w:rFonts w:ascii="仿宋_GB2312" w:eastAsia="仿宋_GB2312" w:hAnsi="仿宋_GB2312" w:cs="仿宋_GB2312" w:hint="eastAsia"/>
          <w:sz w:val="32"/>
          <w:szCs w:val="32"/>
          <w:lang w:val="zh-CN"/>
        </w:rPr>
        <w:t>比上年增加29.18万元，增长50.11%，主要原因是：本年办公费，印刷费和取暖费等增加。</w:t>
      </w:r>
    </w:p>
    <w:p w14:paraId="29507E13" w14:textId="77777777" w:rsidR="0032375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0015BAC"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F2694E0" w14:textId="77777777" w:rsidR="0032375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62A227A" w14:textId="77777777" w:rsidR="0032375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97978A3"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206.44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屋0.00平方米，价值0.00万元。车辆5辆，价值78.04万元，其中：副部（省）级及以上领导用车0辆、主要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15E8A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78ADD3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291.87</w:t>
      </w:r>
      <w:r>
        <w:rPr>
          <w:rFonts w:ascii="仿宋_GB2312" w:eastAsia="仿宋_GB2312" w:hint="eastAsia"/>
          <w:sz w:val="32"/>
          <w:szCs w:val="32"/>
        </w:rPr>
        <w:t>万元，实际执行总额</w:t>
      </w:r>
      <w:r>
        <w:rPr>
          <w:rFonts w:ascii="仿宋_GB2312" w:eastAsia="仿宋_GB2312"/>
          <w:sz w:val="32"/>
          <w:szCs w:val="32"/>
        </w:rPr>
        <w:t>289.26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1.5</w:t>
      </w:r>
      <w:r>
        <w:rPr>
          <w:rFonts w:ascii="仿宋_GB2312" w:eastAsia="仿宋_GB2312" w:hint="eastAsia"/>
          <w:sz w:val="32"/>
          <w:szCs w:val="32"/>
        </w:rPr>
        <w:t>0万元，全年执行数</w:t>
      </w:r>
      <w:r>
        <w:rPr>
          <w:rFonts w:ascii="仿宋_GB2312" w:eastAsia="仿宋_GB2312"/>
          <w:sz w:val="32"/>
          <w:szCs w:val="32"/>
        </w:rPr>
        <w:t>1.5</w:t>
      </w:r>
      <w:r>
        <w:rPr>
          <w:rFonts w:ascii="仿宋_GB2312" w:eastAsia="仿宋_GB2312" w:hint="eastAsia"/>
          <w:sz w:val="32"/>
          <w:szCs w:val="32"/>
        </w:rPr>
        <w:t>0万元。预算绩效管理取得的成效：一是预算绩效管理制度逐步建立，组织机构不断健全，增强了预算绩效管理工作的保障；二是绩效目标管理日益加强，绩效评价范围不断扩大，促进了财政资金使用效益的提高。发现的问题及原因：一是预算编制科学性的问题。首先预算编制之合理性相对不足，主要表现在预算调整数较大，年度目标与长期规划衔接的紧密程度需要增强；二是对于固定资产处理监管还存在一定缺失。下一步改进措施：一是完整性原则，预算编制必须全面反映政府的财政收支状况，所有收入和支出都应纳入预算管理。预算编制应基于真实准确的财政数据和信息进行，以确保预算数据的准确性和可信度；二是建立完善的固定资产管理制度，加强固定资产的预算控制，提高固定资产的使用效率，提高固定资产管理人员的专业水平，在日常工作中及时登记，报废清理固定资产，完全做到账实相符。具体项目自评情况附绩效自评表及自评报告。</w:t>
      </w:r>
    </w:p>
    <w:p w14:paraId="0554F6E0"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78FA0D4"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2375B" w14:paraId="3C6741B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C19BA5C"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20F30FE" w14:textId="77777777" w:rsidR="0032375B" w:rsidRDefault="00000000">
            <w:pPr>
              <w:jc w:val="center"/>
            </w:pPr>
            <w:r>
              <w:rPr>
                <w:rFonts w:ascii="宋体" w:hAnsi="宋体"/>
                <w:sz w:val="18"/>
              </w:rPr>
              <w:t>新疆乌鲁木齐市米东区卫生综合监督执法局</w:t>
            </w:r>
          </w:p>
        </w:tc>
        <w:tc>
          <w:tcPr>
            <w:tcW w:w="284" w:type="dxa"/>
            <w:tcBorders>
              <w:top w:val="nil"/>
              <w:left w:val="nil"/>
              <w:bottom w:val="nil"/>
              <w:right w:val="nil"/>
            </w:tcBorders>
            <w:noWrap/>
            <w:vAlign w:val="center"/>
          </w:tcPr>
          <w:p w14:paraId="6BD74462" w14:textId="77777777" w:rsidR="0032375B" w:rsidRDefault="0032375B">
            <w:pPr>
              <w:widowControl/>
              <w:jc w:val="left"/>
              <w:rPr>
                <w:rFonts w:ascii="宋体" w:hAnsi="宋体" w:cs="宋体" w:hint="eastAsia"/>
                <w:b/>
                <w:bCs/>
                <w:kern w:val="0"/>
                <w:sz w:val="18"/>
                <w:szCs w:val="18"/>
              </w:rPr>
            </w:pPr>
          </w:p>
        </w:tc>
      </w:tr>
      <w:tr w:rsidR="0032375B" w14:paraId="257569E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050C25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53CCB5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5852925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72C5E2F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2CA1B8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5327A12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325E772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6D0E54D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9DA4427" w14:textId="77777777" w:rsidR="0032375B" w:rsidRDefault="0032375B">
            <w:pPr>
              <w:widowControl/>
              <w:jc w:val="center"/>
              <w:rPr>
                <w:rFonts w:ascii="宋体" w:hAnsi="宋体" w:cs="宋体" w:hint="eastAsia"/>
                <w:b/>
                <w:bCs/>
                <w:kern w:val="0"/>
                <w:sz w:val="18"/>
                <w:szCs w:val="18"/>
              </w:rPr>
            </w:pPr>
          </w:p>
        </w:tc>
      </w:tr>
      <w:tr w:rsidR="0032375B" w14:paraId="1F3C1BF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46CA5AD"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71CA0C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2050142F"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vAlign w:val="center"/>
          </w:tcPr>
          <w:p w14:paraId="3B232385" w14:textId="77777777" w:rsidR="0032375B" w:rsidRDefault="00000000">
            <w:pPr>
              <w:jc w:val="center"/>
            </w:pPr>
            <w:r>
              <w:rPr>
                <w:rFonts w:ascii="宋体" w:hAnsi="宋体"/>
                <w:sz w:val="18"/>
              </w:rPr>
              <w:t>291.87</w:t>
            </w:r>
          </w:p>
        </w:tc>
        <w:tc>
          <w:tcPr>
            <w:tcW w:w="2126" w:type="dxa"/>
            <w:tcBorders>
              <w:top w:val="nil"/>
              <w:left w:val="nil"/>
              <w:bottom w:val="single" w:sz="4" w:space="0" w:color="auto"/>
              <w:right w:val="single" w:sz="4" w:space="0" w:color="auto"/>
            </w:tcBorders>
            <w:vAlign w:val="center"/>
          </w:tcPr>
          <w:p w14:paraId="4E1673FE" w14:textId="77777777" w:rsidR="0032375B" w:rsidRDefault="00000000">
            <w:pPr>
              <w:jc w:val="center"/>
            </w:pPr>
            <w:r>
              <w:rPr>
                <w:rFonts w:ascii="宋体" w:hAnsi="宋体"/>
                <w:sz w:val="18"/>
              </w:rPr>
              <w:t>289.26</w:t>
            </w:r>
          </w:p>
        </w:tc>
        <w:tc>
          <w:tcPr>
            <w:tcW w:w="1004" w:type="dxa"/>
            <w:tcBorders>
              <w:top w:val="nil"/>
              <w:left w:val="nil"/>
              <w:bottom w:val="single" w:sz="4" w:space="0" w:color="auto"/>
              <w:right w:val="single" w:sz="4" w:space="0" w:color="auto"/>
            </w:tcBorders>
            <w:vAlign w:val="center"/>
          </w:tcPr>
          <w:p w14:paraId="4E6CA679" w14:textId="77777777" w:rsidR="0032375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393B4992" w14:textId="77777777" w:rsidR="0032375B" w:rsidRDefault="00000000">
            <w:pPr>
              <w:jc w:val="center"/>
            </w:pPr>
            <w:r>
              <w:rPr>
                <w:rFonts w:ascii="宋体" w:hAnsi="宋体"/>
                <w:sz w:val="18"/>
              </w:rPr>
              <w:t>99.11%</w:t>
            </w:r>
          </w:p>
        </w:tc>
        <w:tc>
          <w:tcPr>
            <w:tcW w:w="720" w:type="dxa"/>
            <w:tcBorders>
              <w:top w:val="nil"/>
              <w:left w:val="nil"/>
              <w:bottom w:val="single" w:sz="4" w:space="0" w:color="auto"/>
              <w:right w:val="single" w:sz="4" w:space="0" w:color="auto"/>
            </w:tcBorders>
            <w:vAlign w:val="center"/>
          </w:tcPr>
          <w:p w14:paraId="3282492C" w14:textId="77777777" w:rsidR="0032375B" w:rsidRDefault="00000000">
            <w:pPr>
              <w:jc w:val="center"/>
            </w:pPr>
            <w:r>
              <w:rPr>
                <w:rFonts w:ascii="宋体" w:hAnsi="宋体"/>
                <w:sz w:val="18"/>
              </w:rPr>
              <w:t>9.91</w:t>
            </w:r>
          </w:p>
        </w:tc>
        <w:tc>
          <w:tcPr>
            <w:tcW w:w="284" w:type="dxa"/>
            <w:tcBorders>
              <w:top w:val="nil"/>
              <w:left w:val="nil"/>
              <w:bottom w:val="nil"/>
              <w:right w:val="nil"/>
            </w:tcBorders>
            <w:noWrap/>
            <w:vAlign w:val="center"/>
          </w:tcPr>
          <w:p w14:paraId="4B3DDC60" w14:textId="77777777" w:rsidR="0032375B" w:rsidRDefault="0032375B">
            <w:pPr>
              <w:widowControl/>
              <w:jc w:val="center"/>
              <w:rPr>
                <w:rFonts w:ascii="宋体" w:hAnsi="宋体" w:cs="宋体" w:hint="eastAsia"/>
                <w:b/>
                <w:bCs/>
                <w:kern w:val="0"/>
                <w:sz w:val="18"/>
                <w:szCs w:val="18"/>
              </w:rPr>
            </w:pPr>
          </w:p>
        </w:tc>
      </w:tr>
      <w:tr w:rsidR="0032375B" w14:paraId="32AE1829"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00A1C23"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EE64E2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6450BCB4"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8642886"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5735C13"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59FEBA4"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31FC8E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56ADCA0"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6F9E9B06" w14:textId="77777777" w:rsidR="0032375B" w:rsidRDefault="0032375B">
            <w:pPr>
              <w:widowControl/>
              <w:jc w:val="center"/>
              <w:rPr>
                <w:rFonts w:ascii="宋体" w:hAnsi="宋体" w:cs="宋体" w:hint="eastAsia"/>
                <w:kern w:val="0"/>
                <w:sz w:val="18"/>
                <w:szCs w:val="18"/>
              </w:rPr>
            </w:pPr>
          </w:p>
        </w:tc>
      </w:tr>
      <w:tr w:rsidR="0032375B" w14:paraId="72106D3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E1B4C9"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CE15F5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6D131153"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F8C8814"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D4D2289"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332AF3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A79D6A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F2DC66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4A211431" w14:textId="77777777" w:rsidR="0032375B" w:rsidRDefault="0032375B">
            <w:pPr>
              <w:widowControl/>
              <w:jc w:val="center"/>
              <w:rPr>
                <w:rFonts w:ascii="宋体" w:hAnsi="宋体" w:cs="宋体" w:hint="eastAsia"/>
                <w:kern w:val="0"/>
                <w:sz w:val="18"/>
                <w:szCs w:val="18"/>
              </w:rPr>
            </w:pPr>
          </w:p>
        </w:tc>
      </w:tr>
      <w:tr w:rsidR="0032375B" w14:paraId="2FC0BEE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B3BF4BB"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628AB0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13650E9"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BCACFEA"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E97129B"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4B1B2E7"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202925A8"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5965A6C"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5417CA82" w14:textId="77777777" w:rsidR="0032375B" w:rsidRDefault="0032375B">
            <w:pPr>
              <w:widowControl/>
              <w:jc w:val="center"/>
              <w:rPr>
                <w:rFonts w:ascii="宋体" w:hAnsi="宋体" w:cs="宋体" w:hint="eastAsia"/>
                <w:kern w:val="0"/>
                <w:sz w:val="18"/>
                <w:szCs w:val="18"/>
              </w:rPr>
            </w:pPr>
          </w:p>
        </w:tc>
      </w:tr>
      <w:tr w:rsidR="0032375B" w14:paraId="4D9B057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069AB46"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0DC44B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5D45FC39"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vAlign w:val="center"/>
          </w:tcPr>
          <w:p w14:paraId="60E9F052" w14:textId="77777777" w:rsidR="0032375B" w:rsidRDefault="00000000">
            <w:pPr>
              <w:jc w:val="center"/>
            </w:pPr>
            <w:r>
              <w:rPr>
                <w:rFonts w:ascii="宋体" w:hAnsi="宋体"/>
                <w:sz w:val="18"/>
              </w:rPr>
              <w:t>289.13</w:t>
            </w:r>
          </w:p>
        </w:tc>
        <w:tc>
          <w:tcPr>
            <w:tcW w:w="2126" w:type="dxa"/>
            <w:tcBorders>
              <w:top w:val="nil"/>
              <w:left w:val="nil"/>
              <w:bottom w:val="single" w:sz="4" w:space="0" w:color="auto"/>
              <w:right w:val="single" w:sz="4" w:space="0" w:color="auto"/>
            </w:tcBorders>
            <w:vAlign w:val="center"/>
          </w:tcPr>
          <w:p w14:paraId="09B55CEC" w14:textId="77777777" w:rsidR="0032375B" w:rsidRDefault="00000000">
            <w:pPr>
              <w:jc w:val="center"/>
            </w:pPr>
            <w:r>
              <w:rPr>
                <w:rFonts w:ascii="宋体" w:hAnsi="宋体"/>
                <w:sz w:val="18"/>
              </w:rPr>
              <w:t>289.13</w:t>
            </w:r>
          </w:p>
        </w:tc>
        <w:tc>
          <w:tcPr>
            <w:tcW w:w="1004" w:type="dxa"/>
            <w:tcBorders>
              <w:top w:val="nil"/>
              <w:left w:val="nil"/>
              <w:bottom w:val="single" w:sz="4" w:space="0" w:color="auto"/>
              <w:right w:val="single" w:sz="4" w:space="0" w:color="auto"/>
            </w:tcBorders>
            <w:vAlign w:val="center"/>
          </w:tcPr>
          <w:p w14:paraId="0DBA8921"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82B5DBA"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2B77EE3"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48BADE6" w14:textId="77777777" w:rsidR="0032375B" w:rsidRDefault="0032375B">
            <w:pPr>
              <w:widowControl/>
              <w:jc w:val="center"/>
              <w:rPr>
                <w:rFonts w:ascii="宋体" w:hAnsi="宋体" w:cs="宋体" w:hint="eastAsia"/>
                <w:kern w:val="0"/>
                <w:sz w:val="18"/>
                <w:szCs w:val="18"/>
              </w:rPr>
            </w:pPr>
          </w:p>
        </w:tc>
      </w:tr>
      <w:tr w:rsidR="0032375B" w14:paraId="5BA0E4F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F2D161F"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FB67B15"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669C839B"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D71CD3E" w14:textId="77777777" w:rsidR="0032375B" w:rsidRDefault="00000000">
            <w:pPr>
              <w:jc w:val="center"/>
            </w:pPr>
            <w:r>
              <w:rPr>
                <w:rFonts w:ascii="宋体" w:hAnsi="宋体"/>
                <w:sz w:val="18"/>
              </w:rPr>
              <w:t>2.74</w:t>
            </w:r>
          </w:p>
        </w:tc>
        <w:tc>
          <w:tcPr>
            <w:tcW w:w="2126" w:type="dxa"/>
            <w:tcBorders>
              <w:top w:val="nil"/>
              <w:left w:val="nil"/>
              <w:bottom w:val="single" w:sz="4" w:space="0" w:color="auto"/>
              <w:right w:val="single" w:sz="4" w:space="0" w:color="auto"/>
            </w:tcBorders>
            <w:vAlign w:val="center"/>
          </w:tcPr>
          <w:p w14:paraId="31DB87A2" w14:textId="77777777" w:rsidR="0032375B" w:rsidRDefault="00000000">
            <w:pPr>
              <w:jc w:val="center"/>
            </w:pPr>
            <w:r>
              <w:rPr>
                <w:rFonts w:ascii="宋体" w:hAnsi="宋体"/>
                <w:sz w:val="18"/>
              </w:rPr>
              <w:t>0.13</w:t>
            </w:r>
          </w:p>
        </w:tc>
        <w:tc>
          <w:tcPr>
            <w:tcW w:w="1004" w:type="dxa"/>
            <w:tcBorders>
              <w:top w:val="nil"/>
              <w:left w:val="nil"/>
              <w:bottom w:val="single" w:sz="4" w:space="0" w:color="auto"/>
              <w:right w:val="single" w:sz="4" w:space="0" w:color="auto"/>
            </w:tcBorders>
            <w:vAlign w:val="center"/>
          </w:tcPr>
          <w:p w14:paraId="4DEF2FF6"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6C0FCF99"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59C1B9E"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0DC39C4" w14:textId="77777777" w:rsidR="0032375B" w:rsidRDefault="0032375B">
            <w:pPr>
              <w:widowControl/>
              <w:jc w:val="center"/>
              <w:rPr>
                <w:rFonts w:ascii="宋体" w:hAnsi="宋体" w:cs="宋体" w:hint="eastAsia"/>
                <w:kern w:val="0"/>
                <w:sz w:val="18"/>
                <w:szCs w:val="18"/>
              </w:rPr>
            </w:pPr>
          </w:p>
        </w:tc>
      </w:tr>
      <w:tr w:rsidR="0032375B" w14:paraId="3E4CC98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67D1D5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8DA85B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024991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5B574707" w14:textId="77777777" w:rsidR="0032375B" w:rsidRDefault="0032375B">
            <w:pPr>
              <w:widowControl/>
              <w:jc w:val="left"/>
              <w:rPr>
                <w:rFonts w:ascii="宋体" w:hAnsi="宋体" w:cs="宋体" w:hint="eastAsia"/>
                <w:b/>
                <w:bCs/>
                <w:kern w:val="0"/>
                <w:sz w:val="18"/>
                <w:szCs w:val="18"/>
              </w:rPr>
            </w:pPr>
          </w:p>
        </w:tc>
      </w:tr>
      <w:tr w:rsidR="0032375B" w14:paraId="52BE92E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2DB7BA3" w14:textId="77777777" w:rsidR="0032375B" w:rsidRDefault="0032375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922D5E9" w14:textId="77777777" w:rsidR="0032375B" w:rsidRDefault="00000000">
            <w:pPr>
              <w:jc w:val="left"/>
            </w:pPr>
            <w:r>
              <w:rPr>
                <w:rFonts w:ascii="宋体" w:hAnsi="宋体"/>
                <w:sz w:val="18"/>
              </w:rPr>
              <w:t>我单位主要工作为：开展医疗机构、学校卫生、生活饮用水、公共场所、企业职业健康卫生的监督检查，查处违法行为；开展卫生计生专项整治;开展母婴保健机构、计划生育技术服务机构的监督检查，依法打击“两非”行为及案件查处工作。加强全区公共卫生监督检查，促进社会稳定发展。</w:t>
            </w:r>
          </w:p>
        </w:tc>
        <w:tc>
          <w:tcPr>
            <w:tcW w:w="4689" w:type="dxa"/>
            <w:gridSpan w:val="4"/>
            <w:tcBorders>
              <w:top w:val="single" w:sz="4" w:space="0" w:color="auto"/>
              <w:left w:val="nil"/>
              <w:bottom w:val="single" w:sz="4" w:space="0" w:color="auto"/>
              <w:right w:val="single" w:sz="4" w:space="0" w:color="auto"/>
            </w:tcBorders>
          </w:tcPr>
          <w:p w14:paraId="2875203E" w14:textId="77777777" w:rsidR="0032375B" w:rsidRDefault="00000000">
            <w:pPr>
              <w:jc w:val="left"/>
            </w:pPr>
            <w:r>
              <w:rPr>
                <w:rFonts w:ascii="宋体" w:hAnsi="宋体"/>
                <w:sz w:val="18"/>
              </w:rPr>
              <w:t>基本支出：工资福利支出：196.09万元；商品和服务支出：87.54万元；对个人和家庭的补助支出：4.13万元；项目支出：公用经费1.5万元。本年度完成绩效目标：生活饮用水监督检查覆盖率100%，医疗机构监督检查覆盖率100%，传染病防治监督检查覆盖率100%；这些指标的完成，保障全区公共卫生场所安全，促进社会稳定发展。</w:t>
            </w:r>
          </w:p>
        </w:tc>
        <w:tc>
          <w:tcPr>
            <w:tcW w:w="284" w:type="dxa"/>
            <w:tcBorders>
              <w:top w:val="nil"/>
              <w:left w:val="nil"/>
              <w:bottom w:val="nil"/>
              <w:right w:val="nil"/>
            </w:tcBorders>
            <w:noWrap/>
            <w:vAlign w:val="center"/>
          </w:tcPr>
          <w:p w14:paraId="3062A0C6" w14:textId="77777777" w:rsidR="0032375B" w:rsidRDefault="0032375B">
            <w:pPr>
              <w:widowControl/>
              <w:jc w:val="left"/>
              <w:rPr>
                <w:rFonts w:ascii="宋体" w:hAnsi="宋体" w:cs="宋体" w:hint="eastAsia"/>
                <w:kern w:val="0"/>
                <w:sz w:val="18"/>
                <w:szCs w:val="18"/>
              </w:rPr>
            </w:pPr>
          </w:p>
        </w:tc>
      </w:tr>
      <w:tr w:rsidR="0032375B" w14:paraId="3F4C2E6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415E8D3"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0791E91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03A86D6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6F7AC66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541AA5D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1D5971D7"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0B711030"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0B86B51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49DD066C" w14:textId="77777777" w:rsidR="0032375B" w:rsidRDefault="0032375B">
            <w:pPr>
              <w:widowControl/>
              <w:jc w:val="left"/>
              <w:rPr>
                <w:rFonts w:ascii="宋体" w:hAnsi="宋体" w:cs="宋体" w:hint="eastAsia"/>
                <w:b/>
                <w:bCs/>
                <w:kern w:val="0"/>
                <w:sz w:val="18"/>
                <w:szCs w:val="18"/>
              </w:rPr>
            </w:pPr>
          </w:p>
        </w:tc>
      </w:tr>
      <w:tr w:rsidR="0032375B" w14:paraId="30309611"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89C3493" w14:textId="77777777" w:rsidR="0032375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B99D679" w14:textId="77777777" w:rsidR="0032375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67C5CF73" w14:textId="77777777" w:rsidR="0032375B" w:rsidRDefault="00000000">
            <w:pPr>
              <w:jc w:val="center"/>
            </w:pPr>
            <w:r>
              <w:rPr>
                <w:rFonts w:ascii="宋体" w:hAnsi="宋体"/>
                <w:sz w:val="18"/>
              </w:rPr>
              <w:t>生活饮用水卫生监督检查覆盖率</w:t>
            </w:r>
          </w:p>
        </w:tc>
        <w:tc>
          <w:tcPr>
            <w:tcW w:w="1134" w:type="dxa"/>
            <w:tcBorders>
              <w:top w:val="nil"/>
              <w:left w:val="nil"/>
              <w:bottom w:val="single" w:sz="4" w:space="0" w:color="auto"/>
              <w:right w:val="single" w:sz="4" w:space="0" w:color="auto"/>
            </w:tcBorders>
            <w:noWrap/>
            <w:vAlign w:val="center"/>
          </w:tcPr>
          <w:p w14:paraId="2AB4536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62F09472"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427BC72F"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19533E3"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3F44ED3"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7E80D9CD" w14:textId="77777777" w:rsidR="0032375B" w:rsidRDefault="0032375B">
            <w:pPr>
              <w:widowControl/>
              <w:jc w:val="center"/>
              <w:rPr>
                <w:rFonts w:ascii="宋体" w:hAnsi="宋体" w:cs="宋体" w:hint="eastAsia"/>
                <w:kern w:val="0"/>
                <w:sz w:val="18"/>
                <w:szCs w:val="18"/>
              </w:rPr>
            </w:pPr>
          </w:p>
        </w:tc>
      </w:tr>
      <w:tr w:rsidR="0032375B" w14:paraId="3959C4D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2F9E91C"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870B654"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70FA894" w14:textId="77777777" w:rsidR="0032375B" w:rsidRDefault="00000000">
            <w:pPr>
              <w:jc w:val="center"/>
            </w:pPr>
            <w:r>
              <w:rPr>
                <w:rFonts w:ascii="宋体" w:hAnsi="宋体"/>
                <w:sz w:val="18"/>
              </w:rPr>
              <w:t>医疗机构监督覆盖率</w:t>
            </w:r>
          </w:p>
        </w:tc>
        <w:tc>
          <w:tcPr>
            <w:tcW w:w="1134" w:type="dxa"/>
            <w:tcBorders>
              <w:top w:val="nil"/>
              <w:left w:val="nil"/>
              <w:bottom w:val="single" w:sz="4" w:space="0" w:color="auto"/>
              <w:right w:val="single" w:sz="4" w:space="0" w:color="auto"/>
            </w:tcBorders>
            <w:noWrap/>
            <w:vAlign w:val="center"/>
          </w:tcPr>
          <w:p w14:paraId="2EC31D7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0E4E470F"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6C08C258"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7149724"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BF70C94"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2FAA7510" w14:textId="77777777" w:rsidR="0032375B" w:rsidRDefault="0032375B">
            <w:pPr>
              <w:widowControl/>
              <w:jc w:val="center"/>
              <w:rPr>
                <w:rFonts w:ascii="宋体" w:hAnsi="宋体" w:cs="宋体" w:hint="eastAsia"/>
                <w:kern w:val="0"/>
                <w:sz w:val="18"/>
                <w:szCs w:val="18"/>
              </w:rPr>
            </w:pPr>
          </w:p>
        </w:tc>
      </w:tr>
      <w:tr w:rsidR="0032375B" w14:paraId="6BB54CA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3E19119"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F8844DF"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9C70237" w14:textId="77777777" w:rsidR="0032375B" w:rsidRDefault="00000000">
            <w:pPr>
              <w:jc w:val="center"/>
            </w:pPr>
            <w:r>
              <w:rPr>
                <w:rFonts w:ascii="宋体" w:hAnsi="宋体"/>
                <w:sz w:val="18"/>
              </w:rPr>
              <w:t>传染病防治监督检查覆盖率</w:t>
            </w:r>
          </w:p>
        </w:tc>
        <w:tc>
          <w:tcPr>
            <w:tcW w:w="1134" w:type="dxa"/>
            <w:tcBorders>
              <w:top w:val="nil"/>
              <w:left w:val="nil"/>
              <w:bottom w:val="single" w:sz="4" w:space="0" w:color="auto"/>
              <w:right w:val="single" w:sz="4" w:space="0" w:color="auto"/>
            </w:tcBorders>
            <w:noWrap/>
            <w:vAlign w:val="center"/>
          </w:tcPr>
          <w:p w14:paraId="12ACE4B4"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0DCE9660"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496B9134"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3EAE57CD"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16B1A21"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44D648D7" w14:textId="77777777" w:rsidR="0032375B" w:rsidRDefault="0032375B">
            <w:pPr>
              <w:widowControl/>
              <w:jc w:val="center"/>
              <w:rPr>
                <w:rFonts w:ascii="宋体" w:hAnsi="宋体" w:cs="宋体" w:hint="eastAsia"/>
                <w:kern w:val="0"/>
                <w:sz w:val="18"/>
                <w:szCs w:val="18"/>
              </w:rPr>
            </w:pPr>
          </w:p>
        </w:tc>
      </w:tr>
      <w:tr w:rsidR="0032375B" w14:paraId="3309A8A8"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54B6A42" w14:textId="77777777" w:rsidR="0032375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59381E8C" w14:textId="77777777" w:rsidR="0032375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58F8C004" w14:textId="77777777" w:rsidR="0032375B" w:rsidRDefault="00000000">
            <w:pPr>
              <w:jc w:val="center"/>
            </w:pPr>
            <w:r>
              <w:rPr>
                <w:rFonts w:ascii="宋体" w:hAnsi="宋体"/>
                <w:sz w:val="18"/>
              </w:rPr>
              <w:t>99.91分</w:t>
            </w:r>
          </w:p>
        </w:tc>
        <w:tc>
          <w:tcPr>
            <w:tcW w:w="284" w:type="dxa"/>
            <w:tcBorders>
              <w:top w:val="nil"/>
              <w:left w:val="nil"/>
              <w:bottom w:val="nil"/>
              <w:right w:val="nil"/>
            </w:tcBorders>
            <w:noWrap/>
            <w:vAlign w:val="center"/>
          </w:tcPr>
          <w:p w14:paraId="59EB4D84" w14:textId="77777777" w:rsidR="0032375B" w:rsidRDefault="0032375B">
            <w:pPr>
              <w:widowControl/>
              <w:jc w:val="left"/>
              <w:rPr>
                <w:rFonts w:ascii="宋体" w:hAnsi="宋体" w:cs="宋体" w:hint="eastAsia"/>
                <w:kern w:val="0"/>
                <w:sz w:val="18"/>
                <w:szCs w:val="18"/>
              </w:rPr>
            </w:pPr>
          </w:p>
        </w:tc>
      </w:tr>
    </w:tbl>
    <w:p w14:paraId="1497F77F" w14:textId="77777777" w:rsidR="0032375B" w:rsidRDefault="0032375B">
      <w:pPr>
        <w:rPr>
          <w:rFonts w:ascii="宋体" w:hAnsi="宋体" w:cs="宋体" w:hint="eastAsia"/>
          <w:b/>
          <w:bCs/>
          <w:kern w:val="0"/>
          <w:sz w:val="18"/>
          <w:szCs w:val="18"/>
        </w:rPr>
      </w:pPr>
    </w:p>
    <w:p w14:paraId="24FE7B09"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1C2CF13"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32375B" w14:paraId="16FDF2A6" w14:textId="77777777">
        <w:trPr>
          <w:trHeight w:val="500"/>
        </w:trPr>
        <w:tc>
          <w:tcPr>
            <w:tcW w:w="1305" w:type="dxa"/>
            <w:gridSpan w:val="2"/>
            <w:vAlign w:val="center"/>
          </w:tcPr>
          <w:p w14:paraId="398EFEB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vAlign w:val="center"/>
          </w:tcPr>
          <w:p w14:paraId="3DCDB0A1" w14:textId="77777777" w:rsidR="0032375B" w:rsidRDefault="00000000">
            <w:pPr>
              <w:jc w:val="center"/>
            </w:pPr>
            <w:r>
              <w:rPr>
                <w:rFonts w:ascii="宋体" w:hAnsi="宋体"/>
                <w:sz w:val="18"/>
              </w:rPr>
              <w:t>乌财社[2023]103号自治区基本公共卫生服务补助资金[直达资金][第二批]</w:t>
            </w:r>
          </w:p>
        </w:tc>
      </w:tr>
      <w:tr w:rsidR="0032375B" w14:paraId="1BF29763" w14:textId="77777777">
        <w:trPr>
          <w:trHeight w:val="500"/>
        </w:trPr>
        <w:tc>
          <w:tcPr>
            <w:tcW w:w="1305" w:type="dxa"/>
            <w:gridSpan w:val="2"/>
            <w:vAlign w:val="center"/>
          </w:tcPr>
          <w:p w14:paraId="27527BD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vAlign w:val="center"/>
          </w:tcPr>
          <w:p w14:paraId="226576B1" w14:textId="77777777" w:rsidR="0032375B" w:rsidRDefault="00000000">
            <w:pPr>
              <w:jc w:val="center"/>
            </w:pPr>
            <w:r>
              <w:rPr>
                <w:rFonts w:ascii="宋体" w:hAnsi="宋体"/>
                <w:sz w:val="18"/>
              </w:rPr>
              <w:t>乌鲁木齐市米东区卫生健康委员会</w:t>
            </w:r>
          </w:p>
        </w:tc>
        <w:tc>
          <w:tcPr>
            <w:tcW w:w="1177" w:type="dxa"/>
            <w:vAlign w:val="center"/>
          </w:tcPr>
          <w:p w14:paraId="298735C0"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vAlign w:val="center"/>
          </w:tcPr>
          <w:p w14:paraId="4325CB3C" w14:textId="77777777" w:rsidR="0032375B" w:rsidRDefault="00000000">
            <w:pPr>
              <w:jc w:val="center"/>
            </w:pPr>
            <w:r>
              <w:rPr>
                <w:rFonts w:ascii="宋体" w:hAnsi="宋体"/>
                <w:sz w:val="18"/>
              </w:rPr>
              <w:t>新疆乌鲁木齐市米东区卫生综合监督执法局</w:t>
            </w:r>
          </w:p>
        </w:tc>
      </w:tr>
      <w:tr w:rsidR="0032375B" w14:paraId="7022F0C7" w14:textId="77777777">
        <w:trPr>
          <w:trHeight w:val="500"/>
        </w:trPr>
        <w:tc>
          <w:tcPr>
            <w:tcW w:w="1305" w:type="dxa"/>
            <w:gridSpan w:val="2"/>
            <w:vMerge w:val="restart"/>
            <w:vAlign w:val="center"/>
          </w:tcPr>
          <w:p w14:paraId="44A67B9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vAlign w:val="center"/>
          </w:tcPr>
          <w:p w14:paraId="41E04CC3" w14:textId="77777777" w:rsidR="0032375B" w:rsidRDefault="0032375B">
            <w:pPr>
              <w:widowControl/>
              <w:jc w:val="center"/>
              <w:rPr>
                <w:rFonts w:ascii="宋体" w:hAnsi="宋体" w:cs="宋体" w:hint="eastAsia"/>
                <w:color w:val="000000"/>
                <w:kern w:val="0"/>
                <w:sz w:val="18"/>
                <w:szCs w:val="18"/>
              </w:rPr>
            </w:pPr>
          </w:p>
        </w:tc>
        <w:tc>
          <w:tcPr>
            <w:tcW w:w="1239" w:type="dxa"/>
            <w:vAlign w:val="center"/>
          </w:tcPr>
          <w:p w14:paraId="54EDA6CF"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vAlign w:val="center"/>
          </w:tcPr>
          <w:p w14:paraId="3C25487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vAlign w:val="center"/>
          </w:tcPr>
          <w:p w14:paraId="7D59BAF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vAlign w:val="center"/>
          </w:tcPr>
          <w:p w14:paraId="7666AFB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vAlign w:val="center"/>
          </w:tcPr>
          <w:p w14:paraId="5C6F971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vAlign w:val="center"/>
          </w:tcPr>
          <w:p w14:paraId="4003E2D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375B" w14:paraId="375E6BAB" w14:textId="77777777">
        <w:trPr>
          <w:trHeight w:val="500"/>
        </w:trPr>
        <w:tc>
          <w:tcPr>
            <w:tcW w:w="1305" w:type="dxa"/>
            <w:gridSpan w:val="2"/>
            <w:vMerge/>
            <w:vAlign w:val="center"/>
          </w:tcPr>
          <w:p w14:paraId="077C00DA"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3B3956BB"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noWrap/>
            <w:vAlign w:val="center"/>
          </w:tcPr>
          <w:p w14:paraId="21C10BDE" w14:textId="77777777" w:rsidR="0032375B" w:rsidRDefault="00000000">
            <w:pPr>
              <w:jc w:val="center"/>
            </w:pPr>
            <w:r>
              <w:rPr>
                <w:rFonts w:ascii="宋体" w:hAnsi="宋体"/>
                <w:sz w:val="18"/>
              </w:rPr>
              <w:t>1.50</w:t>
            </w:r>
          </w:p>
        </w:tc>
        <w:tc>
          <w:tcPr>
            <w:tcW w:w="1177" w:type="dxa"/>
            <w:noWrap/>
            <w:vAlign w:val="center"/>
          </w:tcPr>
          <w:p w14:paraId="05F10584" w14:textId="77777777" w:rsidR="0032375B" w:rsidRDefault="00000000">
            <w:pPr>
              <w:jc w:val="center"/>
            </w:pPr>
            <w:r>
              <w:rPr>
                <w:rFonts w:ascii="宋体" w:hAnsi="宋体"/>
                <w:sz w:val="18"/>
              </w:rPr>
              <w:t>1.50</w:t>
            </w:r>
          </w:p>
        </w:tc>
        <w:tc>
          <w:tcPr>
            <w:tcW w:w="1535" w:type="dxa"/>
            <w:gridSpan w:val="2"/>
            <w:noWrap/>
            <w:vAlign w:val="center"/>
          </w:tcPr>
          <w:p w14:paraId="0A6D3F78" w14:textId="77777777" w:rsidR="0032375B" w:rsidRDefault="00000000">
            <w:pPr>
              <w:jc w:val="center"/>
            </w:pPr>
            <w:r>
              <w:rPr>
                <w:rFonts w:ascii="宋体" w:hAnsi="宋体"/>
                <w:sz w:val="18"/>
              </w:rPr>
              <w:t>1.50</w:t>
            </w:r>
          </w:p>
        </w:tc>
        <w:tc>
          <w:tcPr>
            <w:tcW w:w="689" w:type="dxa"/>
            <w:gridSpan w:val="2"/>
            <w:vAlign w:val="center"/>
          </w:tcPr>
          <w:p w14:paraId="1C28A002" w14:textId="77777777" w:rsidR="0032375B" w:rsidRDefault="00000000">
            <w:pPr>
              <w:jc w:val="center"/>
            </w:pPr>
            <w:r>
              <w:rPr>
                <w:rFonts w:ascii="宋体" w:hAnsi="宋体"/>
                <w:sz w:val="18"/>
              </w:rPr>
              <w:t>10</w:t>
            </w:r>
          </w:p>
        </w:tc>
        <w:tc>
          <w:tcPr>
            <w:tcW w:w="984" w:type="dxa"/>
            <w:gridSpan w:val="2"/>
            <w:vAlign w:val="center"/>
          </w:tcPr>
          <w:p w14:paraId="5D8F3628" w14:textId="77777777" w:rsidR="0032375B" w:rsidRDefault="00000000">
            <w:pPr>
              <w:jc w:val="center"/>
            </w:pPr>
            <w:r>
              <w:rPr>
                <w:rFonts w:ascii="宋体" w:hAnsi="宋体"/>
                <w:sz w:val="18"/>
              </w:rPr>
              <w:t>100.00%</w:t>
            </w:r>
          </w:p>
        </w:tc>
        <w:tc>
          <w:tcPr>
            <w:tcW w:w="1417" w:type="dxa"/>
            <w:vAlign w:val="center"/>
          </w:tcPr>
          <w:p w14:paraId="5A1D76AB" w14:textId="77777777" w:rsidR="0032375B" w:rsidRDefault="00000000">
            <w:pPr>
              <w:jc w:val="center"/>
            </w:pPr>
            <w:r>
              <w:rPr>
                <w:rFonts w:ascii="宋体" w:hAnsi="宋体"/>
                <w:sz w:val="18"/>
              </w:rPr>
              <w:t>10.00分</w:t>
            </w:r>
          </w:p>
        </w:tc>
      </w:tr>
      <w:tr w:rsidR="0032375B" w14:paraId="184A68FB" w14:textId="77777777">
        <w:trPr>
          <w:trHeight w:val="500"/>
        </w:trPr>
        <w:tc>
          <w:tcPr>
            <w:tcW w:w="1305" w:type="dxa"/>
            <w:gridSpan w:val="2"/>
            <w:vMerge/>
            <w:vAlign w:val="center"/>
          </w:tcPr>
          <w:p w14:paraId="3C554807"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2EB9044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noWrap/>
            <w:vAlign w:val="center"/>
          </w:tcPr>
          <w:p w14:paraId="0AE588BC" w14:textId="77777777" w:rsidR="0032375B" w:rsidRDefault="00000000">
            <w:pPr>
              <w:jc w:val="center"/>
            </w:pPr>
            <w:r>
              <w:rPr>
                <w:rFonts w:ascii="宋体" w:hAnsi="宋体"/>
                <w:sz w:val="18"/>
              </w:rPr>
              <w:t>1.50</w:t>
            </w:r>
          </w:p>
        </w:tc>
        <w:tc>
          <w:tcPr>
            <w:tcW w:w="1177" w:type="dxa"/>
            <w:noWrap/>
            <w:vAlign w:val="center"/>
          </w:tcPr>
          <w:p w14:paraId="22BB5A95" w14:textId="77777777" w:rsidR="0032375B" w:rsidRDefault="00000000">
            <w:pPr>
              <w:jc w:val="center"/>
            </w:pPr>
            <w:r>
              <w:rPr>
                <w:rFonts w:ascii="宋体" w:hAnsi="宋体"/>
                <w:sz w:val="18"/>
              </w:rPr>
              <w:t>1.50</w:t>
            </w:r>
          </w:p>
        </w:tc>
        <w:tc>
          <w:tcPr>
            <w:tcW w:w="1535" w:type="dxa"/>
            <w:gridSpan w:val="2"/>
            <w:noWrap/>
            <w:vAlign w:val="center"/>
          </w:tcPr>
          <w:p w14:paraId="088EC825" w14:textId="77777777" w:rsidR="0032375B" w:rsidRDefault="00000000">
            <w:pPr>
              <w:jc w:val="center"/>
            </w:pPr>
            <w:r>
              <w:rPr>
                <w:rFonts w:ascii="宋体" w:hAnsi="宋体"/>
                <w:sz w:val="18"/>
              </w:rPr>
              <w:t>1.50</w:t>
            </w:r>
          </w:p>
        </w:tc>
        <w:tc>
          <w:tcPr>
            <w:tcW w:w="689" w:type="dxa"/>
            <w:gridSpan w:val="2"/>
            <w:vAlign w:val="center"/>
          </w:tcPr>
          <w:p w14:paraId="68A0E7E4"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vAlign w:val="center"/>
          </w:tcPr>
          <w:p w14:paraId="7FECF55C"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vAlign w:val="center"/>
          </w:tcPr>
          <w:p w14:paraId="408DBAF7"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3B8EC911" w14:textId="77777777">
        <w:trPr>
          <w:trHeight w:val="500"/>
        </w:trPr>
        <w:tc>
          <w:tcPr>
            <w:tcW w:w="1305" w:type="dxa"/>
            <w:gridSpan w:val="2"/>
            <w:vMerge/>
            <w:vAlign w:val="center"/>
          </w:tcPr>
          <w:p w14:paraId="79AA1117"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0C5E8A22"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noWrap/>
            <w:vAlign w:val="center"/>
          </w:tcPr>
          <w:p w14:paraId="21E5E7AF" w14:textId="77777777" w:rsidR="0032375B" w:rsidRDefault="00000000">
            <w:pPr>
              <w:jc w:val="center"/>
            </w:pPr>
            <w:r>
              <w:rPr>
                <w:rFonts w:ascii="宋体" w:hAnsi="宋体"/>
                <w:sz w:val="18"/>
              </w:rPr>
              <w:t>0.00</w:t>
            </w:r>
          </w:p>
        </w:tc>
        <w:tc>
          <w:tcPr>
            <w:tcW w:w="1177" w:type="dxa"/>
            <w:noWrap/>
            <w:vAlign w:val="center"/>
          </w:tcPr>
          <w:p w14:paraId="0BF5FA4C" w14:textId="77777777" w:rsidR="0032375B" w:rsidRDefault="00000000">
            <w:pPr>
              <w:jc w:val="center"/>
            </w:pPr>
            <w:r>
              <w:rPr>
                <w:rFonts w:ascii="宋体" w:hAnsi="宋体"/>
                <w:sz w:val="18"/>
              </w:rPr>
              <w:t>0.00</w:t>
            </w:r>
          </w:p>
        </w:tc>
        <w:tc>
          <w:tcPr>
            <w:tcW w:w="1535" w:type="dxa"/>
            <w:gridSpan w:val="2"/>
            <w:noWrap/>
            <w:vAlign w:val="center"/>
          </w:tcPr>
          <w:p w14:paraId="768FE14A" w14:textId="77777777" w:rsidR="0032375B" w:rsidRDefault="00000000">
            <w:pPr>
              <w:jc w:val="center"/>
            </w:pPr>
            <w:r>
              <w:rPr>
                <w:rFonts w:ascii="宋体" w:hAnsi="宋体"/>
                <w:sz w:val="18"/>
              </w:rPr>
              <w:t>0.00</w:t>
            </w:r>
          </w:p>
        </w:tc>
        <w:tc>
          <w:tcPr>
            <w:tcW w:w="689" w:type="dxa"/>
            <w:gridSpan w:val="2"/>
            <w:vAlign w:val="center"/>
          </w:tcPr>
          <w:p w14:paraId="08C2D01E"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vAlign w:val="center"/>
          </w:tcPr>
          <w:p w14:paraId="34B6C8AB"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vAlign w:val="center"/>
          </w:tcPr>
          <w:p w14:paraId="633D23AF"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2E4BF078" w14:textId="77777777">
        <w:trPr>
          <w:trHeight w:val="500"/>
        </w:trPr>
        <w:tc>
          <w:tcPr>
            <w:tcW w:w="598" w:type="dxa"/>
            <w:vMerge w:val="restart"/>
            <w:vAlign w:val="center"/>
          </w:tcPr>
          <w:p w14:paraId="6FC4588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vAlign w:val="center"/>
          </w:tcPr>
          <w:p w14:paraId="5A844A1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vAlign w:val="center"/>
          </w:tcPr>
          <w:p w14:paraId="201A5C1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375B" w14:paraId="24599BB6" w14:textId="77777777">
        <w:trPr>
          <w:trHeight w:val="703"/>
        </w:trPr>
        <w:tc>
          <w:tcPr>
            <w:tcW w:w="598" w:type="dxa"/>
            <w:vMerge/>
            <w:vAlign w:val="center"/>
          </w:tcPr>
          <w:p w14:paraId="3254E6B7" w14:textId="77777777" w:rsidR="0032375B" w:rsidRDefault="0032375B">
            <w:pPr>
              <w:widowControl/>
              <w:jc w:val="left"/>
              <w:rPr>
                <w:rFonts w:ascii="宋体" w:hAnsi="宋体" w:cs="宋体" w:hint="eastAsia"/>
                <w:color w:val="000000"/>
                <w:kern w:val="0"/>
                <w:sz w:val="18"/>
                <w:szCs w:val="18"/>
              </w:rPr>
            </w:pPr>
          </w:p>
        </w:tc>
        <w:tc>
          <w:tcPr>
            <w:tcW w:w="4459" w:type="dxa"/>
            <w:gridSpan w:val="5"/>
          </w:tcPr>
          <w:p w14:paraId="7E23BA04" w14:textId="77777777" w:rsidR="0032375B" w:rsidRDefault="00000000">
            <w:pPr>
              <w:jc w:val="left"/>
            </w:pPr>
            <w:r>
              <w:rPr>
                <w:rFonts w:ascii="宋体" w:hAnsi="宋体"/>
                <w:sz w:val="18"/>
              </w:rPr>
              <w:t>（一）完成学校、公共场所、生活饮用水供水单位等卫生管理及监督监测工作；（二）完成消毒产品和涉及饮用水卫生安全产品生产卫生管理及监督监测工作；</w:t>
            </w:r>
          </w:p>
        </w:tc>
        <w:tc>
          <w:tcPr>
            <w:tcW w:w="4625" w:type="dxa"/>
            <w:gridSpan w:val="7"/>
          </w:tcPr>
          <w:p w14:paraId="3BA42CDB" w14:textId="77777777" w:rsidR="0032375B" w:rsidRDefault="00000000">
            <w:pPr>
              <w:jc w:val="left"/>
            </w:pPr>
            <w:r>
              <w:rPr>
                <w:rFonts w:ascii="宋体" w:hAnsi="宋体"/>
                <w:sz w:val="18"/>
              </w:rPr>
              <w:t>2023年国家“双随机”监督抽检任务涉及公共场所、生活饮用水、放射卫生、妇幼健康、医疗卫生、传染病防治六个专业，监督检查任务有公共场所单位99家、医疗卫生11家、传染病防治9家、妇幼健康3家、放射卫生4家、生活饮用水1家共计6类机构，共抽取被监管单位127家。共完成“双随机”监督抽查工作115家，关闭12家，完成抽检任务34家，监督完成率96.85%。完结率100%。其中对公共场所1家、放射卫生1家下达“警告”的当场处罚,对2家公共场所检测不合格单位进行立案处罚罚款4000元。</w:t>
            </w:r>
          </w:p>
        </w:tc>
      </w:tr>
      <w:tr w:rsidR="0032375B" w14:paraId="4A9488B7" w14:textId="77777777">
        <w:trPr>
          <w:trHeight w:val="312"/>
        </w:trPr>
        <w:tc>
          <w:tcPr>
            <w:tcW w:w="598" w:type="dxa"/>
            <w:vMerge w:val="restart"/>
            <w:vAlign w:val="center"/>
          </w:tcPr>
          <w:p w14:paraId="1CB759E7" w14:textId="77777777" w:rsidR="0032375B" w:rsidRDefault="0032375B">
            <w:pPr>
              <w:widowControl/>
              <w:jc w:val="center"/>
              <w:rPr>
                <w:rFonts w:ascii="宋体" w:hAnsi="宋体" w:cs="宋体" w:hint="eastAsia"/>
                <w:color w:val="000000"/>
                <w:kern w:val="0"/>
                <w:sz w:val="18"/>
                <w:szCs w:val="18"/>
              </w:rPr>
            </w:pPr>
          </w:p>
        </w:tc>
        <w:tc>
          <w:tcPr>
            <w:tcW w:w="707" w:type="dxa"/>
            <w:vMerge w:val="restart"/>
            <w:vAlign w:val="center"/>
          </w:tcPr>
          <w:p w14:paraId="4100C304"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vAlign w:val="center"/>
          </w:tcPr>
          <w:p w14:paraId="554650F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vAlign w:val="center"/>
          </w:tcPr>
          <w:p w14:paraId="059CC56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vAlign w:val="center"/>
          </w:tcPr>
          <w:p w14:paraId="6A4E1107"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vAlign w:val="center"/>
          </w:tcPr>
          <w:p w14:paraId="4FF0291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vAlign w:val="center"/>
          </w:tcPr>
          <w:p w14:paraId="4B6602C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vAlign w:val="center"/>
          </w:tcPr>
          <w:p w14:paraId="2385131D"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vAlign w:val="center"/>
          </w:tcPr>
          <w:p w14:paraId="433B075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375B" w14:paraId="62350CE0" w14:textId="77777777">
        <w:trPr>
          <w:trHeight w:val="345"/>
        </w:trPr>
        <w:tc>
          <w:tcPr>
            <w:tcW w:w="598" w:type="dxa"/>
            <w:vMerge/>
            <w:vAlign w:val="center"/>
          </w:tcPr>
          <w:p w14:paraId="3F4DA999"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2170399C" w14:textId="77777777" w:rsidR="0032375B" w:rsidRDefault="0032375B">
            <w:pPr>
              <w:widowControl/>
              <w:jc w:val="left"/>
              <w:rPr>
                <w:rFonts w:ascii="宋体" w:hAnsi="宋体" w:cs="宋体" w:hint="eastAsia"/>
                <w:color w:val="000000"/>
                <w:kern w:val="0"/>
                <w:sz w:val="18"/>
                <w:szCs w:val="18"/>
              </w:rPr>
            </w:pPr>
          </w:p>
        </w:tc>
        <w:tc>
          <w:tcPr>
            <w:tcW w:w="718" w:type="dxa"/>
            <w:vMerge/>
            <w:vAlign w:val="center"/>
          </w:tcPr>
          <w:p w14:paraId="695EE625" w14:textId="77777777" w:rsidR="0032375B" w:rsidRDefault="0032375B">
            <w:pPr>
              <w:widowControl/>
              <w:jc w:val="left"/>
              <w:rPr>
                <w:rFonts w:ascii="宋体" w:hAnsi="宋体" w:cs="宋体" w:hint="eastAsia"/>
                <w:color w:val="000000"/>
                <w:kern w:val="0"/>
                <w:sz w:val="18"/>
                <w:szCs w:val="18"/>
              </w:rPr>
            </w:pPr>
          </w:p>
        </w:tc>
        <w:tc>
          <w:tcPr>
            <w:tcW w:w="1857" w:type="dxa"/>
            <w:gridSpan w:val="2"/>
            <w:vMerge/>
            <w:vAlign w:val="center"/>
          </w:tcPr>
          <w:p w14:paraId="78AFF66D"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118D9D66"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00DC17D1" w14:textId="77777777" w:rsidR="0032375B" w:rsidRDefault="0032375B">
            <w:pPr>
              <w:widowControl/>
              <w:jc w:val="left"/>
              <w:rPr>
                <w:rFonts w:ascii="宋体" w:hAnsi="宋体" w:cs="宋体" w:hint="eastAsia"/>
                <w:color w:val="000000"/>
                <w:kern w:val="0"/>
                <w:sz w:val="18"/>
                <w:szCs w:val="18"/>
              </w:rPr>
            </w:pPr>
          </w:p>
        </w:tc>
        <w:tc>
          <w:tcPr>
            <w:tcW w:w="707" w:type="dxa"/>
            <w:gridSpan w:val="2"/>
            <w:vMerge/>
            <w:vAlign w:val="center"/>
          </w:tcPr>
          <w:p w14:paraId="168A6487" w14:textId="77777777" w:rsidR="0032375B" w:rsidRDefault="0032375B">
            <w:pPr>
              <w:widowControl/>
              <w:jc w:val="left"/>
              <w:rPr>
                <w:rFonts w:ascii="宋体" w:hAnsi="宋体" w:cs="宋体" w:hint="eastAsia"/>
                <w:color w:val="000000"/>
                <w:kern w:val="0"/>
                <w:sz w:val="18"/>
                <w:szCs w:val="18"/>
              </w:rPr>
            </w:pPr>
          </w:p>
        </w:tc>
        <w:tc>
          <w:tcPr>
            <w:tcW w:w="690" w:type="dxa"/>
            <w:gridSpan w:val="2"/>
            <w:vMerge/>
            <w:vAlign w:val="center"/>
          </w:tcPr>
          <w:p w14:paraId="563F39FA" w14:textId="77777777" w:rsidR="0032375B" w:rsidRDefault="0032375B">
            <w:pPr>
              <w:widowControl/>
              <w:jc w:val="left"/>
              <w:rPr>
                <w:rFonts w:ascii="宋体" w:hAnsi="宋体" w:cs="宋体" w:hint="eastAsia"/>
                <w:color w:val="000000"/>
                <w:kern w:val="0"/>
                <w:sz w:val="18"/>
                <w:szCs w:val="18"/>
              </w:rPr>
            </w:pPr>
          </w:p>
        </w:tc>
        <w:tc>
          <w:tcPr>
            <w:tcW w:w="2051" w:type="dxa"/>
            <w:gridSpan w:val="2"/>
            <w:vMerge/>
            <w:vAlign w:val="center"/>
          </w:tcPr>
          <w:p w14:paraId="52A0143B" w14:textId="77777777" w:rsidR="0032375B" w:rsidRDefault="0032375B">
            <w:pPr>
              <w:widowControl/>
              <w:jc w:val="left"/>
              <w:rPr>
                <w:rFonts w:ascii="宋体" w:hAnsi="宋体" w:cs="宋体" w:hint="eastAsia"/>
                <w:color w:val="000000"/>
                <w:kern w:val="0"/>
                <w:sz w:val="18"/>
                <w:szCs w:val="18"/>
              </w:rPr>
            </w:pPr>
          </w:p>
        </w:tc>
      </w:tr>
      <w:tr w:rsidR="0032375B" w14:paraId="3F35253E" w14:textId="77777777">
        <w:trPr>
          <w:trHeight w:val="600"/>
        </w:trPr>
        <w:tc>
          <w:tcPr>
            <w:tcW w:w="598" w:type="dxa"/>
            <w:vMerge w:val="restart"/>
            <w:vAlign w:val="center"/>
          </w:tcPr>
          <w:p w14:paraId="283BC75E" w14:textId="77777777" w:rsidR="0032375B" w:rsidRDefault="00000000">
            <w:pPr>
              <w:jc w:val="center"/>
            </w:pPr>
            <w:r>
              <w:rPr>
                <w:rFonts w:ascii="宋体" w:hAnsi="宋体"/>
                <w:sz w:val="18"/>
              </w:rPr>
              <w:t>年度绩效指标完成情况</w:t>
            </w:r>
          </w:p>
        </w:tc>
        <w:tc>
          <w:tcPr>
            <w:tcW w:w="707" w:type="dxa"/>
            <w:vMerge w:val="restart"/>
            <w:vAlign w:val="center"/>
          </w:tcPr>
          <w:p w14:paraId="185C1A65" w14:textId="77777777" w:rsidR="0032375B" w:rsidRDefault="00000000">
            <w:pPr>
              <w:jc w:val="center"/>
            </w:pPr>
            <w:r>
              <w:rPr>
                <w:rFonts w:ascii="宋体" w:hAnsi="宋体"/>
                <w:sz w:val="18"/>
              </w:rPr>
              <w:t>产出指标</w:t>
            </w:r>
          </w:p>
        </w:tc>
        <w:tc>
          <w:tcPr>
            <w:tcW w:w="718" w:type="dxa"/>
            <w:vAlign w:val="center"/>
          </w:tcPr>
          <w:p w14:paraId="206D65D7" w14:textId="77777777" w:rsidR="0032375B" w:rsidRDefault="00000000">
            <w:pPr>
              <w:jc w:val="center"/>
            </w:pPr>
            <w:r>
              <w:rPr>
                <w:rFonts w:ascii="宋体" w:hAnsi="宋体"/>
                <w:sz w:val="18"/>
              </w:rPr>
              <w:t>数量指标</w:t>
            </w:r>
          </w:p>
        </w:tc>
        <w:tc>
          <w:tcPr>
            <w:tcW w:w="1857" w:type="dxa"/>
            <w:gridSpan w:val="2"/>
            <w:noWrap/>
            <w:vAlign w:val="center"/>
          </w:tcPr>
          <w:p w14:paraId="1FE8B815" w14:textId="77777777" w:rsidR="0032375B" w:rsidRDefault="00000000">
            <w:pPr>
              <w:jc w:val="center"/>
            </w:pPr>
            <w:r>
              <w:rPr>
                <w:rFonts w:ascii="宋体" w:hAnsi="宋体"/>
                <w:sz w:val="18"/>
              </w:rPr>
              <w:t>抽检户数</w:t>
            </w:r>
          </w:p>
        </w:tc>
        <w:tc>
          <w:tcPr>
            <w:tcW w:w="1177" w:type="dxa"/>
            <w:vAlign w:val="center"/>
          </w:tcPr>
          <w:p w14:paraId="3DEAC257" w14:textId="77777777" w:rsidR="0032375B" w:rsidRDefault="00000000">
            <w:pPr>
              <w:jc w:val="center"/>
            </w:pPr>
            <w:r>
              <w:rPr>
                <w:rFonts w:ascii="宋体" w:hAnsi="宋体"/>
                <w:sz w:val="18"/>
              </w:rPr>
              <w:t>&gt;=12户</w:t>
            </w:r>
          </w:p>
        </w:tc>
        <w:tc>
          <w:tcPr>
            <w:tcW w:w="1177" w:type="dxa"/>
            <w:vAlign w:val="center"/>
          </w:tcPr>
          <w:p w14:paraId="722E4CBC" w14:textId="77777777" w:rsidR="0032375B" w:rsidRDefault="00000000">
            <w:pPr>
              <w:jc w:val="center"/>
            </w:pPr>
            <w:r>
              <w:rPr>
                <w:rFonts w:ascii="宋体" w:hAnsi="宋体"/>
                <w:sz w:val="18"/>
              </w:rPr>
              <w:t>34户</w:t>
            </w:r>
          </w:p>
        </w:tc>
        <w:tc>
          <w:tcPr>
            <w:tcW w:w="707" w:type="dxa"/>
            <w:gridSpan w:val="2"/>
            <w:vAlign w:val="center"/>
          </w:tcPr>
          <w:p w14:paraId="7542ACEC" w14:textId="77777777" w:rsidR="0032375B" w:rsidRDefault="00000000">
            <w:pPr>
              <w:jc w:val="center"/>
            </w:pPr>
            <w:r>
              <w:rPr>
                <w:rFonts w:ascii="宋体" w:hAnsi="宋体"/>
                <w:sz w:val="18"/>
              </w:rPr>
              <w:t>10</w:t>
            </w:r>
          </w:p>
        </w:tc>
        <w:tc>
          <w:tcPr>
            <w:tcW w:w="690" w:type="dxa"/>
            <w:gridSpan w:val="2"/>
            <w:vAlign w:val="center"/>
          </w:tcPr>
          <w:p w14:paraId="19F0D7D7" w14:textId="77777777" w:rsidR="0032375B" w:rsidRDefault="00000000">
            <w:pPr>
              <w:jc w:val="center"/>
            </w:pPr>
            <w:r>
              <w:rPr>
                <w:rFonts w:ascii="宋体" w:hAnsi="宋体"/>
                <w:sz w:val="18"/>
              </w:rPr>
              <w:t>10</w:t>
            </w:r>
          </w:p>
        </w:tc>
        <w:tc>
          <w:tcPr>
            <w:tcW w:w="2051" w:type="dxa"/>
            <w:gridSpan w:val="2"/>
            <w:vAlign w:val="center"/>
          </w:tcPr>
          <w:p w14:paraId="4795218E" w14:textId="77777777" w:rsidR="0032375B" w:rsidRDefault="00000000">
            <w:pPr>
              <w:jc w:val="center"/>
            </w:pPr>
            <w:r>
              <w:rPr>
                <w:rFonts w:ascii="宋体" w:hAnsi="宋体"/>
                <w:sz w:val="18"/>
              </w:rPr>
              <w:t>填写绩效目标表的时候可以确定由第三方检测的户数12户，该项目资金只够付给第三方检测费；另外22户由米东区疾控中心检测。</w:t>
            </w:r>
          </w:p>
        </w:tc>
      </w:tr>
      <w:tr w:rsidR="0032375B" w14:paraId="25F2705D" w14:textId="77777777">
        <w:trPr>
          <w:trHeight w:val="600"/>
        </w:trPr>
        <w:tc>
          <w:tcPr>
            <w:tcW w:w="598" w:type="dxa"/>
            <w:vMerge/>
            <w:vAlign w:val="center"/>
          </w:tcPr>
          <w:p w14:paraId="74E2A17F"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355A8D82" w14:textId="77777777" w:rsidR="0032375B" w:rsidRDefault="0032375B">
            <w:pPr>
              <w:widowControl/>
              <w:jc w:val="center"/>
              <w:rPr>
                <w:rFonts w:ascii="宋体" w:hAnsi="宋体" w:cs="宋体" w:hint="eastAsia"/>
                <w:color w:val="000000"/>
                <w:kern w:val="0"/>
                <w:sz w:val="18"/>
                <w:szCs w:val="18"/>
              </w:rPr>
            </w:pPr>
          </w:p>
        </w:tc>
        <w:tc>
          <w:tcPr>
            <w:tcW w:w="718" w:type="dxa"/>
            <w:vAlign w:val="center"/>
          </w:tcPr>
          <w:p w14:paraId="6DF37E2E" w14:textId="77777777" w:rsidR="0032375B" w:rsidRDefault="00000000">
            <w:pPr>
              <w:jc w:val="center"/>
            </w:pPr>
            <w:r>
              <w:rPr>
                <w:rFonts w:ascii="宋体" w:hAnsi="宋体"/>
                <w:sz w:val="18"/>
              </w:rPr>
              <w:t>质量指标</w:t>
            </w:r>
          </w:p>
        </w:tc>
        <w:tc>
          <w:tcPr>
            <w:tcW w:w="1857" w:type="dxa"/>
            <w:gridSpan w:val="2"/>
            <w:noWrap/>
            <w:vAlign w:val="center"/>
          </w:tcPr>
          <w:p w14:paraId="313C8F44" w14:textId="77777777" w:rsidR="0032375B" w:rsidRDefault="00000000">
            <w:pPr>
              <w:jc w:val="center"/>
            </w:pPr>
            <w:r>
              <w:rPr>
                <w:rFonts w:ascii="宋体" w:hAnsi="宋体"/>
                <w:sz w:val="18"/>
              </w:rPr>
              <w:t>检测完成率</w:t>
            </w:r>
          </w:p>
        </w:tc>
        <w:tc>
          <w:tcPr>
            <w:tcW w:w="1177" w:type="dxa"/>
            <w:vAlign w:val="center"/>
          </w:tcPr>
          <w:p w14:paraId="7B50F48C" w14:textId="77777777" w:rsidR="0032375B" w:rsidRDefault="00000000">
            <w:pPr>
              <w:jc w:val="center"/>
            </w:pPr>
            <w:r>
              <w:rPr>
                <w:rFonts w:ascii="宋体" w:hAnsi="宋体"/>
                <w:sz w:val="18"/>
              </w:rPr>
              <w:t>=100%</w:t>
            </w:r>
          </w:p>
        </w:tc>
        <w:tc>
          <w:tcPr>
            <w:tcW w:w="1177" w:type="dxa"/>
            <w:vAlign w:val="center"/>
          </w:tcPr>
          <w:p w14:paraId="6BC29EAF" w14:textId="77777777" w:rsidR="0032375B" w:rsidRDefault="00000000">
            <w:pPr>
              <w:jc w:val="center"/>
            </w:pPr>
            <w:r>
              <w:rPr>
                <w:rFonts w:ascii="宋体" w:hAnsi="宋体"/>
                <w:sz w:val="18"/>
              </w:rPr>
              <w:t>100%</w:t>
            </w:r>
          </w:p>
        </w:tc>
        <w:tc>
          <w:tcPr>
            <w:tcW w:w="707" w:type="dxa"/>
            <w:gridSpan w:val="2"/>
            <w:vAlign w:val="center"/>
          </w:tcPr>
          <w:p w14:paraId="244E9B48" w14:textId="77777777" w:rsidR="0032375B" w:rsidRDefault="00000000">
            <w:pPr>
              <w:jc w:val="center"/>
            </w:pPr>
            <w:r>
              <w:rPr>
                <w:rFonts w:ascii="宋体" w:hAnsi="宋体"/>
                <w:sz w:val="18"/>
              </w:rPr>
              <w:t>10</w:t>
            </w:r>
          </w:p>
        </w:tc>
        <w:tc>
          <w:tcPr>
            <w:tcW w:w="690" w:type="dxa"/>
            <w:gridSpan w:val="2"/>
            <w:vAlign w:val="center"/>
          </w:tcPr>
          <w:p w14:paraId="76A7EECC" w14:textId="77777777" w:rsidR="0032375B" w:rsidRDefault="00000000">
            <w:pPr>
              <w:jc w:val="center"/>
            </w:pPr>
            <w:r>
              <w:rPr>
                <w:rFonts w:ascii="宋体" w:hAnsi="宋体"/>
                <w:sz w:val="18"/>
              </w:rPr>
              <w:t>10</w:t>
            </w:r>
          </w:p>
        </w:tc>
        <w:tc>
          <w:tcPr>
            <w:tcW w:w="2051" w:type="dxa"/>
            <w:gridSpan w:val="2"/>
            <w:vAlign w:val="center"/>
          </w:tcPr>
          <w:p w14:paraId="2380F98E" w14:textId="77777777" w:rsidR="0032375B" w:rsidRDefault="0032375B">
            <w:pPr>
              <w:jc w:val="center"/>
            </w:pPr>
          </w:p>
        </w:tc>
      </w:tr>
      <w:tr w:rsidR="0032375B" w14:paraId="23BFD56D" w14:textId="77777777">
        <w:trPr>
          <w:trHeight w:val="600"/>
        </w:trPr>
        <w:tc>
          <w:tcPr>
            <w:tcW w:w="598" w:type="dxa"/>
            <w:vMerge/>
            <w:vAlign w:val="center"/>
          </w:tcPr>
          <w:p w14:paraId="60CD66F7"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42F40100" w14:textId="77777777" w:rsidR="0032375B" w:rsidRDefault="0032375B">
            <w:pPr>
              <w:widowControl/>
              <w:jc w:val="center"/>
              <w:rPr>
                <w:rFonts w:ascii="宋体" w:hAnsi="宋体" w:cs="宋体" w:hint="eastAsia"/>
                <w:color w:val="000000"/>
                <w:kern w:val="0"/>
                <w:sz w:val="18"/>
                <w:szCs w:val="18"/>
              </w:rPr>
            </w:pPr>
          </w:p>
        </w:tc>
        <w:tc>
          <w:tcPr>
            <w:tcW w:w="718" w:type="dxa"/>
            <w:vAlign w:val="center"/>
          </w:tcPr>
          <w:p w14:paraId="25D72CBA" w14:textId="77777777" w:rsidR="0032375B" w:rsidRDefault="00000000">
            <w:pPr>
              <w:jc w:val="center"/>
            </w:pPr>
            <w:r>
              <w:rPr>
                <w:rFonts w:ascii="宋体" w:hAnsi="宋体"/>
                <w:sz w:val="18"/>
              </w:rPr>
              <w:t>时效指标</w:t>
            </w:r>
          </w:p>
        </w:tc>
        <w:tc>
          <w:tcPr>
            <w:tcW w:w="1857" w:type="dxa"/>
            <w:gridSpan w:val="2"/>
            <w:noWrap/>
            <w:vAlign w:val="center"/>
          </w:tcPr>
          <w:p w14:paraId="4ADB993C" w14:textId="77777777" w:rsidR="0032375B" w:rsidRDefault="00000000">
            <w:pPr>
              <w:jc w:val="center"/>
            </w:pPr>
            <w:r>
              <w:rPr>
                <w:rFonts w:ascii="宋体" w:hAnsi="宋体"/>
                <w:sz w:val="18"/>
              </w:rPr>
              <w:t>项目完成时间</w:t>
            </w:r>
          </w:p>
        </w:tc>
        <w:tc>
          <w:tcPr>
            <w:tcW w:w="1177" w:type="dxa"/>
            <w:vAlign w:val="center"/>
          </w:tcPr>
          <w:p w14:paraId="65927F71" w14:textId="77777777" w:rsidR="0032375B" w:rsidRDefault="00000000">
            <w:pPr>
              <w:jc w:val="center"/>
            </w:pPr>
            <w:r>
              <w:rPr>
                <w:rFonts w:ascii="宋体" w:hAnsi="宋体"/>
                <w:sz w:val="18"/>
              </w:rPr>
              <w:t>&lt;=5个月</w:t>
            </w:r>
          </w:p>
        </w:tc>
        <w:tc>
          <w:tcPr>
            <w:tcW w:w="1177" w:type="dxa"/>
            <w:vAlign w:val="center"/>
          </w:tcPr>
          <w:p w14:paraId="402FFA6D" w14:textId="77777777" w:rsidR="0032375B" w:rsidRDefault="00000000">
            <w:pPr>
              <w:jc w:val="center"/>
            </w:pPr>
            <w:r>
              <w:rPr>
                <w:rFonts w:ascii="宋体" w:hAnsi="宋体"/>
                <w:sz w:val="18"/>
              </w:rPr>
              <w:t>5个月</w:t>
            </w:r>
          </w:p>
        </w:tc>
        <w:tc>
          <w:tcPr>
            <w:tcW w:w="707" w:type="dxa"/>
            <w:gridSpan w:val="2"/>
            <w:vAlign w:val="center"/>
          </w:tcPr>
          <w:p w14:paraId="0BA7026A" w14:textId="77777777" w:rsidR="0032375B" w:rsidRDefault="00000000">
            <w:pPr>
              <w:jc w:val="center"/>
            </w:pPr>
            <w:r>
              <w:rPr>
                <w:rFonts w:ascii="宋体" w:hAnsi="宋体"/>
                <w:sz w:val="18"/>
              </w:rPr>
              <w:t>20</w:t>
            </w:r>
          </w:p>
        </w:tc>
        <w:tc>
          <w:tcPr>
            <w:tcW w:w="690" w:type="dxa"/>
            <w:gridSpan w:val="2"/>
            <w:vAlign w:val="center"/>
          </w:tcPr>
          <w:p w14:paraId="211455AE" w14:textId="77777777" w:rsidR="0032375B" w:rsidRDefault="00000000">
            <w:pPr>
              <w:jc w:val="center"/>
            </w:pPr>
            <w:r>
              <w:rPr>
                <w:rFonts w:ascii="宋体" w:hAnsi="宋体"/>
                <w:sz w:val="18"/>
              </w:rPr>
              <w:t>20</w:t>
            </w:r>
          </w:p>
        </w:tc>
        <w:tc>
          <w:tcPr>
            <w:tcW w:w="2051" w:type="dxa"/>
            <w:gridSpan w:val="2"/>
            <w:vAlign w:val="center"/>
          </w:tcPr>
          <w:p w14:paraId="2427BE64" w14:textId="77777777" w:rsidR="0032375B" w:rsidRDefault="0032375B">
            <w:pPr>
              <w:jc w:val="center"/>
            </w:pPr>
          </w:p>
        </w:tc>
      </w:tr>
      <w:tr w:rsidR="0032375B" w14:paraId="445ED92A" w14:textId="77777777">
        <w:trPr>
          <w:trHeight w:val="600"/>
        </w:trPr>
        <w:tc>
          <w:tcPr>
            <w:tcW w:w="598" w:type="dxa"/>
            <w:vMerge/>
            <w:vAlign w:val="center"/>
          </w:tcPr>
          <w:p w14:paraId="116B7AEF" w14:textId="77777777" w:rsidR="0032375B" w:rsidRDefault="0032375B">
            <w:pPr>
              <w:widowControl/>
              <w:jc w:val="left"/>
              <w:rPr>
                <w:rFonts w:ascii="宋体" w:hAnsi="宋体" w:cs="宋体" w:hint="eastAsia"/>
                <w:color w:val="000000"/>
                <w:kern w:val="0"/>
                <w:sz w:val="18"/>
                <w:szCs w:val="18"/>
              </w:rPr>
            </w:pPr>
          </w:p>
        </w:tc>
        <w:tc>
          <w:tcPr>
            <w:tcW w:w="707" w:type="dxa"/>
            <w:vAlign w:val="center"/>
          </w:tcPr>
          <w:p w14:paraId="6357EF79" w14:textId="77777777" w:rsidR="0032375B" w:rsidRDefault="00000000">
            <w:pPr>
              <w:jc w:val="center"/>
            </w:pPr>
            <w:r>
              <w:rPr>
                <w:rFonts w:ascii="宋体" w:hAnsi="宋体"/>
                <w:sz w:val="18"/>
              </w:rPr>
              <w:t>成本指标</w:t>
            </w:r>
          </w:p>
        </w:tc>
        <w:tc>
          <w:tcPr>
            <w:tcW w:w="718" w:type="dxa"/>
            <w:vAlign w:val="center"/>
          </w:tcPr>
          <w:p w14:paraId="3F8AEE31" w14:textId="77777777" w:rsidR="0032375B" w:rsidRDefault="00000000">
            <w:pPr>
              <w:jc w:val="center"/>
            </w:pPr>
            <w:r>
              <w:rPr>
                <w:rFonts w:ascii="宋体" w:hAnsi="宋体"/>
                <w:sz w:val="18"/>
              </w:rPr>
              <w:t>经济成本指标</w:t>
            </w:r>
          </w:p>
        </w:tc>
        <w:tc>
          <w:tcPr>
            <w:tcW w:w="1857" w:type="dxa"/>
            <w:gridSpan w:val="2"/>
            <w:noWrap/>
            <w:vAlign w:val="center"/>
          </w:tcPr>
          <w:p w14:paraId="4FE0A398" w14:textId="77777777" w:rsidR="0032375B" w:rsidRDefault="00000000">
            <w:pPr>
              <w:jc w:val="center"/>
            </w:pPr>
            <w:r>
              <w:rPr>
                <w:rFonts w:ascii="宋体" w:hAnsi="宋体"/>
                <w:sz w:val="18"/>
              </w:rPr>
              <w:t>项目预算控制率</w:t>
            </w:r>
          </w:p>
        </w:tc>
        <w:tc>
          <w:tcPr>
            <w:tcW w:w="1177" w:type="dxa"/>
            <w:vAlign w:val="center"/>
          </w:tcPr>
          <w:p w14:paraId="77F0D73B" w14:textId="77777777" w:rsidR="0032375B" w:rsidRDefault="00000000">
            <w:pPr>
              <w:jc w:val="center"/>
            </w:pPr>
            <w:r>
              <w:rPr>
                <w:rFonts w:ascii="宋体" w:hAnsi="宋体"/>
                <w:sz w:val="18"/>
              </w:rPr>
              <w:t>&lt;=100%</w:t>
            </w:r>
          </w:p>
        </w:tc>
        <w:tc>
          <w:tcPr>
            <w:tcW w:w="1177" w:type="dxa"/>
            <w:vAlign w:val="center"/>
          </w:tcPr>
          <w:p w14:paraId="6D7DEA8B" w14:textId="77777777" w:rsidR="0032375B" w:rsidRDefault="00000000">
            <w:pPr>
              <w:jc w:val="center"/>
            </w:pPr>
            <w:r>
              <w:rPr>
                <w:rFonts w:ascii="宋体" w:hAnsi="宋体"/>
                <w:sz w:val="18"/>
              </w:rPr>
              <w:t>100%</w:t>
            </w:r>
          </w:p>
        </w:tc>
        <w:tc>
          <w:tcPr>
            <w:tcW w:w="707" w:type="dxa"/>
            <w:gridSpan w:val="2"/>
            <w:vAlign w:val="center"/>
          </w:tcPr>
          <w:p w14:paraId="129BB6EF" w14:textId="77777777" w:rsidR="0032375B" w:rsidRDefault="00000000">
            <w:pPr>
              <w:jc w:val="center"/>
            </w:pPr>
            <w:r>
              <w:rPr>
                <w:rFonts w:ascii="宋体" w:hAnsi="宋体"/>
                <w:sz w:val="18"/>
              </w:rPr>
              <w:t>20</w:t>
            </w:r>
          </w:p>
        </w:tc>
        <w:tc>
          <w:tcPr>
            <w:tcW w:w="690" w:type="dxa"/>
            <w:gridSpan w:val="2"/>
            <w:vAlign w:val="center"/>
          </w:tcPr>
          <w:p w14:paraId="7AC5999B" w14:textId="77777777" w:rsidR="0032375B" w:rsidRDefault="00000000">
            <w:pPr>
              <w:jc w:val="center"/>
            </w:pPr>
            <w:r>
              <w:rPr>
                <w:rFonts w:ascii="宋体" w:hAnsi="宋体"/>
                <w:sz w:val="18"/>
              </w:rPr>
              <w:t>20</w:t>
            </w:r>
          </w:p>
        </w:tc>
        <w:tc>
          <w:tcPr>
            <w:tcW w:w="2051" w:type="dxa"/>
            <w:gridSpan w:val="2"/>
            <w:vAlign w:val="center"/>
          </w:tcPr>
          <w:p w14:paraId="09A2C4A6" w14:textId="77777777" w:rsidR="0032375B" w:rsidRDefault="0032375B">
            <w:pPr>
              <w:jc w:val="center"/>
            </w:pPr>
          </w:p>
        </w:tc>
      </w:tr>
      <w:tr w:rsidR="0032375B" w14:paraId="7FBB0D7E" w14:textId="77777777">
        <w:trPr>
          <w:trHeight w:val="600"/>
        </w:trPr>
        <w:tc>
          <w:tcPr>
            <w:tcW w:w="598" w:type="dxa"/>
            <w:vMerge/>
            <w:vAlign w:val="center"/>
          </w:tcPr>
          <w:p w14:paraId="05BDF754" w14:textId="77777777" w:rsidR="0032375B" w:rsidRDefault="0032375B">
            <w:pPr>
              <w:widowControl/>
              <w:jc w:val="left"/>
              <w:rPr>
                <w:rFonts w:ascii="宋体" w:hAnsi="宋体" w:cs="宋体" w:hint="eastAsia"/>
                <w:color w:val="000000"/>
                <w:kern w:val="0"/>
                <w:sz w:val="18"/>
                <w:szCs w:val="18"/>
              </w:rPr>
            </w:pPr>
          </w:p>
        </w:tc>
        <w:tc>
          <w:tcPr>
            <w:tcW w:w="707" w:type="dxa"/>
            <w:vMerge w:val="restart"/>
            <w:vAlign w:val="center"/>
          </w:tcPr>
          <w:p w14:paraId="63C60789" w14:textId="77777777" w:rsidR="0032375B" w:rsidRDefault="00000000">
            <w:pPr>
              <w:jc w:val="center"/>
            </w:pPr>
            <w:r>
              <w:rPr>
                <w:rFonts w:ascii="宋体" w:hAnsi="宋体"/>
                <w:sz w:val="18"/>
              </w:rPr>
              <w:t>效益指标</w:t>
            </w:r>
          </w:p>
        </w:tc>
        <w:tc>
          <w:tcPr>
            <w:tcW w:w="718" w:type="dxa"/>
            <w:vMerge w:val="restart"/>
            <w:vAlign w:val="center"/>
          </w:tcPr>
          <w:p w14:paraId="3F1C118C" w14:textId="77777777" w:rsidR="0032375B" w:rsidRDefault="00000000">
            <w:pPr>
              <w:jc w:val="center"/>
            </w:pPr>
            <w:r>
              <w:rPr>
                <w:rFonts w:ascii="宋体" w:hAnsi="宋体"/>
                <w:sz w:val="18"/>
              </w:rPr>
              <w:t>社会效益指标</w:t>
            </w:r>
          </w:p>
        </w:tc>
        <w:tc>
          <w:tcPr>
            <w:tcW w:w="1857" w:type="dxa"/>
            <w:gridSpan w:val="2"/>
            <w:noWrap/>
            <w:vAlign w:val="center"/>
          </w:tcPr>
          <w:p w14:paraId="32DA0E96" w14:textId="77777777" w:rsidR="0032375B" w:rsidRDefault="00000000">
            <w:pPr>
              <w:jc w:val="center"/>
            </w:pPr>
            <w:r>
              <w:rPr>
                <w:rFonts w:ascii="宋体" w:hAnsi="宋体"/>
                <w:sz w:val="18"/>
              </w:rPr>
              <w:t>保障社会稳定</w:t>
            </w:r>
          </w:p>
        </w:tc>
        <w:tc>
          <w:tcPr>
            <w:tcW w:w="1177" w:type="dxa"/>
            <w:vAlign w:val="center"/>
          </w:tcPr>
          <w:p w14:paraId="726E6B74" w14:textId="77777777" w:rsidR="0032375B" w:rsidRDefault="00000000">
            <w:pPr>
              <w:jc w:val="center"/>
            </w:pPr>
            <w:r>
              <w:rPr>
                <w:rFonts w:ascii="宋体" w:hAnsi="宋体"/>
                <w:sz w:val="18"/>
              </w:rPr>
              <w:t>有效保障</w:t>
            </w:r>
          </w:p>
        </w:tc>
        <w:tc>
          <w:tcPr>
            <w:tcW w:w="1177" w:type="dxa"/>
            <w:vAlign w:val="center"/>
          </w:tcPr>
          <w:p w14:paraId="111D2E9D" w14:textId="77777777" w:rsidR="0032375B" w:rsidRDefault="00000000">
            <w:pPr>
              <w:jc w:val="center"/>
            </w:pPr>
            <w:r>
              <w:rPr>
                <w:rFonts w:ascii="宋体" w:hAnsi="宋体"/>
                <w:sz w:val="18"/>
              </w:rPr>
              <w:t>完全达到预期效果</w:t>
            </w:r>
          </w:p>
        </w:tc>
        <w:tc>
          <w:tcPr>
            <w:tcW w:w="707" w:type="dxa"/>
            <w:gridSpan w:val="2"/>
            <w:vAlign w:val="center"/>
          </w:tcPr>
          <w:p w14:paraId="2791FF0C" w14:textId="77777777" w:rsidR="0032375B" w:rsidRDefault="00000000">
            <w:pPr>
              <w:jc w:val="center"/>
            </w:pPr>
            <w:r>
              <w:rPr>
                <w:rFonts w:ascii="宋体" w:hAnsi="宋体"/>
                <w:sz w:val="18"/>
              </w:rPr>
              <w:t>10</w:t>
            </w:r>
          </w:p>
        </w:tc>
        <w:tc>
          <w:tcPr>
            <w:tcW w:w="690" w:type="dxa"/>
            <w:gridSpan w:val="2"/>
            <w:vAlign w:val="center"/>
          </w:tcPr>
          <w:p w14:paraId="26F24A2D" w14:textId="77777777" w:rsidR="0032375B" w:rsidRDefault="00000000">
            <w:pPr>
              <w:jc w:val="center"/>
            </w:pPr>
            <w:r>
              <w:rPr>
                <w:rFonts w:ascii="宋体" w:hAnsi="宋体"/>
                <w:sz w:val="18"/>
              </w:rPr>
              <w:t>10</w:t>
            </w:r>
          </w:p>
        </w:tc>
        <w:tc>
          <w:tcPr>
            <w:tcW w:w="2051" w:type="dxa"/>
            <w:gridSpan w:val="2"/>
            <w:vAlign w:val="center"/>
          </w:tcPr>
          <w:p w14:paraId="38145985" w14:textId="77777777" w:rsidR="0032375B" w:rsidRDefault="0032375B">
            <w:pPr>
              <w:jc w:val="center"/>
            </w:pPr>
          </w:p>
        </w:tc>
      </w:tr>
      <w:tr w:rsidR="0032375B" w14:paraId="5C4073C1" w14:textId="77777777">
        <w:trPr>
          <w:trHeight w:val="600"/>
        </w:trPr>
        <w:tc>
          <w:tcPr>
            <w:tcW w:w="598" w:type="dxa"/>
            <w:vMerge/>
            <w:vAlign w:val="center"/>
          </w:tcPr>
          <w:p w14:paraId="4601943B"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45A08635" w14:textId="77777777" w:rsidR="0032375B" w:rsidRDefault="0032375B">
            <w:pPr>
              <w:widowControl/>
              <w:jc w:val="center"/>
              <w:rPr>
                <w:rFonts w:ascii="宋体" w:hAnsi="宋体" w:cs="宋体" w:hint="eastAsia"/>
                <w:color w:val="000000"/>
                <w:kern w:val="0"/>
                <w:sz w:val="18"/>
                <w:szCs w:val="18"/>
              </w:rPr>
            </w:pPr>
          </w:p>
        </w:tc>
        <w:tc>
          <w:tcPr>
            <w:tcW w:w="718" w:type="dxa"/>
            <w:vMerge/>
            <w:vAlign w:val="center"/>
          </w:tcPr>
          <w:p w14:paraId="3A4972E0" w14:textId="77777777" w:rsidR="0032375B" w:rsidRDefault="0032375B">
            <w:pPr>
              <w:widowControl/>
              <w:jc w:val="center"/>
              <w:rPr>
                <w:rFonts w:ascii="宋体" w:hAnsi="宋体" w:cs="宋体" w:hint="eastAsia"/>
                <w:color w:val="000000"/>
                <w:kern w:val="0"/>
                <w:sz w:val="18"/>
                <w:szCs w:val="18"/>
              </w:rPr>
            </w:pPr>
          </w:p>
        </w:tc>
        <w:tc>
          <w:tcPr>
            <w:tcW w:w="1857" w:type="dxa"/>
            <w:gridSpan w:val="2"/>
            <w:noWrap/>
            <w:vAlign w:val="center"/>
          </w:tcPr>
          <w:p w14:paraId="2EC8CA20" w14:textId="77777777" w:rsidR="0032375B" w:rsidRDefault="00000000">
            <w:pPr>
              <w:jc w:val="center"/>
            </w:pPr>
            <w:r>
              <w:rPr>
                <w:rFonts w:ascii="宋体" w:hAnsi="宋体"/>
                <w:sz w:val="18"/>
              </w:rPr>
              <w:t>保障全区公共场所卫生安全</w:t>
            </w:r>
          </w:p>
        </w:tc>
        <w:tc>
          <w:tcPr>
            <w:tcW w:w="1177" w:type="dxa"/>
            <w:vAlign w:val="center"/>
          </w:tcPr>
          <w:p w14:paraId="67FF03CA" w14:textId="77777777" w:rsidR="0032375B" w:rsidRDefault="00000000">
            <w:pPr>
              <w:jc w:val="center"/>
            </w:pPr>
            <w:r>
              <w:rPr>
                <w:rFonts w:ascii="宋体" w:hAnsi="宋体"/>
                <w:sz w:val="18"/>
              </w:rPr>
              <w:t>有效保障</w:t>
            </w:r>
          </w:p>
        </w:tc>
        <w:tc>
          <w:tcPr>
            <w:tcW w:w="1177" w:type="dxa"/>
            <w:vAlign w:val="center"/>
          </w:tcPr>
          <w:p w14:paraId="3D41583D" w14:textId="77777777" w:rsidR="0032375B" w:rsidRDefault="00000000">
            <w:pPr>
              <w:jc w:val="center"/>
            </w:pPr>
            <w:r>
              <w:rPr>
                <w:rFonts w:ascii="宋体" w:hAnsi="宋体"/>
                <w:sz w:val="18"/>
              </w:rPr>
              <w:t>完全达到预期效果</w:t>
            </w:r>
          </w:p>
        </w:tc>
        <w:tc>
          <w:tcPr>
            <w:tcW w:w="707" w:type="dxa"/>
            <w:gridSpan w:val="2"/>
            <w:vAlign w:val="center"/>
          </w:tcPr>
          <w:p w14:paraId="0EE2FFAB" w14:textId="77777777" w:rsidR="0032375B" w:rsidRDefault="00000000">
            <w:pPr>
              <w:jc w:val="center"/>
            </w:pPr>
            <w:r>
              <w:rPr>
                <w:rFonts w:ascii="宋体" w:hAnsi="宋体"/>
                <w:sz w:val="18"/>
              </w:rPr>
              <w:t>10</w:t>
            </w:r>
          </w:p>
        </w:tc>
        <w:tc>
          <w:tcPr>
            <w:tcW w:w="690" w:type="dxa"/>
            <w:gridSpan w:val="2"/>
            <w:vAlign w:val="center"/>
          </w:tcPr>
          <w:p w14:paraId="3576FEFD" w14:textId="77777777" w:rsidR="0032375B" w:rsidRDefault="00000000">
            <w:pPr>
              <w:jc w:val="center"/>
            </w:pPr>
            <w:r>
              <w:rPr>
                <w:rFonts w:ascii="宋体" w:hAnsi="宋体"/>
                <w:sz w:val="18"/>
              </w:rPr>
              <w:t>10</w:t>
            </w:r>
          </w:p>
        </w:tc>
        <w:tc>
          <w:tcPr>
            <w:tcW w:w="2051" w:type="dxa"/>
            <w:gridSpan w:val="2"/>
            <w:vAlign w:val="center"/>
          </w:tcPr>
          <w:p w14:paraId="31210EC5" w14:textId="77777777" w:rsidR="0032375B" w:rsidRDefault="0032375B">
            <w:pPr>
              <w:jc w:val="center"/>
            </w:pPr>
          </w:p>
        </w:tc>
      </w:tr>
      <w:tr w:rsidR="0032375B" w14:paraId="5D9A5869" w14:textId="77777777">
        <w:trPr>
          <w:trHeight w:val="600"/>
        </w:trPr>
        <w:tc>
          <w:tcPr>
            <w:tcW w:w="598" w:type="dxa"/>
            <w:vMerge/>
            <w:vAlign w:val="center"/>
          </w:tcPr>
          <w:p w14:paraId="2FA5AB4D" w14:textId="77777777" w:rsidR="0032375B" w:rsidRDefault="0032375B">
            <w:pPr>
              <w:widowControl/>
              <w:jc w:val="left"/>
              <w:rPr>
                <w:rFonts w:ascii="宋体" w:hAnsi="宋体" w:cs="宋体" w:hint="eastAsia"/>
                <w:color w:val="000000"/>
                <w:kern w:val="0"/>
                <w:sz w:val="18"/>
                <w:szCs w:val="18"/>
              </w:rPr>
            </w:pPr>
          </w:p>
        </w:tc>
        <w:tc>
          <w:tcPr>
            <w:tcW w:w="707" w:type="dxa"/>
            <w:vAlign w:val="center"/>
          </w:tcPr>
          <w:p w14:paraId="01A969F1" w14:textId="77777777" w:rsidR="0032375B" w:rsidRDefault="00000000">
            <w:pPr>
              <w:jc w:val="center"/>
            </w:pPr>
            <w:r>
              <w:rPr>
                <w:rFonts w:ascii="宋体" w:hAnsi="宋体"/>
                <w:sz w:val="18"/>
              </w:rPr>
              <w:t>满意度指标</w:t>
            </w:r>
          </w:p>
        </w:tc>
        <w:tc>
          <w:tcPr>
            <w:tcW w:w="718" w:type="dxa"/>
            <w:vAlign w:val="center"/>
          </w:tcPr>
          <w:p w14:paraId="5B51E22B" w14:textId="77777777" w:rsidR="0032375B" w:rsidRDefault="00000000">
            <w:pPr>
              <w:jc w:val="center"/>
            </w:pPr>
            <w:r>
              <w:rPr>
                <w:rFonts w:ascii="宋体" w:hAnsi="宋体"/>
                <w:sz w:val="18"/>
              </w:rPr>
              <w:t>满意度指标</w:t>
            </w:r>
          </w:p>
        </w:tc>
        <w:tc>
          <w:tcPr>
            <w:tcW w:w="1857" w:type="dxa"/>
            <w:gridSpan w:val="2"/>
            <w:noWrap/>
            <w:vAlign w:val="center"/>
          </w:tcPr>
          <w:p w14:paraId="6F5E7E7C" w14:textId="77777777" w:rsidR="0032375B" w:rsidRDefault="00000000">
            <w:pPr>
              <w:jc w:val="center"/>
            </w:pPr>
            <w:r>
              <w:rPr>
                <w:rFonts w:ascii="宋体" w:hAnsi="宋体"/>
                <w:sz w:val="18"/>
              </w:rPr>
              <w:t>服务满意度</w:t>
            </w:r>
          </w:p>
        </w:tc>
        <w:tc>
          <w:tcPr>
            <w:tcW w:w="1177" w:type="dxa"/>
            <w:vAlign w:val="center"/>
          </w:tcPr>
          <w:p w14:paraId="172751D0" w14:textId="77777777" w:rsidR="0032375B" w:rsidRDefault="00000000">
            <w:pPr>
              <w:jc w:val="center"/>
            </w:pPr>
            <w:r>
              <w:rPr>
                <w:rFonts w:ascii="宋体" w:hAnsi="宋体"/>
                <w:sz w:val="18"/>
              </w:rPr>
              <w:t>&gt;=90%</w:t>
            </w:r>
          </w:p>
        </w:tc>
        <w:tc>
          <w:tcPr>
            <w:tcW w:w="1177" w:type="dxa"/>
            <w:vAlign w:val="center"/>
          </w:tcPr>
          <w:p w14:paraId="5A7A484A" w14:textId="77777777" w:rsidR="0032375B" w:rsidRDefault="00000000">
            <w:pPr>
              <w:jc w:val="center"/>
            </w:pPr>
            <w:r>
              <w:rPr>
                <w:rFonts w:ascii="宋体" w:hAnsi="宋体"/>
                <w:sz w:val="18"/>
              </w:rPr>
              <w:t>90%</w:t>
            </w:r>
          </w:p>
        </w:tc>
        <w:tc>
          <w:tcPr>
            <w:tcW w:w="707" w:type="dxa"/>
            <w:gridSpan w:val="2"/>
            <w:vAlign w:val="center"/>
          </w:tcPr>
          <w:p w14:paraId="203433C6" w14:textId="77777777" w:rsidR="0032375B" w:rsidRDefault="00000000">
            <w:pPr>
              <w:jc w:val="center"/>
            </w:pPr>
            <w:r>
              <w:rPr>
                <w:rFonts w:ascii="宋体" w:hAnsi="宋体"/>
                <w:sz w:val="18"/>
              </w:rPr>
              <w:t>10</w:t>
            </w:r>
          </w:p>
        </w:tc>
        <w:tc>
          <w:tcPr>
            <w:tcW w:w="690" w:type="dxa"/>
            <w:gridSpan w:val="2"/>
            <w:vAlign w:val="center"/>
          </w:tcPr>
          <w:p w14:paraId="0DB2F432" w14:textId="77777777" w:rsidR="0032375B" w:rsidRDefault="00000000">
            <w:pPr>
              <w:jc w:val="center"/>
            </w:pPr>
            <w:r>
              <w:rPr>
                <w:rFonts w:ascii="宋体" w:hAnsi="宋体"/>
                <w:sz w:val="18"/>
              </w:rPr>
              <w:t>10</w:t>
            </w:r>
          </w:p>
        </w:tc>
        <w:tc>
          <w:tcPr>
            <w:tcW w:w="2051" w:type="dxa"/>
            <w:gridSpan w:val="2"/>
            <w:vAlign w:val="center"/>
          </w:tcPr>
          <w:p w14:paraId="254EDDA9" w14:textId="77777777" w:rsidR="0032375B" w:rsidRDefault="0032375B">
            <w:pPr>
              <w:jc w:val="center"/>
            </w:pPr>
          </w:p>
        </w:tc>
      </w:tr>
      <w:tr w:rsidR="0032375B" w14:paraId="7DFB75DC" w14:textId="77777777">
        <w:trPr>
          <w:trHeight w:val="500"/>
        </w:trPr>
        <w:tc>
          <w:tcPr>
            <w:tcW w:w="6234" w:type="dxa"/>
            <w:gridSpan w:val="7"/>
            <w:vAlign w:val="center"/>
          </w:tcPr>
          <w:p w14:paraId="053EA0F2" w14:textId="77777777" w:rsidR="0032375B" w:rsidRDefault="00000000">
            <w:pPr>
              <w:jc w:val="center"/>
            </w:pPr>
            <w:r>
              <w:rPr>
                <w:rFonts w:ascii="宋体" w:hAnsi="宋体"/>
                <w:sz w:val="18"/>
              </w:rPr>
              <w:t>总分</w:t>
            </w:r>
          </w:p>
        </w:tc>
        <w:tc>
          <w:tcPr>
            <w:tcW w:w="707" w:type="dxa"/>
            <w:gridSpan w:val="2"/>
            <w:vAlign w:val="center"/>
          </w:tcPr>
          <w:p w14:paraId="4EB10D80" w14:textId="77777777" w:rsidR="0032375B" w:rsidRDefault="00000000">
            <w:pPr>
              <w:jc w:val="center"/>
            </w:pPr>
            <w:r>
              <w:rPr>
                <w:rFonts w:ascii="宋体" w:hAnsi="宋体"/>
                <w:sz w:val="18"/>
              </w:rPr>
              <w:t>100</w:t>
            </w:r>
          </w:p>
        </w:tc>
        <w:tc>
          <w:tcPr>
            <w:tcW w:w="690" w:type="dxa"/>
            <w:gridSpan w:val="2"/>
            <w:vAlign w:val="center"/>
          </w:tcPr>
          <w:p w14:paraId="795FBA11" w14:textId="77777777" w:rsidR="0032375B" w:rsidRDefault="00000000">
            <w:pPr>
              <w:jc w:val="center"/>
            </w:pPr>
            <w:r>
              <w:rPr>
                <w:rFonts w:ascii="宋体" w:hAnsi="宋体"/>
                <w:sz w:val="18"/>
              </w:rPr>
              <w:t>100.00分</w:t>
            </w:r>
          </w:p>
        </w:tc>
        <w:tc>
          <w:tcPr>
            <w:tcW w:w="2051" w:type="dxa"/>
            <w:gridSpan w:val="2"/>
            <w:vAlign w:val="center"/>
          </w:tcPr>
          <w:p w14:paraId="687224D2" w14:textId="77777777" w:rsidR="0032375B" w:rsidRDefault="0032375B">
            <w:pPr>
              <w:jc w:val="center"/>
            </w:pPr>
          </w:p>
        </w:tc>
      </w:tr>
    </w:tbl>
    <w:p w14:paraId="32E57681" w14:textId="77777777" w:rsidR="0032375B" w:rsidRDefault="0032375B">
      <w:pPr>
        <w:jc w:val="left"/>
        <w:rPr>
          <w:rFonts w:ascii="宋体" w:hAnsi="宋体" w:cs="宋体" w:hint="eastAsia"/>
          <w:b/>
          <w:bCs/>
          <w:kern w:val="0"/>
          <w:sz w:val="18"/>
          <w:szCs w:val="18"/>
        </w:rPr>
      </w:pPr>
    </w:p>
    <w:p w14:paraId="27FFF6D3" w14:textId="77777777" w:rsidR="0032375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1ACCCD4" w14:textId="77777777" w:rsidR="0032375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w:t>
      </w:r>
      <w:r>
        <w:rPr>
          <w:rFonts w:ascii="仿宋_GB2312" w:eastAsia="仿宋_GB2312" w:hAnsi="仿宋_GB2312" w:cs="仿宋_GB2312" w:hint="eastAsia"/>
          <w:kern w:val="0"/>
          <w:sz w:val="32"/>
          <w:szCs w:val="32"/>
        </w:rPr>
        <w:lastRenderedPageBreak/>
        <w:t>采购金额支出为0.00万元。其中授予中小企业合同金额、授予小微企业合同金额为0.00万元。</w:t>
      </w:r>
    </w:p>
    <w:p w14:paraId="7D3AA220" w14:textId="77777777" w:rsidR="0032375B" w:rsidRDefault="00000000" w:rsidP="00E0797A">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D6A9F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E8571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06F96F7"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3FF58B9"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FB86A0"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D6884AA"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B62DBE"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05D6DF"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1104CC"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FF1F381"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0177D32"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2ABF35"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2F61823"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8E648" w14:textId="77777777" w:rsidR="0032375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7743C0" w14:textId="77777777" w:rsidR="0032375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06F16A9" w14:textId="77777777" w:rsidR="0032375B"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0C5192D" w14:textId="77777777" w:rsidR="0032375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463ADA4" w14:textId="77777777" w:rsidR="0032375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F091B54" w14:textId="77777777" w:rsidR="0032375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B6A72E8" w14:textId="77777777" w:rsidR="0032375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DC6FED4" w14:textId="77777777" w:rsidR="0032375B"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62AEEF9"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81E85C6" w14:textId="77777777" w:rsidR="0032375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5FEC310"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8E1741" w14:textId="77777777" w:rsidR="0032375B" w:rsidRDefault="0032375B">
      <w:pPr>
        <w:ind w:firstLineChars="200" w:firstLine="640"/>
        <w:rPr>
          <w:rFonts w:ascii="仿宋_GB2312" w:eastAsia="仿宋_GB2312"/>
          <w:sz w:val="32"/>
          <w:szCs w:val="32"/>
        </w:rPr>
      </w:pPr>
    </w:p>
    <w:p w14:paraId="2B1ED54F" w14:textId="77777777" w:rsidR="0032375B" w:rsidRDefault="0032375B">
      <w:pPr>
        <w:ind w:firstLineChars="200" w:firstLine="640"/>
        <w:outlineLvl w:val="1"/>
        <w:rPr>
          <w:rFonts w:ascii="黑体" w:eastAsia="黑体" w:hAnsi="黑体" w:cs="宋体" w:hint="eastAsia"/>
          <w:bCs/>
          <w:kern w:val="0"/>
          <w:sz w:val="32"/>
          <w:szCs w:val="32"/>
        </w:rPr>
      </w:pPr>
    </w:p>
    <w:sectPr w:rsidR="003237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3A27F" w14:textId="77777777" w:rsidR="00A414E8" w:rsidRDefault="00A414E8">
      <w:r>
        <w:separator/>
      </w:r>
    </w:p>
  </w:endnote>
  <w:endnote w:type="continuationSeparator" w:id="0">
    <w:p w14:paraId="1F18EEE7" w14:textId="77777777" w:rsidR="00A414E8" w:rsidRDefault="00A41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991A" w14:textId="77777777" w:rsidR="0032375B" w:rsidRDefault="00000000">
    <w:pPr>
      <w:pStyle w:val="a4"/>
    </w:pPr>
    <w:r>
      <w:rPr>
        <w:noProof/>
      </w:rPr>
      <mc:AlternateContent>
        <mc:Choice Requires="wps">
          <w:drawing>
            <wp:anchor distT="0" distB="0" distL="114300" distR="114300" simplePos="0" relativeHeight="251659264" behindDoc="0" locked="0" layoutInCell="1" allowOverlap="1" wp14:anchorId="4E7A78D3" wp14:editId="4B7A1C0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E7A78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89CAE" w14:textId="77777777" w:rsidR="00A414E8" w:rsidRDefault="00A414E8">
      <w:r>
        <w:separator/>
      </w:r>
    </w:p>
  </w:footnote>
  <w:footnote w:type="continuationSeparator" w:id="0">
    <w:p w14:paraId="21B96E25" w14:textId="77777777" w:rsidR="00A414E8" w:rsidRDefault="00A414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30127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01F91"/>
    <w:rsid w:val="000A37CD"/>
    <w:rsid w:val="00213C59"/>
    <w:rsid w:val="003210CE"/>
    <w:rsid w:val="0032375B"/>
    <w:rsid w:val="00340277"/>
    <w:rsid w:val="006F48FC"/>
    <w:rsid w:val="00756E68"/>
    <w:rsid w:val="007F5746"/>
    <w:rsid w:val="008029B0"/>
    <w:rsid w:val="00845722"/>
    <w:rsid w:val="008D79BB"/>
    <w:rsid w:val="00A01F91"/>
    <w:rsid w:val="00A414E8"/>
    <w:rsid w:val="00A867F3"/>
    <w:rsid w:val="00B70D59"/>
    <w:rsid w:val="00BA1EA8"/>
    <w:rsid w:val="00C9671C"/>
    <w:rsid w:val="00D55605"/>
    <w:rsid w:val="00E0797A"/>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F0190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2013F"/>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4171</Words>
  <Characters>4465</Characters>
  <Application>Microsoft Office Word</Application>
  <DocSecurity>0</DocSecurity>
  <Lines>297</Lines>
  <Paragraphs>278</Paragraphs>
  <ScaleCrop>false</ScaleCrop>
  <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2025-09-15T04:19:00Z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