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C810A7">
      <w:pPr>
        <w:rPr>
          <w:rFonts w:hint="eastAsia" w:ascii="黑体" w:hAnsi="黑体" w:eastAsia="黑体"/>
          <w:sz w:val="32"/>
          <w:szCs w:val="32"/>
        </w:rPr>
      </w:pPr>
    </w:p>
    <w:p w14:paraId="0233D035">
      <w:pPr>
        <w:jc w:val="center"/>
        <w:rPr>
          <w:rFonts w:hint="eastAsia" w:ascii="方正小标宋_GBK" w:hAnsi="宋体" w:eastAsia="方正小标宋_GBK"/>
          <w:sz w:val="44"/>
          <w:szCs w:val="44"/>
        </w:rPr>
      </w:pPr>
    </w:p>
    <w:p w14:paraId="48027C01">
      <w:pPr>
        <w:jc w:val="center"/>
        <w:rPr>
          <w:rFonts w:ascii="方正小标宋_GBK" w:hAnsi="宋体" w:eastAsia="方正小标宋_GBK"/>
          <w:sz w:val="44"/>
          <w:szCs w:val="44"/>
        </w:rPr>
      </w:pPr>
      <w:r>
        <w:rPr>
          <w:rFonts w:hint="eastAsia" w:ascii="方正小标宋_GBK" w:hAnsi="宋体" w:eastAsia="方正小标宋_GBK"/>
          <w:sz w:val="44"/>
          <w:szCs w:val="44"/>
        </w:rPr>
        <w:t>乌鲁木齐市米东区古牧地镇第一中心</w:t>
      </w:r>
    </w:p>
    <w:p w14:paraId="2B1114B3">
      <w:pPr>
        <w:jc w:val="center"/>
        <w:rPr>
          <w:rFonts w:hint="eastAsia" w:ascii="方正小标宋_GBK" w:hAnsi="宋体" w:eastAsia="方正小标宋_GBK"/>
          <w:sz w:val="44"/>
          <w:szCs w:val="44"/>
        </w:rPr>
      </w:pPr>
      <w:r>
        <w:rPr>
          <w:rFonts w:hint="eastAsia" w:ascii="方正小标宋_GBK" w:hAnsi="宋体" w:eastAsia="方正小标宋_GBK"/>
          <w:sz w:val="44"/>
          <w:szCs w:val="44"/>
        </w:rPr>
        <w:t>幼儿园2023年度部门决算</w:t>
      </w:r>
    </w:p>
    <w:p w14:paraId="4953DAEA">
      <w:pPr>
        <w:jc w:val="center"/>
        <w:rPr>
          <w:rFonts w:hint="eastAsia" w:ascii="方正小标宋_GBK" w:hAnsi="宋体" w:eastAsia="方正小标宋_GBK"/>
          <w:sz w:val="44"/>
          <w:szCs w:val="44"/>
        </w:rPr>
      </w:pPr>
      <w:r>
        <w:rPr>
          <w:rFonts w:hint="eastAsia" w:ascii="方正小标宋_GBK" w:hAnsi="宋体" w:eastAsia="方正小标宋_GBK"/>
          <w:sz w:val="44"/>
          <w:szCs w:val="44"/>
        </w:rPr>
        <w:t>公开说明</w:t>
      </w:r>
    </w:p>
    <w:p w14:paraId="31020C37">
      <w:pPr>
        <w:rPr>
          <w:rFonts w:hint="eastAsia" w:ascii="方正小标宋_GBK" w:hAnsi="宋体" w:eastAsia="方正小标宋_GBK"/>
          <w:sz w:val="44"/>
          <w:szCs w:val="44"/>
        </w:rPr>
      </w:pPr>
      <w:r>
        <w:rPr>
          <w:rFonts w:hint="eastAsia" w:ascii="方正小标宋_GBK" w:hAnsi="宋体" w:eastAsia="方正小标宋_GBK"/>
          <w:sz w:val="44"/>
          <w:szCs w:val="44"/>
        </w:rPr>
        <w:br w:type="page"/>
      </w:r>
    </w:p>
    <w:p w14:paraId="369B5F37">
      <w:pPr>
        <w:jc w:val="center"/>
        <w:rPr>
          <w:rFonts w:hint="eastAsia" w:ascii="仿宋_GB2312" w:hAnsi="仿宋_GB2312" w:eastAsia="仿宋_GB2312" w:cs="仿宋_GB2312"/>
          <w:bCs/>
          <w:kern w:val="0"/>
          <w:sz w:val="32"/>
          <w:szCs w:val="32"/>
        </w:rPr>
      </w:pPr>
      <w:r>
        <w:rPr>
          <w:rFonts w:hint="eastAsia" w:ascii="仿宋_GB2312" w:hAnsi="仿宋_GB2312" w:eastAsia="仿宋_GB2312" w:cs="仿宋_GB2312"/>
          <w:b/>
          <w:kern w:val="0"/>
          <w:sz w:val="36"/>
          <w:szCs w:val="36"/>
        </w:rPr>
        <w:t>目  录</w:t>
      </w:r>
    </w:p>
    <w:p w14:paraId="01A09488">
      <w:pPr>
        <w:pStyle w:val="6"/>
        <w:tabs>
          <w:tab w:val="right" w:pos="8306"/>
        </w:tabs>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TOC \o "1-3" \n  \h \u </w:instrText>
      </w:r>
      <w:r>
        <w:rPr>
          <w:rFonts w:hint="eastAsia" w:ascii="仿宋_GB2312" w:hAnsi="仿宋_GB2312" w:eastAsia="仿宋_GB2312" w:cs="仿宋_GB2312"/>
          <w:sz w:val="32"/>
          <w:szCs w:val="32"/>
        </w:rPr>
        <w:fldChar w:fldCharType="separate"/>
      </w:r>
      <w:r>
        <w:fldChar w:fldCharType="begin"/>
      </w:r>
      <w:r>
        <w:instrText xml:space="preserve"> HYPERLINK \l "_Toc32314" </w:instrText>
      </w:r>
      <w:r>
        <w:fldChar w:fldCharType="separate"/>
      </w:r>
      <w:r>
        <w:rPr>
          <w:rFonts w:hint="eastAsia" w:ascii="仿宋_GB2312" w:hAnsi="仿宋_GB2312" w:eastAsia="仿宋_GB2312" w:cs="仿宋_GB2312"/>
          <w:b/>
          <w:bCs/>
          <w:sz w:val="32"/>
          <w:szCs w:val="32"/>
        </w:rPr>
        <w:t>第一部分 单位概况</w:t>
      </w:r>
      <w:r>
        <w:rPr>
          <w:rFonts w:hint="eastAsia" w:ascii="仿宋_GB2312" w:hAnsi="仿宋_GB2312" w:eastAsia="仿宋_GB2312" w:cs="仿宋_GB2312"/>
          <w:b/>
          <w:bCs/>
          <w:sz w:val="32"/>
          <w:szCs w:val="32"/>
        </w:rPr>
        <w:fldChar w:fldCharType="end"/>
      </w:r>
    </w:p>
    <w:p w14:paraId="086EC6D4">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"_Toc30567" </w:instrText>
      </w:r>
      <w:r>
        <w:fldChar w:fldCharType="separate"/>
      </w:r>
      <w:r>
        <w:rPr>
          <w:rFonts w:hint="eastAsia" w:ascii="仿宋_GB2312" w:hAnsi="仿宋_GB2312" w:eastAsia="仿宋_GB2312" w:cs="仿宋_GB2312"/>
          <w:bCs/>
          <w:kern w:val="0"/>
          <w:sz w:val="32"/>
          <w:szCs w:val="32"/>
        </w:rPr>
        <w:t>一、主要职能</w:t>
      </w:r>
      <w:r>
        <w:rPr>
          <w:rFonts w:hint="eastAsia" w:ascii="仿宋_GB2312" w:hAnsi="仿宋_GB2312" w:eastAsia="仿宋_GB2312" w:cs="仿宋_GB2312"/>
          <w:bCs/>
          <w:kern w:val="0"/>
          <w:sz w:val="32"/>
          <w:szCs w:val="32"/>
        </w:rPr>
        <w:fldChar w:fldCharType="end"/>
      </w:r>
    </w:p>
    <w:p w14:paraId="1CCE66F2">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"_Toc2151" </w:instrText>
      </w:r>
      <w:r>
        <w:fldChar w:fldCharType="separate"/>
      </w:r>
      <w:r>
        <w:rPr>
          <w:rFonts w:hint="eastAsia" w:ascii="仿宋_GB2312" w:hAnsi="仿宋_GB2312" w:eastAsia="仿宋_GB2312" w:cs="仿宋_GB2312"/>
          <w:bCs/>
          <w:kern w:val="0"/>
          <w:sz w:val="32"/>
          <w:szCs w:val="32"/>
        </w:rPr>
        <w:t>二、机构设置及人员情况</w:t>
      </w:r>
      <w:r>
        <w:rPr>
          <w:rFonts w:hint="eastAsia" w:ascii="仿宋_GB2312" w:hAnsi="仿宋_GB2312" w:eastAsia="仿宋_GB2312" w:cs="仿宋_GB2312"/>
          <w:bCs/>
          <w:kern w:val="0"/>
          <w:sz w:val="32"/>
          <w:szCs w:val="32"/>
        </w:rPr>
        <w:fldChar w:fldCharType="end"/>
      </w:r>
    </w:p>
    <w:p w14:paraId="35500C2C">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"_Toc29374" </w:instrText>
      </w:r>
      <w:r>
        <w:fldChar w:fldCharType="separate"/>
      </w:r>
      <w:r>
        <w:rPr>
          <w:rFonts w:hint="eastAsia" w:ascii="仿宋_GB2312" w:hAnsi="仿宋_GB2312" w:eastAsia="仿宋_GB2312" w:cs="仿宋_GB2312"/>
          <w:b/>
          <w:bCs/>
          <w:sz w:val="32"/>
          <w:szCs w:val="32"/>
        </w:rPr>
        <w:t>第二部分 部门决算情况说明</w:t>
      </w:r>
      <w:r>
        <w:rPr>
          <w:rFonts w:hint="eastAsia" w:ascii="仿宋_GB2312" w:hAnsi="仿宋_GB2312" w:eastAsia="仿宋_GB2312" w:cs="仿宋_GB2312"/>
          <w:b/>
          <w:bCs/>
          <w:sz w:val="32"/>
          <w:szCs w:val="32"/>
        </w:rPr>
        <w:fldChar w:fldCharType="end"/>
      </w:r>
    </w:p>
    <w:p w14:paraId="5AEFC34B">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"_Toc25314" </w:instrText>
      </w:r>
      <w:r>
        <w:fldChar w:fldCharType="separate"/>
      </w:r>
      <w:r>
        <w:rPr>
          <w:rFonts w:hint="eastAsia" w:ascii="仿宋_GB2312" w:hAnsi="仿宋_GB2312" w:eastAsia="仿宋_GB2312" w:cs="仿宋_GB2312"/>
          <w:bCs/>
          <w:kern w:val="0"/>
          <w:sz w:val="32"/>
          <w:szCs w:val="32"/>
        </w:rPr>
        <w:t>一、收入支出决算总体情况说明</w:t>
      </w:r>
      <w:r>
        <w:rPr>
          <w:rFonts w:hint="eastAsia" w:ascii="仿宋_GB2312" w:hAnsi="仿宋_GB2312" w:eastAsia="仿宋_GB2312" w:cs="仿宋_GB2312"/>
          <w:bCs/>
          <w:kern w:val="0"/>
          <w:sz w:val="32"/>
          <w:szCs w:val="32"/>
        </w:rPr>
        <w:fldChar w:fldCharType="end"/>
      </w:r>
    </w:p>
    <w:p w14:paraId="3B240B7F">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"_Toc12142" </w:instrText>
      </w:r>
      <w:r>
        <w:fldChar w:fldCharType="separate"/>
      </w:r>
      <w:r>
        <w:rPr>
          <w:rFonts w:hint="eastAsia" w:ascii="仿宋_GB2312" w:hAnsi="仿宋_GB2312" w:eastAsia="仿宋_GB2312" w:cs="仿宋_GB2312"/>
          <w:bCs/>
          <w:kern w:val="0"/>
          <w:sz w:val="32"/>
          <w:szCs w:val="32"/>
        </w:rPr>
        <w:t>二、收入决算情况说明</w:t>
      </w:r>
      <w:r>
        <w:rPr>
          <w:rFonts w:hint="eastAsia" w:ascii="仿宋_GB2312" w:hAnsi="仿宋_GB2312" w:eastAsia="仿宋_GB2312" w:cs="仿宋_GB2312"/>
          <w:bCs/>
          <w:kern w:val="0"/>
          <w:sz w:val="32"/>
          <w:szCs w:val="32"/>
        </w:rPr>
        <w:fldChar w:fldCharType="end"/>
      </w:r>
    </w:p>
    <w:p w14:paraId="70D9D0DD">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"_Toc13201" </w:instrText>
      </w:r>
      <w:r>
        <w:fldChar w:fldCharType="separate"/>
      </w:r>
      <w:r>
        <w:rPr>
          <w:rFonts w:hint="eastAsia" w:ascii="仿宋_GB2312" w:hAnsi="仿宋_GB2312" w:eastAsia="仿宋_GB2312" w:cs="仿宋_GB2312"/>
          <w:bCs/>
          <w:kern w:val="0"/>
          <w:sz w:val="32"/>
          <w:szCs w:val="32"/>
        </w:rPr>
        <w:t>三、支出决算情况说明</w:t>
      </w:r>
      <w:r>
        <w:rPr>
          <w:rFonts w:hint="eastAsia" w:ascii="仿宋_GB2312" w:hAnsi="仿宋_GB2312" w:eastAsia="仿宋_GB2312" w:cs="仿宋_GB2312"/>
          <w:bCs/>
          <w:kern w:val="0"/>
          <w:sz w:val="32"/>
          <w:szCs w:val="32"/>
        </w:rPr>
        <w:fldChar w:fldCharType="end"/>
      </w:r>
    </w:p>
    <w:p w14:paraId="6F2EA44B">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"_Toc26564" </w:instrText>
      </w:r>
      <w:r>
        <w:fldChar w:fldCharType="separate"/>
      </w:r>
      <w:r>
        <w:rPr>
          <w:rFonts w:hint="eastAsia" w:ascii="仿宋_GB2312" w:hAnsi="仿宋_GB2312" w:eastAsia="仿宋_GB2312" w:cs="仿宋_GB2312"/>
          <w:bCs/>
          <w:kern w:val="0"/>
          <w:sz w:val="32"/>
          <w:szCs w:val="32"/>
        </w:rPr>
        <w:t>四、财政拨款收入支出决算总体情况说明</w:t>
      </w:r>
      <w:r>
        <w:rPr>
          <w:rFonts w:hint="eastAsia" w:ascii="仿宋_GB2312" w:hAnsi="仿宋_GB2312" w:eastAsia="仿宋_GB2312" w:cs="仿宋_GB2312"/>
          <w:bCs/>
          <w:kern w:val="0"/>
          <w:sz w:val="32"/>
          <w:szCs w:val="32"/>
        </w:rPr>
        <w:fldChar w:fldCharType="end"/>
      </w:r>
    </w:p>
    <w:p w14:paraId="6B61D4BE">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"_Toc20360" </w:instrText>
      </w:r>
      <w:r>
        <w:fldChar w:fldCharType="separate"/>
      </w:r>
      <w:r>
        <w:rPr>
          <w:rFonts w:hint="eastAsia" w:ascii="仿宋_GB2312" w:hAnsi="仿宋_GB2312" w:eastAsia="仿宋_GB2312" w:cs="仿宋_GB2312"/>
          <w:bCs/>
          <w:kern w:val="0"/>
          <w:sz w:val="32"/>
          <w:szCs w:val="32"/>
        </w:rPr>
        <w:t>五、一般公共预算财政拨款支出决算情况说明</w:t>
      </w:r>
      <w:r>
        <w:rPr>
          <w:rFonts w:hint="eastAsia" w:ascii="仿宋_GB2312" w:hAnsi="仿宋_GB2312" w:eastAsia="仿宋_GB2312" w:cs="仿宋_GB2312"/>
          <w:bCs/>
          <w:kern w:val="0"/>
          <w:sz w:val="32"/>
          <w:szCs w:val="32"/>
        </w:rPr>
        <w:fldChar w:fldCharType="end"/>
      </w:r>
    </w:p>
    <w:p w14:paraId="232B74D6">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"_Toc30870" </w:instrText>
      </w:r>
      <w:r>
        <w:fldChar w:fldCharType="separate"/>
      </w:r>
      <w:r>
        <w:rPr>
          <w:rFonts w:hint="eastAsia" w:ascii="仿宋_GB2312" w:hAnsi="仿宋_GB2312" w:eastAsia="仿宋_GB2312" w:cs="仿宋_GB2312"/>
          <w:bCs/>
          <w:kern w:val="0"/>
          <w:sz w:val="32"/>
          <w:szCs w:val="32"/>
        </w:rPr>
        <w:t>六、一般公共预算财政拨款基本支出决算情况说明</w:t>
      </w:r>
      <w:r>
        <w:rPr>
          <w:rFonts w:hint="eastAsia" w:ascii="仿宋_GB2312" w:hAnsi="仿宋_GB2312" w:eastAsia="仿宋_GB2312" w:cs="仿宋_GB2312"/>
          <w:bCs/>
          <w:kern w:val="0"/>
          <w:sz w:val="32"/>
          <w:szCs w:val="32"/>
        </w:rPr>
        <w:fldChar w:fldCharType="end"/>
      </w:r>
    </w:p>
    <w:p w14:paraId="552DFA4D">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"_Toc21518" </w:instrText>
      </w:r>
      <w:r>
        <w:fldChar w:fldCharType="separate"/>
      </w:r>
      <w:r>
        <w:rPr>
          <w:rFonts w:hint="eastAsia" w:ascii="仿宋_GB2312" w:hAnsi="仿宋_GB2312" w:eastAsia="仿宋_GB2312" w:cs="仿宋_GB2312"/>
          <w:bCs/>
          <w:kern w:val="0"/>
          <w:sz w:val="32"/>
          <w:szCs w:val="32"/>
        </w:rPr>
        <w:t>七、财政拨款“三公”经费支出决算情况说明</w:t>
      </w:r>
      <w:r>
        <w:rPr>
          <w:rFonts w:hint="eastAsia" w:ascii="仿宋_GB2312" w:hAnsi="仿宋_GB2312" w:eastAsia="仿宋_GB2312" w:cs="仿宋_GB2312"/>
          <w:bCs/>
          <w:kern w:val="0"/>
          <w:sz w:val="32"/>
          <w:szCs w:val="32"/>
        </w:rPr>
        <w:fldChar w:fldCharType="end"/>
      </w:r>
    </w:p>
    <w:p w14:paraId="5FE83D87">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八、政府性基金预算财政拨款收入支出决算情况说明</w:t>
      </w:r>
      <w:r>
        <w:rPr>
          <w:rFonts w:hint="eastAsia" w:ascii="仿宋_GB2312" w:hAnsi="仿宋_GB2312" w:eastAsia="仿宋_GB2312" w:cs="仿宋_GB2312"/>
          <w:bCs/>
          <w:kern w:val="0"/>
          <w:sz w:val="32"/>
          <w:szCs w:val="32"/>
        </w:rPr>
        <w:fldChar w:fldCharType="end"/>
      </w:r>
    </w:p>
    <w:p w14:paraId="6B8D50E9">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九、国有资本经营预算财政拨款收入支出决算情况说明</w:t>
      </w:r>
      <w:r>
        <w:rPr>
          <w:rFonts w:hint="eastAsia" w:ascii="仿宋_GB2312" w:hAnsi="仿宋_GB2312" w:eastAsia="仿宋_GB2312" w:cs="仿宋_GB2312"/>
          <w:bCs/>
          <w:kern w:val="0"/>
          <w:sz w:val="32"/>
          <w:szCs w:val="32"/>
        </w:rPr>
        <w:fldChar w:fldCharType="end"/>
      </w:r>
    </w:p>
    <w:p w14:paraId="2765F7ED">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"_Toc1235" </w:instrText>
      </w:r>
      <w:r>
        <w:fldChar w:fldCharType="separate"/>
      </w:r>
      <w:r>
        <w:rPr>
          <w:rFonts w:hint="eastAsia" w:ascii="仿宋_GB2312" w:hAnsi="仿宋_GB2312" w:eastAsia="仿宋_GB2312" w:cs="仿宋_GB2312"/>
          <w:sz w:val="32"/>
          <w:szCs w:val="32"/>
        </w:rPr>
        <w:t>十</w:t>
      </w:r>
      <w:r>
        <w:rPr>
          <w:rFonts w:hint="eastAsia" w:ascii="仿宋_GB2312" w:hAnsi="仿宋_GB2312" w:eastAsia="仿宋_GB2312" w:cs="仿宋_GB2312"/>
          <w:bCs/>
          <w:kern w:val="0"/>
          <w:sz w:val="32"/>
          <w:szCs w:val="32"/>
        </w:rPr>
        <w:t>、其他重要事项的情况说明</w:t>
      </w:r>
      <w:r>
        <w:rPr>
          <w:rFonts w:hint="eastAsia" w:ascii="仿宋_GB2312" w:hAnsi="仿宋_GB2312" w:eastAsia="仿宋_GB2312" w:cs="仿宋_GB2312"/>
          <w:bCs/>
          <w:kern w:val="0"/>
          <w:sz w:val="32"/>
          <w:szCs w:val="32"/>
        </w:rPr>
        <w:fldChar w:fldCharType="end"/>
      </w:r>
    </w:p>
    <w:p w14:paraId="0DE50D8D">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"_Toc14519" </w:instrText>
      </w:r>
      <w:r>
        <w:fldChar w:fldCharType="separate"/>
      </w:r>
      <w:r>
        <w:rPr>
          <w:rFonts w:hint="eastAsia" w:ascii="仿宋_GB2312" w:hAnsi="仿宋_GB2312" w:eastAsia="仿宋_GB2312" w:cs="仿宋_GB2312"/>
          <w:sz w:val="32"/>
          <w:szCs w:val="32"/>
        </w:rPr>
        <w:t>（一）机关运行经费支出情况</w:t>
      </w:r>
      <w:r>
        <w:rPr>
          <w:rFonts w:hint="eastAsia" w:ascii="仿宋_GB2312" w:hAnsi="仿宋_GB2312" w:eastAsia="仿宋_GB2312" w:cs="仿宋_GB2312"/>
          <w:sz w:val="32"/>
          <w:szCs w:val="32"/>
        </w:rPr>
        <w:fldChar w:fldCharType="end"/>
      </w:r>
    </w:p>
    <w:p w14:paraId="27459485">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"_Toc227" </w:instrText>
      </w:r>
      <w:r>
        <w:fldChar w:fldCharType="separate"/>
      </w:r>
      <w:r>
        <w:rPr>
          <w:rFonts w:hint="eastAsia" w:ascii="仿宋_GB2312" w:hAnsi="仿宋_GB2312" w:eastAsia="仿宋_GB2312" w:cs="仿宋_GB2312"/>
          <w:sz w:val="32"/>
          <w:szCs w:val="32"/>
        </w:rPr>
        <w:t>（二）政府采购情况</w:t>
      </w:r>
      <w:r>
        <w:rPr>
          <w:rFonts w:hint="eastAsia" w:ascii="仿宋_GB2312" w:hAnsi="仿宋_GB2312" w:eastAsia="仿宋_GB2312" w:cs="仿宋_GB2312"/>
          <w:sz w:val="32"/>
          <w:szCs w:val="32"/>
        </w:rPr>
        <w:fldChar w:fldCharType="end"/>
      </w:r>
    </w:p>
    <w:p w14:paraId="335F71EE">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"_Toc8391" </w:instrText>
      </w:r>
      <w:r>
        <w:fldChar w:fldCharType="separate"/>
      </w:r>
      <w:r>
        <w:rPr>
          <w:rFonts w:hint="eastAsia" w:ascii="仿宋_GB2312" w:hAnsi="仿宋_GB2312" w:eastAsia="仿宋_GB2312" w:cs="仿宋_GB2312"/>
          <w:sz w:val="32"/>
          <w:szCs w:val="32"/>
        </w:rPr>
        <w:t>（三）国有资产占用情况说明</w:t>
      </w:r>
      <w:r>
        <w:rPr>
          <w:rFonts w:hint="eastAsia" w:ascii="仿宋_GB2312" w:hAnsi="仿宋_GB2312" w:eastAsia="仿宋_GB2312" w:cs="仿宋_GB2312"/>
          <w:sz w:val="32"/>
          <w:szCs w:val="32"/>
        </w:rPr>
        <w:fldChar w:fldCharType="end"/>
      </w:r>
    </w:p>
    <w:p w14:paraId="6FA29977">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"_Toc11283" </w:instrText>
      </w:r>
      <w:r>
        <w:fldChar w:fldCharType="separate"/>
      </w:r>
      <w:r>
        <w:rPr>
          <w:rFonts w:hint="eastAsia" w:ascii="仿宋_GB2312" w:hAnsi="仿宋_GB2312" w:eastAsia="仿宋_GB2312" w:cs="仿宋_GB2312"/>
          <w:bCs/>
          <w:kern w:val="0"/>
          <w:sz w:val="32"/>
          <w:szCs w:val="32"/>
        </w:rPr>
        <w:t>十一、预算绩效的情况说明</w:t>
      </w:r>
      <w:r>
        <w:rPr>
          <w:rFonts w:hint="eastAsia" w:ascii="仿宋_GB2312" w:hAnsi="仿宋_GB2312" w:eastAsia="仿宋_GB2312" w:cs="仿宋_GB2312"/>
          <w:bCs/>
          <w:kern w:val="0"/>
          <w:sz w:val="32"/>
          <w:szCs w:val="32"/>
        </w:rPr>
        <w:fldChar w:fldCharType="end"/>
      </w:r>
    </w:p>
    <w:p w14:paraId="4BE65A8C">
      <w:pPr>
        <w:pStyle w:val="7"/>
        <w:tabs>
          <w:tab w:val="right" w:pos="8306"/>
        </w:tabs>
        <w:ind w:left="0" w:left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十二、其他需说明的事项</w:t>
      </w:r>
    </w:p>
    <w:p w14:paraId="5F2C917D">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"_Toc3250" </w:instrText>
      </w:r>
      <w:r>
        <w:fldChar w:fldCharType="separate"/>
      </w:r>
      <w:r>
        <w:rPr>
          <w:rFonts w:hint="eastAsia" w:ascii="仿宋_GB2312" w:hAnsi="仿宋_GB2312" w:eastAsia="仿宋_GB2312" w:cs="仿宋_GB2312"/>
          <w:b/>
          <w:bCs/>
          <w:sz w:val="32"/>
          <w:szCs w:val="32"/>
        </w:rPr>
        <w:t>第三部分 专业名词解释</w:t>
      </w:r>
      <w:r>
        <w:rPr>
          <w:rFonts w:hint="eastAsia" w:ascii="仿宋_GB2312" w:hAnsi="仿宋_GB2312" w:eastAsia="仿宋_GB2312" w:cs="仿宋_GB2312"/>
          <w:b/>
          <w:bCs/>
          <w:sz w:val="32"/>
          <w:szCs w:val="32"/>
        </w:rPr>
        <w:fldChar w:fldCharType="end"/>
      </w:r>
    </w:p>
    <w:p w14:paraId="4BD64013">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"_Toc22784" </w:instrText>
      </w:r>
      <w:r>
        <w:fldChar w:fldCharType="separate"/>
      </w:r>
      <w:r>
        <w:rPr>
          <w:rFonts w:hint="eastAsia" w:ascii="仿宋_GB2312" w:hAnsi="仿宋_GB2312" w:eastAsia="仿宋_GB2312" w:cs="仿宋_GB2312"/>
          <w:b/>
          <w:bCs/>
          <w:sz w:val="32"/>
          <w:szCs w:val="32"/>
        </w:rPr>
        <w:t>第四部分 部门决算报表（见附表）</w:t>
      </w:r>
      <w:r>
        <w:rPr>
          <w:rFonts w:hint="eastAsia" w:ascii="仿宋_GB2312" w:hAnsi="仿宋_GB2312" w:eastAsia="仿宋_GB2312" w:cs="仿宋_GB2312"/>
          <w:b/>
          <w:bCs/>
          <w:sz w:val="32"/>
          <w:szCs w:val="32"/>
        </w:rPr>
        <w:fldChar w:fldCharType="end"/>
      </w:r>
    </w:p>
    <w:p w14:paraId="756506AB">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"_Toc2183" </w:instrText>
      </w:r>
      <w:r>
        <w:fldChar w:fldCharType="separate"/>
      </w:r>
      <w:r>
        <w:rPr>
          <w:rFonts w:hint="eastAsia" w:ascii="仿宋_GB2312" w:hAnsi="仿宋_GB2312" w:eastAsia="仿宋_GB2312" w:cs="仿宋_GB2312"/>
          <w:bCs/>
          <w:kern w:val="0"/>
          <w:sz w:val="32"/>
          <w:szCs w:val="32"/>
        </w:rPr>
        <w:t>一、《收入支出决算总表》</w:t>
      </w:r>
      <w:r>
        <w:rPr>
          <w:rFonts w:hint="eastAsia" w:ascii="仿宋_GB2312" w:hAnsi="仿宋_GB2312" w:eastAsia="仿宋_GB2312" w:cs="仿宋_GB2312"/>
          <w:bCs/>
          <w:kern w:val="0"/>
          <w:sz w:val="32"/>
          <w:szCs w:val="32"/>
        </w:rPr>
        <w:fldChar w:fldCharType="end"/>
      </w:r>
    </w:p>
    <w:p w14:paraId="3FBDD24C">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"_Toc24532" </w:instrText>
      </w:r>
      <w:r>
        <w:fldChar w:fldCharType="separate"/>
      </w:r>
      <w:r>
        <w:rPr>
          <w:rFonts w:hint="eastAsia" w:ascii="仿宋_GB2312" w:hAnsi="仿宋_GB2312" w:eastAsia="仿宋_GB2312" w:cs="仿宋_GB2312"/>
          <w:bCs/>
          <w:kern w:val="0"/>
          <w:sz w:val="32"/>
          <w:szCs w:val="32"/>
        </w:rPr>
        <w:t>二、《收入决算表》</w:t>
      </w:r>
      <w:r>
        <w:rPr>
          <w:rFonts w:hint="eastAsia" w:ascii="仿宋_GB2312" w:hAnsi="仿宋_GB2312" w:eastAsia="仿宋_GB2312" w:cs="仿宋_GB2312"/>
          <w:bCs/>
          <w:kern w:val="0"/>
          <w:sz w:val="32"/>
          <w:szCs w:val="32"/>
        </w:rPr>
        <w:fldChar w:fldCharType="end"/>
      </w:r>
    </w:p>
    <w:p w14:paraId="703970F8">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"_Toc32434" </w:instrText>
      </w:r>
      <w:r>
        <w:fldChar w:fldCharType="separate"/>
      </w:r>
      <w:r>
        <w:rPr>
          <w:rFonts w:hint="eastAsia" w:ascii="仿宋_GB2312" w:hAnsi="仿宋_GB2312" w:eastAsia="仿宋_GB2312" w:cs="仿宋_GB2312"/>
          <w:bCs/>
          <w:kern w:val="0"/>
          <w:sz w:val="32"/>
          <w:szCs w:val="32"/>
        </w:rPr>
        <w:t>三、《支出决算表》</w:t>
      </w:r>
      <w:r>
        <w:rPr>
          <w:rFonts w:hint="eastAsia" w:ascii="仿宋_GB2312" w:hAnsi="仿宋_GB2312" w:eastAsia="仿宋_GB2312" w:cs="仿宋_GB2312"/>
          <w:bCs/>
          <w:kern w:val="0"/>
          <w:sz w:val="32"/>
          <w:szCs w:val="32"/>
        </w:rPr>
        <w:fldChar w:fldCharType="end"/>
      </w:r>
    </w:p>
    <w:p w14:paraId="66AFBF3F">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"_Toc28786" </w:instrText>
      </w:r>
      <w:r>
        <w:fldChar w:fldCharType="separate"/>
      </w:r>
      <w:r>
        <w:rPr>
          <w:rFonts w:hint="eastAsia" w:ascii="仿宋_GB2312" w:hAnsi="仿宋_GB2312" w:eastAsia="仿宋_GB2312" w:cs="仿宋_GB2312"/>
          <w:bCs/>
          <w:kern w:val="0"/>
          <w:sz w:val="32"/>
          <w:szCs w:val="32"/>
        </w:rPr>
        <w:t>四、《财政拨款收入支出决算总表》</w:t>
      </w:r>
      <w:r>
        <w:rPr>
          <w:rFonts w:hint="eastAsia" w:ascii="仿宋_GB2312" w:hAnsi="仿宋_GB2312" w:eastAsia="仿宋_GB2312" w:cs="仿宋_GB2312"/>
          <w:bCs/>
          <w:kern w:val="0"/>
          <w:sz w:val="32"/>
          <w:szCs w:val="32"/>
        </w:rPr>
        <w:fldChar w:fldCharType="end"/>
      </w:r>
    </w:p>
    <w:p w14:paraId="7F48B61D">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"_Toc14869" </w:instrText>
      </w:r>
      <w:r>
        <w:fldChar w:fldCharType="separate"/>
      </w:r>
      <w:r>
        <w:rPr>
          <w:rFonts w:hint="eastAsia" w:ascii="仿宋_GB2312" w:hAnsi="仿宋_GB2312" w:eastAsia="仿宋_GB2312" w:cs="仿宋_GB2312"/>
          <w:bCs/>
          <w:kern w:val="0"/>
          <w:sz w:val="32"/>
          <w:szCs w:val="32"/>
        </w:rPr>
        <w:t>五、《一般公共预算财政拨款支出决算表》</w:t>
      </w:r>
      <w:r>
        <w:rPr>
          <w:rFonts w:hint="eastAsia" w:ascii="仿宋_GB2312" w:hAnsi="仿宋_GB2312" w:eastAsia="仿宋_GB2312" w:cs="仿宋_GB2312"/>
          <w:bCs/>
          <w:kern w:val="0"/>
          <w:sz w:val="32"/>
          <w:szCs w:val="32"/>
        </w:rPr>
        <w:fldChar w:fldCharType="end"/>
      </w:r>
    </w:p>
    <w:p w14:paraId="237F7BC2">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"_Toc8884" </w:instrText>
      </w:r>
      <w:r>
        <w:fldChar w:fldCharType="separate"/>
      </w:r>
      <w:r>
        <w:rPr>
          <w:rFonts w:hint="eastAsia" w:ascii="仿宋_GB2312" w:hAnsi="仿宋_GB2312" w:eastAsia="仿宋_GB2312" w:cs="仿宋_GB2312"/>
          <w:bCs/>
          <w:kern w:val="0"/>
          <w:sz w:val="32"/>
          <w:szCs w:val="32"/>
        </w:rPr>
        <w:t>六、《一般公共预算财政拨款基本支出决算表》</w:t>
      </w:r>
      <w:r>
        <w:rPr>
          <w:rFonts w:hint="eastAsia" w:ascii="仿宋_GB2312" w:hAnsi="仿宋_GB2312" w:eastAsia="仿宋_GB2312" w:cs="仿宋_GB2312"/>
          <w:bCs/>
          <w:kern w:val="0"/>
          <w:sz w:val="32"/>
          <w:szCs w:val="32"/>
        </w:rPr>
        <w:fldChar w:fldCharType="end"/>
      </w:r>
    </w:p>
    <w:p w14:paraId="6CBB99D1">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"_Toc29106" </w:instrText>
      </w:r>
      <w:r>
        <w:fldChar w:fldCharType="separate"/>
      </w:r>
      <w:r>
        <w:rPr>
          <w:rFonts w:hint="eastAsia" w:ascii="仿宋_GB2312" w:hAnsi="仿宋_GB2312" w:eastAsia="仿宋_GB2312" w:cs="仿宋_GB2312"/>
          <w:bCs/>
          <w:kern w:val="0"/>
          <w:sz w:val="32"/>
          <w:szCs w:val="32"/>
        </w:rPr>
        <w:t>七、《财政拨款“三公”经费支出决算表》</w:t>
      </w:r>
      <w:r>
        <w:rPr>
          <w:rFonts w:hint="eastAsia" w:ascii="仿宋_GB2312" w:hAnsi="仿宋_GB2312" w:eastAsia="仿宋_GB2312" w:cs="仿宋_GB2312"/>
          <w:bCs/>
          <w:kern w:val="0"/>
          <w:sz w:val="32"/>
          <w:szCs w:val="32"/>
        </w:rPr>
        <w:fldChar w:fldCharType="end"/>
      </w:r>
    </w:p>
    <w:p w14:paraId="7408C6AE">
      <w:pPr>
        <w:pStyle w:val="7"/>
        <w:tabs>
          <w:tab w:val="right" w:pos="8306"/>
        </w:tabs>
        <w:ind w:left="0" w:leftChars="0"/>
        <w:rPr>
          <w:rFonts w:hint="eastAsia" w:ascii="仿宋_GB2312" w:hAnsi="仿宋_GB2312" w:eastAsia="仿宋_GB2312" w:cs="仿宋_GB2312"/>
          <w:bCs/>
          <w:kern w:val="0"/>
          <w:sz w:val="32"/>
          <w:szCs w:val="32"/>
        </w:rPr>
      </w:pPr>
      <w:r>
        <w:fldChar w:fldCharType="begin"/>
      </w:r>
      <w:r>
        <w:instrText xml:space="preserve"> HYPERLINK \l "_Toc7643" </w:instrText>
      </w:r>
      <w:r>
        <w:fldChar w:fldCharType="separate"/>
      </w:r>
      <w:r>
        <w:rPr>
          <w:rFonts w:hint="eastAsia" w:ascii="仿宋_GB2312" w:hAnsi="仿宋_GB2312" w:eastAsia="仿宋_GB2312" w:cs="仿宋_GB2312"/>
          <w:bCs/>
          <w:kern w:val="0"/>
          <w:sz w:val="32"/>
          <w:szCs w:val="32"/>
        </w:rPr>
        <w:t>八、《政府性基金预算财政拨款收入支出决算表》</w:t>
      </w:r>
      <w:r>
        <w:rPr>
          <w:rFonts w:hint="eastAsia" w:ascii="仿宋_GB2312" w:hAnsi="仿宋_GB2312" w:eastAsia="仿宋_GB2312" w:cs="仿宋_GB2312"/>
          <w:bCs/>
          <w:kern w:val="0"/>
          <w:sz w:val="32"/>
          <w:szCs w:val="32"/>
        </w:rPr>
        <w:fldChar w:fldCharType="end"/>
      </w:r>
    </w:p>
    <w:p w14:paraId="0FBB06D0">
      <w:pPr>
        <w:pStyle w:val="7"/>
        <w:tabs>
          <w:tab w:val="right" w:pos="8306"/>
        </w:tabs>
        <w:ind w:left="0" w:leftChars="0"/>
        <w:rPr>
          <w:rFonts w:hint="eastAsia"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九、《国有资本经营预算财政拨款收入支出决算表》</w:t>
      </w:r>
    </w:p>
    <w:p w14:paraId="150107F2">
      <w:r>
        <w:rPr>
          <w:rFonts w:hint="eastAsia" w:ascii="仿宋_GB2312" w:hAnsi="仿宋_GB2312" w:eastAsia="仿宋_GB2312" w:cs="仿宋_GB2312"/>
          <w:sz w:val="32"/>
          <w:szCs w:val="32"/>
        </w:rPr>
        <w:fldChar w:fldCharType="end"/>
      </w:r>
    </w:p>
    <w:p w14:paraId="639A9319">
      <w:pPr>
        <w:rPr>
          <w:rFonts w:ascii="仿宋_GB2312" w:eastAsia="仿宋_GB2312"/>
          <w:sz w:val="32"/>
          <w:szCs w:val="32"/>
        </w:rPr>
      </w:pPr>
      <w:r>
        <w:rPr>
          <w:rFonts w:hint="eastAsia" w:ascii="仿宋_GB2312" w:eastAsia="仿宋_GB2312"/>
          <w:sz w:val="32"/>
          <w:szCs w:val="32"/>
        </w:rPr>
        <w:br w:type="page"/>
      </w:r>
    </w:p>
    <w:p w14:paraId="3C0A0B29">
      <w:pPr>
        <w:jc w:val="center"/>
        <w:outlineLvl w:val="0"/>
        <w:rPr>
          <w:rFonts w:hint="eastAsia" w:ascii="黑体" w:hAnsi="黑体" w:eastAsia="黑体"/>
          <w:sz w:val="32"/>
          <w:szCs w:val="32"/>
        </w:rPr>
      </w:pPr>
      <w:bookmarkStart w:id="0" w:name="_Toc32314"/>
      <w:bookmarkStart w:id="1" w:name="_Toc24028"/>
      <w:r>
        <w:rPr>
          <w:rFonts w:hint="eastAsia" w:ascii="黑体" w:hAnsi="黑体" w:eastAsia="黑体"/>
          <w:sz w:val="32"/>
          <w:szCs w:val="32"/>
        </w:rPr>
        <w:t>第一部分 单位概况</w:t>
      </w:r>
      <w:bookmarkEnd w:id="0"/>
      <w:bookmarkEnd w:id="1"/>
    </w:p>
    <w:p w14:paraId="685AFF01">
      <w:pPr>
        <w:ind w:firstLine="640" w:firstLineChars="200"/>
        <w:outlineLvl w:val="1"/>
        <w:rPr>
          <w:rFonts w:hint="eastAsia" w:ascii="黑体" w:hAnsi="黑体" w:eastAsia="黑体" w:cs="宋体"/>
          <w:bCs/>
          <w:kern w:val="0"/>
          <w:sz w:val="32"/>
          <w:szCs w:val="32"/>
        </w:rPr>
      </w:pPr>
      <w:bookmarkStart w:id="2" w:name="_Toc30738"/>
      <w:bookmarkStart w:id="3" w:name="_Toc30567"/>
      <w:r>
        <w:rPr>
          <w:rFonts w:hint="eastAsia" w:ascii="黑体" w:hAnsi="黑体" w:eastAsia="黑体" w:cs="宋体"/>
          <w:bCs/>
          <w:kern w:val="0"/>
          <w:sz w:val="32"/>
          <w:szCs w:val="32"/>
        </w:rPr>
        <w:t>一、主要职能</w:t>
      </w:r>
      <w:bookmarkEnd w:id="2"/>
      <w:bookmarkEnd w:id="3"/>
    </w:p>
    <w:p w14:paraId="56990763">
      <w:pPr>
        <w:ind w:firstLine="640" w:firstLineChars="200"/>
        <w:rPr>
          <w:rFonts w:ascii="仿宋_GB2312" w:eastAsia="仿宋_GB2312"/>
          <w:sz w:val="32"/>
          <w:szCs w:val="32"/>
        </w:rPr>
      </w:pPr>
      <w:r>
        <w:rPr>
          <w:rFonts w:hint="eastAsia" w:ascii="仿宋_GB2312" w:eastAsia="仿宋_GB2312"/>
          <w:sz w:val="32"/>
          <w:szCs w:val="32"/>
        </w:rPr>
        <w:t>1.宣传贯彻执行党和国家的教育方针、政策、法律法规等，坚持依法治园、依法执教，贯彻执行上级教育部门的行政规章制度，坚持党组织领导下的园长负责制。</w:t>
      </w:r>
    </w:p>
    <w:p w14:paraId="5337638E">
      <w:pPr>
        <w:ind w:firstLine="640" w:firstLineChars="200"/>
        <w:rPr>
          <w:rFonts w:ascii="仿宋_GB2312" w:eastAsia="仿宋_GB2312"/>
          <w:sz w:val="32"/>
          <w:szCs w:val="32"/>
        </w:rPr>
      </w:pPr>
      <w:r>
        <w:rPr>
          <w:rFonts w:hint="eastAsia" w:ascii="仿宋_GB2312" w:eastAsia="仿宋_GB2312"/>
          <w:sz w:val="32"/>
          <w:szCs w:val="32"/>
        </w:rPr>
        <w:t>2.配合上级教育部门制定符合党的教育方针和国家教育法律法规以及本园实际的教育发展规划和幼儿园布局调整规划，并抓好组织实施和落实工作。</w:t>
      </w:r>
    </w:p>
    <w:p w14:paraId="6FEDFF18">
      <w:pPr>
        <w:ind w:firstLine="640" w:firstLineChars="200"/>
        <w:rPr>
          <w:rFonts w:ascii="仿宋_GB2312" w:eastAsia="仿宋_GB2312"/>
          <w:sz w:val="32"/>
          <w:szCs w:val="32"/>
        </w:rPr>
      </w:pPr>
      <w:r>
        <w:rPr>
          <w:rFonts w:hint="eastAsia" w:ascii="仿宋_GB2312" w:eastAsia="仿宋_GB2312"/>
          <w:sz w:val="32"/>
          <w:szCs w:val="32"/>
        </w:rPr>
        <w:t>3.配合各级人民政府依法动员、组织适龄儿童入学，推进学前教育。</w:t>
      </w:r>
    </w:p>
    <w:p w14:paraId="43749230">
      <w:pPr>
        <w:ind w:firstLine="640" w:firstLineChars="200"/>
        <w:rPr>
          <w:rFonts w:ascii="仿宋_GB2312" w:eastAsia="仿宋_GB2312"/>
          <w:sz w:val="32"/>
          <w:szCs w:val="32"/>
        </w:rPr>
      </w:pPr>
      <w:r>
        <w:rPr>
          <w:rFonts w:hint="eastAsia" w:ascii="仿宋_GB2312" w:eastAsia="仿宋_GB2312"/>
          <w:sz w:val="32"/>
          <w:szCs w:val="32"/>
        </w:rPr>
        <w:t>4.组织开展本园的教育、保育工作。负责对本园教育、保育业务的具体管理，负责教育、保育及教研工作。</w:t>
      </w:r>
    </w:p>
    <w:p w14:paraId="3B9D7961">
      <w:pPr>
        <w:ind w:firstLine="640" w:firstLineChars="200"/>
        <w:rPr>
          <w:rFonts w:ascii="仿宋_GB2312" w:eastAsia="仿宋_GB2312"/>
          <w:sz w:val="32"/>
          <w:szCs w:val="32"/>
        </w:rPr>
      </w:pPr>
      <w:r>
        <w:rPr>
          <w:rFonts w:hint="eastAsia" w:ascii="仿宋_GB2312" w:eastAsia="仿宋_GB2312"/>
          <w:sz w:val="32"/>
          <w:szCs w:val="32"/>
        </w:rPr>
        <w:t>5.按照干部和教师的职数、编制和管理权限，制定切实可行的幼儿园工作规章制度，以提高教育、保育质量为目的，负责本园教师人事管理、继续教育、考核考评等工作。</w:t>
      </w:r>
    </w:p>
    <w:p w14:paraId="45C4CB45">
      <w:pPr>
        <w:ind w:firstLine="640" w:firstLineChars="200"/>
        <w:rPr>
          <w:rFonts w:ascii="仿宋_GB2312" w:eastAsia="仿宋_GB2312"/>
          <w:sz w:val="32"/>
          <w:szCs w:val="32"/>
        </w:rPr>
      </w:pPr>
      <w:r>
        <w:rPr>
          <w:rFonts w:hint="eastAsia" w:ascii="仿宋_GB2312" w:eastAsia="仿宋_GB2312"/>
          <w:sz w:val="32"/>
          <w:szCs w:val="32"/>
        </w:rPr>
        <w:t>6.负责本园财务和基建管理，筹措资金，改善办园条件等工作，为师生提供优美和谐的学习和工作环境。核算和发放教职工工资,维护教职工利益，保障教职工合法权益。</w:t>
      </w:r>
    </w:p>
    <w:p w14:paraId="10520A7F">
      <w:pPr>
        <w:ind w:firstLine="640" w:firstLineChars="200"/>
        <w:rPr>
          <w:rFonts w:ascii="仿宋_GB2312" w:eastAsia="仿宋_GB2312"/>
          <w:sz w:val="32"/>
          <w:szCs w:val="32"/>
        </w:rPr>
      </w:pPr>
      <w:r>
        <w:rPr>
          <w:rFonts w:hint="eastAsia" w:ascii="仿宋_GB2312" w:eastAsia="仿宋_GB2312"/>
          <w:sz w:val="32"/>
          <w:szCs w:val="32"/>
        </w:rPr>
        <w:t>7.指导、管理、检查、评价本园的教育、保育工作。按照学前教育课程计划，实施教育、保育管理，全面提高教育、保育质量。</w:t>
      </w:r>
    </w:p>
    <w:p w14:paraId="0E0CA374">
      <w:pPr>
        <w:ind w:firstLine="640" w:firstLineChars="200"/>
        <w:rPr>
          <w:rFonts w:ascii="仿宋_GB2312" w:eastAsia="仿宋_GB2312"/>
          <w:sz w:val="32"/>
          <w:szCs w:val="32"/>
        </w:rPr>
      </w:pPr>
      <w:r>
        <w:rPr>
          <w:rFonts w:hint="eastAsia" w:ascii="仿宋_GB2312" w:eastAsia="仿宋_GB2312"/>
          <w:sz w:val="32"/>
          <w:szCs w:val="32"/>
        </w:rPr>
        <w:t>8.建立健全幼儿学籍管理制度，按</w:t>
      </w:r>
      <w:bookmarkStart w:id="49" w:name="_GoBack"/>
      <w:bookmarkEnd w:id="49"/>
      <w:r>
        <w:rPr>
          <w:rFonts w:hint="eastAsia" w:ascii="仿宋_GB2312" w:eastAsia="仿宋_GB2312"/>
          <w:sz w:val="32"/>
          <w:szCs w:val="32"/>
        </w:rPr>
        <w:t>教育部以及自治区相关规定管理幼儿学籍。</w:t>
      </w:r>
    </w:p>
    <w:p w14:paraId="2ACD1061">
      <w:pPr>
        <w:ind w:firstLine="640" w:firstLineChars="200"/>
        <w:rPr>
          <w:rFonts w:ascii="仿宋_GB2312" w:eastAsia="仿宋_GB2312"/>
          <w:sz w:val="32"/>
          <w:szCs w:val="32"/>
        </w:rPr>
      </w:pPr>
      <w:r>
        <w:rPr>
          <w:rFonts w:hint="eastAsia" w:ascii="仿宋_GB2312" w:eastAsia="仿宋_GB2312"/>
          <w:sz w:val="32"/>
          <w:szCs w:val="32"/>
        </w:rPr>
        <w:t>9.在上级党委、政府和教育行政部门的领导下，积极开展幼儿园安全管理，不断平安建设管理水平，努力营造平安、和谐、优美的幼儿园环境。</w:t>
      </w:r>
    </w:p>
    <w:p w14:paraId="05F5C4C6">
      <w:pPr>
        <w:ind w:firstLine="640" w:firstLineChars="200"/>
        <w:rPr>
          <w:rFonts w:ascii="仿宋_GB2312" w:eastAsia="仿宋_GB2312"/>
          <w:sz w:val="32"/>
          <w:szCs w:val="32"/>
        </w:rPr>
      </w:pPr>
      <w:r>
        <w:rPr>
          <w:rFonts w:hint="eastAsia" w:ascii="仿宋_GB2312" w:eastAsia="仿宋_GB2312"/>
          <w:sz w:val="32"/>
          <w:szCs w:val="32"/>
        </w:rPr>
        <w:t>10.在上级教育部门的领导下，谋划布局，全面推进学前教育均衡发展。</w:t>
      </w:r>
    </w:p>
    <w:p w14:paraId="408A99A0">
      <w:pPr>
        <w:ind w:firstLine="640" w:firstLineChars="200"/>
        <w:outlineLvl w:val="1"/>
        <w:rPr>
          <w:rFonts w:hint="eastAsia" w:ascii="黑体" w:hAnsi="黑体" w:eastAsia="黑体" w:cs="宋体"/>
          <w:bCs/>
          <w:kern w:val="0"/>
          <w:sz w:val="32"/>
          <w:szCs w:val="32"/>
        </w:rPr>
      </w:pPr>
      <w:bookmarkStart w:id="4" w:name="_Toc31238"/>
      <w:bookmarkStart w:id="5" w:name="_Toc2151"/>
      <w:r>
        <w:rPr>
          <w:rFonts w:hint="eastAsia" w:ascii="黑体" w:hAnsi="黑体" w:eastAsia="黑体" w:cs="宋体"/>
          <w:bCs/>
          <w:kern w:val="0"/>
          <w:sz w:val="32"/>
          <w:szCs w:val="32"/>
        </w:rPr>
        <w:t>二、机构设置及</w:t>
      </w:r>
      <w:bookmarkEnd w:id="4"/>
      <w:r>
        <w:rPr>
          <w:rFonts w:hint="eastAsia" w:ascii="黑体" w:hAnsi="黑体" w:eastAsia="黑体" w:cs="宋体"/>
          <w:bCs/>
          <w:kern w:val="0"/>
          <w:sz w:val="32"/>
          <w:szCs w:val="32"/>
        </w:rPr>
        <w:t>人员情况</w:t>
      </w:r>
      <w:bookmarkEnd w:id="5"/>
    </w:p>
    <w:p w14:paraId="203463B9">
      <w:pPr>
        <w:ind w:firstLine="640" w:firstLineChars="200"/>
        <w:rPr>
          <w:rFonts w:hint="eastAsia" w:ascii="仿宋_GB2312" w:hAnsi="仿宋_GB2312" w:eastAsia="仿宋_GB2312" w:cs="仿宋_GB2312"/>
          <w:b/>
          <w:sz w:val="32"/>
          <w:szCs w:val="32"/>
        </w:rPr>
      </w:pPr>
      <w:r>
        <w:rPr>
          <w:rFonts w:hint="eastAsia" w:ascii="仿宋_GB2312" w:eastAsia="仿宋_GB2312"/>
          <w:sz w:val="32"/>
          <w:szCs w:val="32"/>
        </w:rPr>
        <w:t>乌鲁木齐市米东区古牧地镇第一中心幼儿园2023年度，实有人数</w:t>
      </w:r>
      <w:r>
        <w:rPr>
          <w:rFonts w:hint="eastAsia" w:ascii="仿宋_GB2312" w:eastAsia="仿宋_GB2312"/>
          <w:sz w:val="32"/>
          <w:szCs w:val="32"/>
          <w:lang w:val="zh-CN"/>
        </w:rPr>
        <w:t>19</w:t>
      </w:r>
      <w:r>
        <w:rPr>
          <w:rFonts w:hint="eastAsia" w:ascii="仿宋_GB2312" w:eastAsia="仿宋_GB2312"/>
          <w:sz w:val="32"/>
          <w:szCs w:val="32"/>
        </w:rPr>
        <w:t>人，其中：在职人员</w:t>
      </w:r>
      <w:r>
        <w:rPr>
          <w:rFonts w:hint="eastAsia" w:ascii="仿宋_GB2312" w:eastAsia="仿宋_GB2312"/>
          <w:sz w:val="32"/>
          <w:szCs w:val="32"/>
          <w:lang w:val="zh-CN"/>
        </w:rPr>
        <w:t>19</w:t>
      </w:r>
      <w:r>
        <w:rPr>
          <w:rFonts w:hint="eastAsia" w:ascii="仿宋_GB2312" w:eastAsia="仿宋_GB2312"/>
          <w:sz w:val="32"/>
          <w:szCs w:val="32"/>
        </w:rPr>
        <w:t>人，离休人员</w:t>
      </w:r>
      <w:r>
        <w:rPr>
          <w:rFonts w:hint="eastAsia" w:ascii="仿宋_GB2312" w:eastAsia="仿宋_GB2312"/>
          <w:sz w:val="32"/>
          <w:szCs w:val="32"/>
          <w:lang w:val="zh-CN"/>
        </w:rPr>
        <w:t>0</w:t>
      </w:r>
      <w:r>
        <w:rPr>
          <w:rFonts w:hint="eastAsia" w:ascii="仿宋_GB2312" w:eastAsia="仿宋_GB2312"/>
          <w:sz w:val="32"/>
          <w:szCs w:val="32"/>
        </w:rPr>
        <w:t>人，退休人员</w:t>
      </w:r>
      <w:r>
        <w:rPr>
          <w:rFonts w:hint="eastAsia" w:ascii="仿宋_GB2312" w:eastAsia="仿宋_GB2312"/>
          <w:sz w:val="32"/>
          <w:szCs w:val="32"/>
          <w:lang w:val="zh-CN"/>
        </w:rPr>
        <w:t>0</w:t>
      </w:r>
      <w:r>
        <w:rPr>
          <w:rFonts w:hint="eastAsia" w:ascii="仿宋_GB2312" w:eastAsia="仿宋_GB2312"/>
          <w:sz w:val="32"/>
          <w:szCs w:val="32"/>
        </w:rPr>
        <w:t>人。</w:t>
      </w:r>
    </w:p>
    <w:p w14:paraId="250C39CA">
      <w:pPr>
        <w:ind w:firstLine="640" w:firstLineChars="200"/>
        <w:rPr>
          <w:rFonts w:hint="eastAsia" w:ascii="仿宋_GB2312" w:hAnsi="宋体" w:eastAsia="仿宋_GB2312" w:cs="宋体"/>
          <w:kern w:val="0"/>
          <w:sz w:val="32"/>
          <w:szCs w:val="32"/>
        </w:rPr>
        <w:sectPr>
          <w:footerReference r:id="rId3" w:type="default"/>
          <w:pgSz w:w="11906" w:h="16838"/>
          <w:pgMar w:top="1440" w:right="1800" w:bottom="1440" w:left="1800" w:header="851" w:footer="992" w:gutter="0"/>
          <w:cols w:space="720" w:num="1"/>
          <w:docGrid w:type="lines" w:linePitch="312" w:charSpace="0"/>
        </w:sectPr>
      </w:pPr>
      <w:r>
        <w:rPr>
          <w:rFonts w:hint="eastAsia" w:ascii="仿宋_GB2312" w:hAnsi="黑体" w:eastAsia="仿宋_GB2312" w:cs="宋体"/>
          <w:bCs/>
          <w:kern w:val="0"/>
          <w:sz w:val="32"/>
          <w:szCs w:val="32"/>
        </w:rPr>
        <w:t>单位无下属预算单位，下设</w:t>
      </w:r>
      <w:r>
        <w:rPr>
          <w:rFonts w:hint="eastAsia" w:ascii="仿宋_GB2312" w:eastAsia="仿宋_GB2312"/>
          <w:sz w:val="32"/>
          <w:szCs w:val="32"/>
        </w:rPr>
        <w:t>4</w:t>
      </w:r>
      <w:r>
        <w:rPr>
          <w:rFonts w:hint="eastAsia" w:ascii="仿宋_GB2312" w:hAnsi="黑体" w:eastAsia="仿宋_GB2312" w:cs="宋体"/>
          <w:bCs/>
          <w:kern w:val="0"/>
          <w:sz w:val="32"/>
          <w:szCs w:val="32"/>
        </w:rPr>
        <w:t>个处室，分别是：</w:t>
      </w:r>
      <w:r>
        <w:rPr>
          <w:rFonts w:hint="eastAsia" w:ascii="仿宋_GB2312" w:hAnsi="宋体" w:eastAsia="仿宋_GB2312" w:cs="宋体"/>
          <w:kern w:val="0"/>
          <w:sz w:val="32"/>
          <w:szCs w:val="32"/>
        </w:rPr>
        <w:t>书记办、财务室、综治办公室、教师办公室。</w:t>
      </w:r>
    </w:p>
    <w:p w14:paraId="6111BDE4">
      <w:pPr>
        <w:jc w:val="center"/>
        <w:outlineLvl w:val="0"/>
        <w:rPr>
          <w:rFonts w:hint="eastAsia" w:ascii="黑体" w:hAnsi="黑体" w:eastAsia="黑体"/>
          <w:sz w:val="32"/>
          <w:szCs w:val="32"/>
        </w:rPr>
      </w:pPr>
      <w:bookmarkStart w:id="6" w:name="_Toc3092"/>
      <w:bookmarkStart w:id="7" w:name="_Toc29374"/>
      <w:r>
        <w:rPr>
          <w:rFonts w:hint="eastAsia" w:ascii="黑体" w:hAnsi="黑体" w:eastAsia="黑体"/>
          <w:sz w:val="32"/>
          <w:szCs w:val="32"/>
        </w:rPr>
        <w:t>第二部分 部门决算情况说明</w:t>
      </w:r>
      <w:bookmarkEnd w:id="6"/>
      <w:bookmarkEnd w:id="7"/>
    </w:p>
    <w:p w14:paraId="00AEC6EC">
      <w:pPr>
        <w:ind w:firstLine="640" w:firstLineChars="200"/>
        <w:outlineLvl w:val="1"/>
        <w:rPr>
          <w:rFonts w:hint="eastAsia" w:ascii="黑体" w:hAnsi="黑体" w:eastAsia="黑体" w:cs="宋体"/>
          <w:bCs/>
          <w:kern w:val="0"/>
          <w:sz w:val="32"/>
          <w:szCs w:val="32"/>
        </w:rPr>
      </w:pPr>
      <w:bookmarkStart w:id="8" w:name="_Toc25314"/>
      <w:bookmarkStart w:id="9" w:name="_Toc12566"/>
      <w:r>
        <w:rPr>
          <w:rFonts w:hint="eastAsia" w:ascii="黑体" w:hAnsi="黑体" w:eastAsia="黑体" w:cs="宋体"/>
          <w:bCs/>
          <w:kern w:val="0"/>
          <w:sz w:val="32"/>
          <w:szCs w:val="32"/>
        </w:rPr>
        <w:t>一、收入支出决算总体情况说明</w:t>
      </w:r>
      <w:bookmarkEnd w:id="8"/>
      <w:bookmarkEnd w:id="9"/>
    </w:p>
    <w:p w14:paraId="4C11FF36">
      <w:pPr>
        <w:ind w:firstLine="640" w:firstLineChars="200"/>
        <w:rPr>
          <w:rFonts w:ascii="仿宋_GB2312" w:eastAsia="仿宋_GB2312"/>
          <w:sz w:val="32"/>
          <w:szCs w:val="32"/>
        </w:rPr>
      </w:pPr>
      <w:r>
        <w:rPr>
          <w:rFonts w:hint="eastAsia" w:ascii="仿宋_GB2312" w:eastAsia="仿宋_GB2312"/>
          <w:sz w:val="32"/>
          <w:szCs w:val="32"/>
        </w:rPr>
        <w:t>2023年度收入总计435.08万元，其中：本年收入合计431.54万元，使用非财政拨款结余0.00万元，年初结转和结余3.55万元。</w:t>
      </w:r>
    </w:p>
    <w:p w14:paraId="69788C4A">
      <w:pPr>
        <w:ind w:firstLine="640" w:firstLineChars="200"/>
        <w:rPr>
          <w:rFonts w:ascii="仿宋_GB2312" w:eastAsia="仿宋_GB2312"/>
          <w:sz w:val="32"/>
          <w:szCs w:val="32"/>
        </w:rPr>
      </w:pPr>
      <w:r>
        <w:rPr>
          <w:rFonts w:hint="eastAsia" w:ascii="仿宋_GB2312" w:eastAsia="仿宋_GB2312"/>
          <w:sz w:val="32"/>
          <w:szCs w:val="32"/>
        </w:rPr>
        <w:t>2023年度支出总计435.08万元，其中：本年支出合计428.03万元，结余分配0.00万元，年末结转和结余7.06万元。</w:t>
      </w:r>
    </w:p>
    <w:p w14:paraId="50AAD7BC">
      <w:pPr>
        <w:ind w:firstLine="640" w:firstLineChars="200"/>
        <w:rPr>
          <w:rFonts w:ascii="仿宋_GB2312" w:eastAsia="仿宋_GB2312"/>
          <w:sz w:val="32"/>
          <w:szCs w:val="32"/>
        </w:rPr>
      </w:pPr>
      <w:r>
        <w:rPr>
          <w:rFonts w:hint="eastAsia" w:ascii="仿宋_GB2312" w:eastAsia="仿宋_GB2312"/>
          <w:sz w:val="32"/>
          <w:szCs w:val="32"/>
        </w:rPr>
        <w:t>收入支出总体与上年相比，</w:t>
      </w:r>
      <w:r>
        <w:rPr>
          <w:rFonts w:hint="eastAsia" w:ascii="仿宋_GB2312" w:eastAsia="仿宋_GB2312"/>
          <w:sz w:val="32"/>
          <w:szCs w:val="32"/>
          <w:lang w:val="zh-CN"/>
        </w:rPr>
        <w:t>增加435.08万元</w:t>
      </w:r>
      <w:r>
        <w:rPr>
          <w:rFonts w:hint="eastAsia" w:ascii="仿宋_GB2312" w:eastAsia="仿宋_GB2312"/>
          <w:sz w:val="32"/>
          <w:szCs w:val="32"/>
        </w:rPr>
        <w:t>，增长100.00%，主要原因是：</w:t>
      </w:r>
      <w:r>
        <w:rPr>
          <w:rFonts w:hint="eastAsia" w:ascii="仿宋_GB2312" w:hAnsi="仿宋_GB2312" w:eastAsia="仿宋_GB2312" w:cs="仿宋_GB2312"/>
          <w:sz w:val="32"/>
          <w:szCs w:val="32"/>
        </w:rPr>
        <w:t>我单位为新增单位，本年</w:t>
      </w:r>
      <w:r>
        <w:rPr>
          <w:rFonts w:hint="eastAsia" w:ascii="仿宋_GB2312" w:hAnsi="仿宋_GB2312" w:eastAsia="仿宋_GB2312" w:cs="仿宋_GB2312"/>
          <w:sz w:val="32"/>
          <w:szCs w:val="32"/>
          <w:lang w:val="zh-CN"/>
        </w:rPr>
        <w:t>农村学前三年免费教育保障机制项目经费增加</w:t>
      </w:r>
      <w:r>
        <w:rPr>
          <w:rFonts w:hint="eastAsia" w:ascii="仿宋_GB2312" w:eastAsia="仿宋_GB2312"/>
          <w:sz w:val="32"/>
          <w:szCs w:val="32"/>
        </w:rPr>
        <w:t>。</w:t>
      </w:r>
    </w:p>
    <w:p w14:paraId="452333DE">
      <w:pPr>
        <w:ind w:firstLine="640" w:firstLineChars="200"/>
        <w:jc w:val="left"/>
        <w:outlineLvl w:val="1"/>
        <w:rPr>
          <w:rFonts w:hint="eastAsia" w:ascii="黑体" w:hAnsi="黑体" w:eastAsia="黑体" w:cs="宋体"/>
          <w:bCs/>
          <w:kern w:val="0"/>
          <w:sz w:val="32"/>
          <w:szCs w:val="32"/>
        </w:rPr>
      </w:pPr>
      <w:bookmarkStart w:id="10" w:name="_Toc12142"/>
      <w:bookmarkStart w:id="11" w:name="_Toc1979"/>
      <w:r>
        <w:rPr>
          <w:rFonts w:hint="eastAsia" w:ascii="黑体" w:hAnsi="黑体" w:eastAsia="黑体" w:cs="宋体"/>
          <w:bCs/>
          <w:kern w:val="0"/>
          <w:sz w:val="32"/>
          <w:szCs w:val="32"/>
        </w:rPr>
        <w:t>二、收入决算情况说明</w:t>
      </w:r>
      <w:bookmarkEnd w:id="10"/>
      <w:bookmarkEnd w:id="11"/>
    </w:p>
    <w:p w14:paraId="7289AD0D">
      <w:pPr>
        <w:ind w:firstLine="640" w:firstLineChars="200"/>
        <w:jc w:val="left"/>
        <w:rPr>
          <w:rFonts w:ascii="仿宋_GB2312" w:eastAsia="仿宋_GB2312"/>
          <w:sz w:val="32"/>
          <w:szCs w:val="32"/>
        </w:rPr>
      </w:pPr>
      <w:r>
        <w:rPr>
          <w:rFonts w:hint="eastAsia" w:ascii="仿宋_GB2312" w:eastAsia="仿宋_GB2312"/>
          <w:sz w:val="32"/>
          <w:szCs w:val="32"/>
        </w:rPr>
        <w:t>本年收入431.54万元，其中：财政拨款收入</w:t>
      </w:r>
      <w:r>
        <w:rPr>
          <w:rFonts w:hint="eastAsia" w:ascii="仿宋_GB2312" w:eastAsia="仿宋_GB2312"/>
          <w:sz w:val="32"/>
          <w:szCs w:val="32"/>
          <w:lang w:val="zh-CN"/>
        </w:rPr>
        <w:t>431.54</w:t>
      </w:r>
      <w:r>
        <w:rPr>
          <w:rFonts w:hint="eastAsia" w:ascii="仿宋_GB2312" w:eastAsia="仿宋_GB2312"/>
          <w:sz w:val="32"/>
          <w:szCs w:val="32"/>
        </w:rPr>
        <w:t>万元，占</w:t>
      </w:r>
      <w:r>
        <w:rPr>
          <w:rFonts w:hint="eastAsia" w:ascii="仿宋_GB2312" w:eastAsia="仿宋_GB2312"/>
          <w:sz w:val="32"/>
          <w:szCs w:val="32"/>
          <w:lang w:val="zh-CN"/>
        </w:rPr>
        <w:t>100.00%</w:t>
      </w:r>
      <w:r>
        <w:rPr>
          <w:rFonts w:hint="eastAsia" w:ascii="仿宋_GB2312" w:eastAsia="仿宋_GB2312"/>
          <w:sz w:val="32"/>
          <w:szCs w:val="32"/>
        </w:rPr>
        <w:t>；上级补助收入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；事业收入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；经营收入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；附属单位上缴收入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；其他收入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w:t>
      </w:r>
    </w:p>
    <w:p w14:paraId="26C0D106">
      <w:pPr>
        <w:ind w:firstLine="640" w:firstLineChars="200"/>
        <w:jc w:val="left"/>
        <w:outlineLvl w:val="1"/>
        <w:rPr>
          <w:rFonts w:hint="eastAsia" w:ascii="黑体" w:hAnsi="黑体" w:eastAsia="黑体" w:cs="宋体"/>
          <w:bCs/>
          <w:kern w:val="0"/>
          <w:sz w:val="32"/>
          <w:szCs w:val="32"/>
        </w:rPr>
      </w:pPr>
      <w:bookmarkStart w:id="12" w:name="_Toc27961"/>
      <w:bookmarkStart w:id="13" w:name="_Toc13201"/>
      <w:r>
        <w:rPr>
          <w:rFonts w:hint="eastAsia" w:ascii="黑体" w:hAnsi="黑体" w:eastAsia="黑体" w:cs="宋体"/>
          <w:bCs/>
          <w:kern w:val="0"/>
          <w:sz w:val="32"/>
          <w:szCs w:val="32"/>
        </w:rPr>
        <w:t>三、支出决算情况说明</w:t>
      </w:r>
      <w:bookmarkEnd w:id="12"/>
      <w:bookmarkEnd w:id="13"/>
    </w:p>
    <w:p w14:paraId="4E1F8C0D">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本年支出428.03万元，其中：基本支出408.32万元，占95.40%；项目支出19.70万元，占4.60%；上缴上级支出0.00万元，占0.00%；经营支出0.00万元，占0.00%；对附属单位补助支出0.00万元，占0.00%。</w:t>
      </w:r>
    </w:p>
    <w:p w14:paraId="2B4CA365">
      <w:pPr>
        <w:ind w:firstLine="640" w:firstLineChars="200"/>
        <w:jc w:val="left"/>
        <w:outlineLvl w:val="1"/>
        <w:rPr>
          <w:rFonts w:hint="eastAsia" w:ascii="黑体" w:hAnsi="黑体" w:eastAsia="黑体" w:cs="宋体"/>
          <w:bCs/>
          <w:kern w:val="0"/>
          <w:sz w:val="32"/>
          <w:szCs w:val="32"/>
        </w:rPr>
      </w:pPr>
      <w:bookmarkStart w:id="14" w:name="_Toc26564"/>
      <w:bookmarkStart w:id="15" w:name="_Toc4393"/>
      <w:r>
        <w:rPr>
          <w:rFonts w:hint="eastAsia" w:ascii="黑体" w:hAnsi="黑体" w:eastAsia="黑体" w:cs="宋体"/>
          <w:bCs/>
          <w:kern w:val="0"/>
          <w:sz w:val="32"/>
          <w:szCs w:val="32"/>
        </w:rPr>
        <w:t>四、财政拨款收入支出决算总体情况说明</w:t>
      </w:r>
      <w:bookmarkEnd w:id="14"/>
      <w:bookmarkEnd w:id="15"/>
    </w:p>
    <w:p w14:paraId="362516E9">
      <w:pPr>
        <w:ind w:firstLine="640" w:firstLineChars="200"/>
        <w:rPr>
          <w:rFonts w:ascii="仿宋_GB2312" w:eastAsia="仿宋_GB2312"/>
          <w:sz w:val="32"/>
          <w:szCs w:val="32"/>
        </w:rPr>
      </w:pPr>
      <w:r>
        <w:rPr>
          <w:rFonts w:hint="eastAsia" w:ascii="仿宋_GB2312" w:eastAsia="仿宋_GB2312"/>
          <w:sz w:val="32"/>
          <w:szCs w:val="32"/>
        </w:rPr>
        <w:t>2023年度财政拨款收入总计</w:t>
      </w:r>
      <w:r>
        <w:rPr>
          <w:rFonts w:hint="eastAsia" w:ascii="仿宋_GB2312" w:eastAsia="仿宋_GB2312"/>
          <w:sz w:val="32"/>
          <w:szCs w:val="32"/>
          <w:lang w:val="zh-CN"/>
        </w:rPr>
        <w:t>435.08</w:t>
      </w:r>
      <w:r>
        <w:rPr>
          <w:rFonts w:hint="eastAsia" w:ascii="仿宋_GB2312" w:eastAsia="仿宋_GB2312"/>
          <w:sz w:val="32"/>
          <w:szCs w:val="32"/>
        </w:rPr>
        <w:t>万元，其中：年初财政拨款结转和结余</w:t>
      </w:r>
      <w:r>
        <w:rPr>
          <w:rFonts w:hint="eastAsia" w:ascii="仿宋_GB2312" w:eastAsia="仿宋_GB2312"/>
          <w:sz w:val="32"/>
          <w:szCs w:val="32"/>
          <w:lang w:val="zh-CN"/>
        </w:rPr>
        <w:t>3.55</w:t>
      </w:r>
      <w:r>
        <w:rPr>
          <w:rFonts w:hint="eastAsia" w:ascii="仿宋_GB2312" w:eastAsia="仿宋_GB2312"/>
          <w:sz w:val="32"/>
          <w:szCs w:val="32"/>
        </w:rPr>
        <w:t>万元，本年财政拨款收入</w:t>
      </w:r>
      <w:r>
        <w:rPr>
          <w:rFonts w:hint="eastAsia" w:ascii="仿宋_GB2312" w:eastAsia="仿宋_GB2312"/>
          <w:sz w:val="32"/>
          <w:szCs w:val="32"/>
          <w:lang w:val="zh-CN"/>
        </w:rPr>
        <w:t>431.54</w:t>
      </w:r>
      <w:r>
        <w:rPr>
          <w:rFonts w:hint="eastAsia" w:ascii="仿宋_GB2312" w:eastAsia="仿宋_GB2312"/>
          <w:sz w:val="32"/>
          <w:szCs w:val="32"/>
        </w:rPr>
        <w:t>万元。财政拨款支出总计</w:t>
      </w:r>
      <w:r>
        <w:rPr>
          <w:rFonts w:hint="eastAsia" w:ascii="仿宋_GB2312" w:eastAsia="仿宋_GB2312"/>
          <w:sz w:val="32"/>
          <w:szCs w:val="32"/>
          <w:lang w:val="zh-CN"/>
        </w:rPr>
        <w:t>435.08</w:t>
      </w:r>
      <w:r>
        <w:rPr>
          <w:rFonts w:hint="eastAsia" w:ascii="仿宋_GB2312" w:eastAsia="仿宋_GB2312"/>
          <w:sz w:val="32"/>
          <w:szCs w:val="32"/>
        </w:rPr>
        <w:t>万元，其中：年末财政拨款结转和结余</w:t>
      </w:r>
      <w:r>
        <w:rPr>
          <w:rFonts w:hint="eastAsia" w:ascii="仿宋_GB2312" w:eastAsia="仿宋_GB2312"/>
          <w:sz w:val="32"/>
          <w:szCs w:val="32"/>
          <w:lang w:val="zh-CN"/>
        </w:rPr>
        <w:t>7.06</w:t>
      </w:r>
      <w:r>
        <w:rPr>
          <w:rFonts w:hint="eastAsia" w:ascii="仿宋_GB2312" w:eastAsia="仿宋_GB2312"/>
          <w:sz w:val="32"/>
          <w:szCs w:val="32"/>
        </w:rPr>
        <w:t>万元，本年财政拨款支出</w:t>
      </w:r>
      <w:r>
        <w:rPr>
          <w:rFonts w:hint="eastAsia" w:ascii="仿宋_GB2312" w:eastAsia="仿宋_GB2312"/>
          <w:sz w:val="32"/>
          <w:szCs w:val="32"/>
          <w:lang w:val="zh-CN"/>
        </w:rPr>
        <w:t>428.03</w:t>
      </w:r>
      <w:r>
        <w:rPr>
          <w:rFonts w:hint="eastAsia" w:ascii="仿宋_GB2312" w:eastAsia="仿宋_GB2312"/>
          <w:sz w:val="32"/>
          <w:szCs w:val="32"/>
        </w:rPr>
        <w:t>万元。</w:t>
      </w:r>
    </w:p>
    <w:p w14:paraId="47ECAB7B">
      <w:pPr>
        <w:ind w:firstLine="640" w:firstLineChars="200"/>
        <w:rPr>
          <w:rFonts w:ascii="仿宋_GB2312" w:eastAsia="仿宋_GB2312"/>
          <w:sz w:val="32"/>
          <w:szCs w:val="32"/>
        </w:rPr>
      </w:pPr>
      <w:r>
        <w:rPr>
          <w:rFonts w:hint="eastAsia" w:ascii="仿宋_GB2312" w:eastAsia="仿宋_GB2312"/>
          <w:sz w:val="32"/>
          <w:szCs w:val="32"/>
        </w:rPr>
        <w:t>财政拨款收入支出总体与上年相比,</w:t>
      </w:r>
      <w:r>
        <w:rPr>
          <w:rFonts w:hint="eastAsia" w:ascii="仿宋_GB2312" w:eastAsia="仿宋_GB2312"/>
          <w:sz w:val="32"/>
          <w:szCs w:val="32"/>
          <w:lang w:val="zh-CN"/>
        </w:rPr>
        <w:t>增加435.08万元</w:t>
      </w:r>
      <w:r>
        <w:rPr>
          <w:rFonts w:hint="eastAsia" w:ascii="仿宋_GB2312" w:eastAsia="仿宋_GB2312"/>
          <w:sz w:val="32"/>
          <w:szCs w:val="32"/>
        </w:rPr>
        <w:t>，增长100.00%,主要原因是：</w:t>
      </w:r>
      <w:r>
        <w:rPr>
          <w:rFonts w:hint="eastAsia" w:ascii="仿宋_GB2312" w:hAnsi="仿宋_GB2312" w:eastAsia="仿宋_GB2312" w:cs="仿宋_GB2312"/>
          <w:sz w:val="32"/>
          <w:szCs w:val="32"/>
        </w:rPr>
        <w:t>我单位为新增单位，本年</w:t>
      </w:r>
      <w:r>
        <w:rPr>
          <w:rFonts w:hint="eastAsia" w:ascii="仿宋_GB2312" w:hAnsi="仿宋_GB2312" w:eastAsia="仿宋_GB2312" w:cs="仿宋_GB2312"/>
          <w:sz w:val="32"/>
          <w:szCs w:val="32"/>
          <w:lang w:val="zh-CN"/>
        </w:rPr>
        <w:t>农村学前三年免费教育保障机制项目经费增加</w:t>
      </w:r>
      <w:r>
        <w:rPr>
          <w:rFonts w:hint="eastAsia" w:ascii="仿宋_GB2312" w:eastAsia="仿宋_GB2312"/>
          <w:sz w:val="32"/>
          <w:szCs w:val="32"/>
        </w:rPr>
        <w:t>。与年初预算相比，年初预算数</w:t>
      </w:r>
      <w:r>
        <w:rPr>
          <w:rFonts w:hint="eastAsia" w:ascii="仿宋_GB2312" w:eastAsia="仿宋_GB2312"/>
          <w:sz w:val="32"/>
          <w:szCs w:val="32"/>
          <w:lang w:val="zh-CN"/>
        </w:rPr>
        <w:t>420.94</w:t>
      </w:r>
      <w:r>
        <w:rPr>
          <w:rFonts w:hint="eastAsia" w:ascii="仿宋_GB2312" w:eastAsia="仿宋_GB2312"/>
          <w:sz w:val="32"/>
          <w:szCs w:val="32"/>
        </w:rPr>
        <w:t>万元，决算数</w:t>
      </w:r>
      <w:r>
        <w:rPr>
          <w:rFonts w:hint="eastAsia" w:ascii="仿宋_GB2312" w:eastAsia="仿宋_GB2312"/>
          <w:sz w:val="32"/>
          <w:szCs w:val="32"/>
          <w:lang w:val="zh-CN"/>
        </w:rPr>
        <w:t>435.08</w:t>
      </w:r>
      <w:r>
        <w:rPr>
          <w:rFonts w:hint="eastAsia" w:ascii="仿宋_GB2312" w:eastAsia="仿宋_GB2312"/>
          <w:sz w:val="32"/>
          <w:szCs w:val="32"/>
        </w:rPr>
        <w:t>万元，预决算差异率3.36%，主要原因是：</w:t>
      </w:r>
      <w:r>
        <w:rPr>
          <w:rFonts w:hint="eastAsia" w:ascii="仿宋_GB2312" w:hAnsi="仿宋_GB2312" w:eastAsia="仿宋_GB2312" w:cs="仿宋_GB2312"/>
          <w:sz w:val="32"/>
          <w:szCs w:val="32"/>
        </w:rPr>
        <w:t>我单位为新增单位，年中追加</w:t>
      </w:r>
      <w:r>
        <w:rPr>
          <w:rFonts w:hint="eastAsia" w:ascii="仿宋_GB2312" w:hAnsi="仿宋_GB2312" w:eastAsia="仿宋_GB2312" w:cs="仿宋_GB2312"/>
          <w:sz w:val="32"/>
          <w:szCs w:val="32"/>
          <w:lang w:val="zh-CN"/>
        </w:rPr>
        <w:t>工资、津贴补贴、奖金等人员经费</w:t>
      </w:r>
      <w:r>
        <w:rPr>
          <w:rFonts w:hint="eastAsia" w:ascii="仿宋_GB2312" w:eastAsia="仿宋_GB2312"/>
          <w:sz w:val="32"/>
          <w:szCs w:val="32"/>
        </w:rPr>
        <w:t>。</w:t>
      </w:r>
    </w:p>
    <w:p w14:paraId="5D7B686C">
      <w:pPr>
        <w:ind w:firstLine="640" w:firstLineChars="200"/>
        <w:jc w:val="left"/>
        <w:outlineLvl w:val="1"/>
        <w:rPr>
          <w:rFonts w:hint="eastAsia" w:ascii="黑体" w:hAnsi="黑体" w:eastAsia="黑体" w:cs="宋体"/>
          <w:bCs/>
          <w:kern w:val="0"/>
          <w:sz w:val="32"/>
          <w:szCs w:val="32"/>
        </w:rPr>
      </w:pPr>
      <w:bookmarkStart w:id="16" w:name="_Toc13833"/>
      <w:bookmarkStart w:id="17" w:name="_Toc20360"/>
      <w:r>
        <w:rPr>
          <w:rFonts w:hint="eastAsia" w:ascii="黑体" w:hAnsi="黑体" w:eastAsia="黑体" w:cs="宋体"/>
          <w:bCs/>
          <w:kern w:val="0"/>
          <w:sz w:val="32"/>
          <w:szCs w:val="32"/>
        </w:rPr>
        <w:t>五、一般公共预算财政拨款支出决算情况说明</w:t>
      </w:r>
      <w:bookmarkEnd w:id="16"/>
      <w:bookmarkEnd w:id="17"/>
    </w:p>
    <w:p w14:paraId="6261CFCC">
      <w:p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（一）一般公共预算财政拨款支出决算总体情况</w:t>
      </w:r>
    </w:p>
    <w:p w14:paraId="5D6DB9C5">
      <w:pPr>
        <w:ind w:firstLine="640" w:firstLineChars="200"/>
        <w:rPr>
          <w:rFonts w:ascii="仿宋_GB2312" w:eastAsia="仿宋_GB2312"/>
          <w:sz w:val="32"/>
          <w:szCs w:val="32"/>
        </w:rPr>
      </w:pPr>
      <w:r>
        <w:rPr>
          <w:rFonts w:hint="eastAsia" w:ascii="仿宋_GB2312" w:eastAsia="仿宋_GB2312"/>
          <w:sz w:val="32"/>
          <w:szCs w:val="32"/>
        </w:rPr>
        <w:t>2023年度一般公共预算财政拨款支出428.03万元，占本年支出合计的</w:t>
      </w:r>
      <w:r>
        <w:rPr>
          <w:rFonts w:hint="eastAsia" w:ascii="仿宋_GB2312" w:eastAsia="仿宋_GB2312"/>
          <w:sz w:val="32"/>
          <w:szCs w:val="32"/>
          <w:lang w:val="zh-CN"/>
        </w:rPr>
        <w:t>100.00%</w:t>
      </w:r>
      <w:r>
        <w:rPr>
          <w:rFonts w:hint="eastAsia" w:ascii="仿宋_GB2312" w:eastAsia="仿宋_GB2312"/>
          <w:sz w:val="32"/>
          <w:szCs w:val="32"/>
        </w:rPr>
        <w:t>。与上年相比，</w:t>
      </w:r>
      <w:r>
        <w:rPr>
          <w:rFonts w:hint="eastAsia" w:ascii="仿宋_GB2312" w:eastAsia="仿宋_GB2312"/>
          <w:sz w:val="32"/>
          <w:szCs w:val="32"/>
          <w:lang w:val="zh-CN"/>
        </w:rPr>
        <w:t>增加428.03万元</w:t>
      </w:r>
      <w:r>
        <w:rPr>
          <w:rFonts w:hint="eastAsia" w:ascii="仿宋_GB2312" w:eastAsia="仿宋_GB2312"/>
          <w:sz w:val="32"/>
          <w:szCs w:val="32"/>
        </w:rPr>
        <w:t>，增长100.00%,主要原因是：</w:t>
      </w:r>
      <w:r>
        <w:rPr>
          <w:rFonts w:hint="eastAsia" w:ascii="仿宋_GB2312" w:hAnsi="仿宋_GB2312" w:eastAsia="仿宋_GB2312" w:cs="仿宋_GB2312"/>
          <w:sz w:val="32"/>
          <w:szCs w:val="32"/>
        </w:rPr>
        <w:t>我单位为新增单位，本年</w:t>
      </w:r>
      <w:r>
        <w:rPr>
          <w:rFonts w:hint="eastAsia" w:ascii="仿宋_GB2312" w:hAnsi="仿宋_GB2312" w:eastAsia="仿宋_GB2312" w:cs="仿宋_GB2312"/>
          <w:sz w:val="32"/>
          <w:szCs w:val="32"/>
          <w:lang w:val="zh-CN"/>
        </w:rPr>
        <w:t>农村学前三年免费教育保障机制项目经费增加</w:t>
      </w:r>
      <w:r>
        <w:rPr>
          <w:rFonts w:hint="eastAsia" w:ascii="仿宋_GB2312" w:eastAsia="仿宋_GB2312"/>
          <w:sz w:val="32"/>
          <w:szCs w:val="32"/>
        </w:rPr>
        <w:t>。与年初预算相比，年初预算数</w:t>
      </w:r>
      <w:r>
        <w:rPr>
          <w:rFonts w:hint="eastAsia" w:ascii="仿宋_GB2312" w:eastAsia="仿宋_GB2312"/>
          <w:sz w:val="32"/>
          <w:szCs w:val="32"/>
          <w:lang w:val="zh-CN"/>
        </w:rPr>
        <w:t>420.94</w:t>
      </w:r>
      <w:r>
        <w:rPr>
          <w:rFonts w:hint="eastAsia" w:ascii="仿宋_GB2312" w:eastAsia="仿宋_GB2312"/>
          <w:sz w:val="32"/>
          <w:szCs w:val="32"/>
        </w:rPr>
        <w:t>万元，决算数</w:t>
      </w:r>
      <w:r>
        <w:rPr>
          <w:rFonts w:hint="eastAsia" w:ascii="仿宋_GB2312" w:eastAsia="仿宋_GB2312"/>
          <w:sz w:val="32"/>
          <w:szCs w:val="32"/>
          <w:lang w:val="zh-CN"/>
        </w:rPr>
        <w:t>428.03</w:t>
      </w:r>
      <w:r>
        <w:rPr>
          <w:rFonts w:hint="eastAsia" w:ascii="仿宋_GB2312" w:eastAsia="仿宋_GB2312"/>
          <w:sz w:val="32"/>
          <w:szCs w:val="32"/>
        </w:rPr>
        <w:t>万元，预决算差异率</w:t>
      </w:r>
      <w:r>
        <w:rPr>
          <w:rFonts w:hint="eastAsia" w:ascii="仿宋_GB2312" w:eastAsia="仿宋_GB2312"/>
          <w:sz w:val="32"/>
          <w:szCs w:val="32"/>
          <w:lang w:val="zh-CN"/>
        </w:rPr>
        <w:t>1.68%</w:t>
      </w:r>
      <w:r>
        <w:rPr>
          <w:rFonts w:hint="eastAsia" w:ascii="仿宋_GB2312" w:eastAsia="仿宋_GB2312"/>
          <w:sz w:val="32"/>
          <w:szCs w:val="32"/>
        </w:rPr>
        <w:t>，主要原因是：</w:t>
      </w:r>
      <w:r>
        <w:rPr>
          <w:rFonts w:hint="eastAsia" w:ascii="仿宋_GB2312" w:hAnsi="仿宋_GB2312" w:eastAsia="仿宋_GB2312" w:cs="仿宋_GB2312"/>
          <w:sz w:val="32"/>
          <w:szCs w:val="32"/>
        </w:rPr>
        <w:t>我单位为新增单位，年中追加</w:t>
      </w:r>
      <w:r>
        <w:rPr>
          <w:rFonts w:hint="eastAsia" w:ascii="仿宋_GB2312" w:hAnsi="仿宋_GB2312" w:eastAsia="仿宋_GB2312" w:cs="仿宋_GB2312"/>
          <w:sz w:val="32"/>
          <w:szCs w:val="32"/>
          <w:lang w:val="zh-CN"/>
        </w:rPr>
        <w:t>工资、津贴补贴、奖金等人员经费</w:t>
      </w:r>
      <w:r>
        <w:rPr>
          <w:rFonts w:hint="eastAsia" w:ascii="仿宋_GB2312" w:eastAsia="仿宋_GB2312"/>
          <w:sz w:val="32"/>
          <w:szCs w:val="32"/>
        </w:rPr>
        <w:t>。</w:t>
      </w:r>
    </w:p>
    <w:p w14:paraId="557CB3A6">
      <w:pPr>
        <w:numPr>
          <w:ilvl w:val="0"/>
          <w:numId w:val="1"/>
        </w:num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一般公共预算财政拨款支出决算结构情况</w:t>
      </w:r>
    </w:p>
    <w:p w14:paraId="33F0B546">
      <w:pPr>
        <w:pStyle w:val="8"/>
        <w:widowControl/>
        <w:spacing w:before="0" w:beforeAutospacing="0" w:after="0" w:afterAutospacing="0"/>
        <w:ind w:firstLine="640" w:firstLineChars="200"/>
        <w:rPr>
          <w:rFonts w:ascii="仿宋_GB2312" w:eastAsia="仿宋_GB2312"/>
          <w:kern w:val="2"/>
          <w:sz w:val="32"/>
          <w:szCs w:val="32"/>
          <w:lang w:val="zh-CN"/>
        </w:rPr>
      </w:pPr>
      <w:r>
        <w:rPr>
          <w:rFonts w:ascii="仿宋_GB2312" w:eastAsia="仿宋_GB2312"/>
          <w:kern w:val="2"/>
          <w:sz w:val="32"/>
          <w:szCs w:val="32"/>
          <w:lang w:val="zh-CN"/>
        </w:rPr>
        <w:t>1.教育支出（类）</w:t>
      </w:r>
      <w:r>
        <w:rPr>
          <w:rFonts w:hint="eastAsia" w:ascii="仿宋_GB2312" w:eastAsia="仿宋_GB2312"/>
          <w:kern w:val="2"/>
          <w:sz w:val="32"/>
          <w:szCs w:val="32"/>
          <w:lang w:val="zh-CN"/>
        </w:rPr>
        <w:t>428.03</w:t>
      </w:r>
      <w:r>
        <w:rPr>
          <w:rFonts w:ascii="仿宋_GB2312" w:eastAsia="仿宋_GB2312"/>
          <w:kern w:val="2"/>
          <w:sz w:val="32"/>
          <w:szCs w:val="32"/>
          <w:lang w:val="zh-CN"/>
        </w:rPr>
        <w:t>万元，占</w:t>
      </w:r>
      <w:r>
        <w:rPr>
          <w:rFonts w:hint="eastAsia" w:ascii="仿宋_GB2312" w:eastAsia="仿宋_GB2312"/>
          <w:kern w:val="2"/>
          <w:sz w:val="32"/>
          <w:szCs w:val="32"/>
          <w:lang w:val="zh-CN"/>
        </w:rPr>
        <w:t>100.00%。</w:t>
      </w:r>
    </w:p>
    <w:p w14:paraId="17AADEDD">
      <w:p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（三）一般公共预算财政拨款支出决算具体情况</w:t>
      </w:r>
    </w:p>
    <w:p w14:paraId="113493CA">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1.教育支出（类）普通教育（款）学前教育（项）:支出决算数为428.03万元，比上年决算增加428.03万元，增长100%，主要原因是：我单位为新增单位，本年</w:t>
      </w:r>
      <w:r>
        <w:rPr>
          <w:rFonts w:hint="eastAsia" w:ascii="仿宋_GB2312" w:hAnsi="仿宋_GB2312" w:eastAsia="仿宋_GB2312" w:cs="仿宋_GB2312"/>
          <w:sz w:val="32"/>
          <w:szCs w:val="32"/>
          <w:lang w:val="zh-CN"/>
        </w:rPr>
        <w:t>农村学前三年免费教育保障机制项目经费增加。</w:t>
      </w:r>
    </w:p>
    <w:p w14:paraId="29165525">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六、一般公共预算财政拨款基本支出决算情况说明</w:t>
      </w:r>
    </w:p>
    <w:p w14:paraId="58CD3F16">
      <w:pPr>
        <w:ind w:firstLine="640" w:firstLineChars="200"/>
        <w:jc w:val="left"/>
        <w:rPr>
          <w:rFonts w:ascii="仿宋_GB2312" w:eastAsia="仿宋_GB2312"/>
          <w:sz w:val="32"/>
          <w:szCs w:val="32"/>
        </w:rPr>
      </w:pPr>
      <w:r>
        <w:rPr>
          <w:rFonts w:hint="eastAsia" w:ascii="仿宋_GB2312" w:eastAsia="仿宋_GB2312"/>
          <w:sz w:val="32"/>
          <w:szCs w:val="32"/>
        </w:rPr>
        <w:t>2023年度一般公共预算财政拨款基本支出408.32万元，其中：人员经费289.85万元，包括：基本工资、津贴补贴、奖金、绩效工资、机关事业单位基本养老保险缴费、职工基本医疗保险缴费、公务员医疗补助缴费、其他社会保障缴费、住房公积金。</w:t>
      </w:r>
    </w:p>
    <w:p w14:paraId="19342DE7">
      <w:pPr>
        <w:ind w:firstLine="640" w:firstLineChars="200"/>
        <w:jc w:val="left"/>
        <w:rPr>
          <w:rFonts w:hint="eastAsia" w:ascii="仿宋_GB2312" w:hAnsi="宋体" w:eastAsia="仿宋_GB2312" w:cs="宋体"/>
          <w:kern w:val="0"/>
          <w:sz w:val="32"/>
          <w:szCs w:val="32"/>
        </w:rPr>
      </w:pPr>
      <w:r>
        <w:rPr>
          <w:rFonts w:hint="eastAsia" w:ascii="仿宋_GB2312" w:eastAsia="仿宋_GB2312"/>
          <w:sz w:val="32"/>
          <w:szCs w:val="32"/>
        </w:rPr>
        <w:t>公用经费118.47万元，包括：办公费、印刷费、手续费、电费、邮电费、取暖费、物业管理费、差旅费、维修（护）费、劳务费、工会经费、福利费、其他交通费用、其他商品和服务支出。</w:t>
      </w:r>
    </w:p>
    <w:p w14:paraId="01D1C78C">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七、财政拨款“三公”经费支出决算情况说明</w:t>
      </w:r>
    </w:p>
    <w:p w14:paraId="67E0E40E">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2023年度</w:t>
      </w:r>
      <w:r>
        <w:rPr>
          <w:rFonts w:hint="eastAsia" w:ascii="仿宋_GB2312" w:eastAsia="仿宋_GB2312"/>
          <w:sz w:val="32"/>
          <w:szCs w:val="32"/>
        </w:rPr>
        <w:t>财政拨款</w:t>
      </w:r>
      <w:r>
        <w:rPr>
          <w:rFonts w:hint="eastAsia" w:ascii="仿宋_GB2312" w:eastAsia="仿宋_GB2312"/>
          <w:sz w:val="32"/>
          <w:szCs w:val="32"/>
          <w:lang w:val="zh-CN"/>
        </w:rPr>
        <w:t>“三公”经费支出0.00万元，</w:t>
      </w:r>
      <w:r>
        <w:rPr>
          <w:rFonts w:hint="eastAsia" w:ascii="仿宋_GB2312" w:eastAsia="仿宋_GB2312"/>
          <w:sz w:val="32"/>
          <w:szCs w:val="32"/>
        </w:rPr>
        <w:t>比上年</w:t>
      </w:r>
      <w:r>
        <w:rPr>
          <w:rFonts w:hint="eastAsia" w:ascii="仿宋_GB2312" w:eastAsia="仿宋_GB2312"/>
          <w:sz w:val="32"/>
          <w:szCs w:val="32"/>
          <w:lang w:val="zh-CN"/>
        </w:rPr>
        <w:t>增加0.00万元，</w:t>
      </w:r>
      <w:r>
        <w:rPr>
          <w:rFonts w:hint="eastAsia" w:ascii="仿宋_GB2312" w:eastAsia="仿宋_GB2312"/>
          <w:sz w:val="32"/>
          <w:szCs w:val="32"/>
        </w:rPr>
        <w:t>增长0.00%,</w:t>
      </w:r>
      <w:r>
        <w:rPr>
          <w:rFonts w:hint="eastAsia" w:ascii="仿宋_GB2312" w:eastAsia="仿宋_GB2312"/>
          <w:sz w:val="32"/>
          <w:szCs w:val="32"/>
          <w:lang w:val="zh-CN"/>
        </w:rPr>
        <w:t>主要原因是：单位本年无此项经费。其中：因公出国（境）费支出0.00万元，占0.00%，比上年增加0.00万元，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主要原因是：单位本年无此项经费；公务用车购置及运行维护费支出0.00万元，占0.00%，比上年增加0.00万元，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主要原因是：单位本年无此项经费；公务接待费支出0.00万元，占0.00%，比上年增加0.00万元，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主要原因是：单位本年无此项经费。</w:t>
      </w:r>
    </w:p>
    <w:p w14:paraId="3999CEA5">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具体情况如下：</w:t>
      </w:r>
    </w:p>
    <w:p w14:paraId="5C996D73">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因公出国（境）费支出0.00万元，开支内容包括单位本年无此项经费。单位全年安排的因公出国（境）团组0个，因公出国（境）0人次。</w:t>
      </w:r>
    </w:p>
    <w:p w14:paraId="0508C8FF">
      <w:pPr>
        <w:ind w:firstLine="640" w:firstLineChars="200"/>
        <w:jc w:val="left"/>
        <w:rPr>
          <w:rFonts w:ascii="仿宋_GB2312" w:eastAsia="仿宋_GB2312"/>
          <w:sz w:val="32"/>
          <w:szCs w:val="32"/>
        </w:rPr>
      </w:pPr>
      <w:r>
        <w:rPr>
          <w:rFonts w:hint="eastAsia" w:ascii="仿宋_GB2312" w:eastAsia="仿宋_GB2312"/>
          <w:sz w:val="32"/>
          <w:szCs w:val="32"/>
          <w:lang w:val="zh-CN"/>
        </w:rPr>
        <w:t>公务用车购置及运行维护费0.00万元，其中：公务用车购置费0.00万元，公务用车运行维护费0.00万元。公务用车运行维护费开支内容包括单位本年无此项经费。公务用车购置数0辆，公务用车保有量0辆。国有资产占用情况</w:t>
      </w:r>
      <w:r>
        <w:rPr>
          <w:rFonts w:hint="eastAsia" w:ascii="仿宋_GB2312" w:eastAsia="仿宋_GB2312"/>
          <w:sz w:val="32"/>
          <w:szCs w:val="32"/>
        </w:rPr>
        <w:t>中固定资产车辆</w:t>
      </w:r>
      <w:r>
        <w:rPr>
          <w:rFonts w:hint="eastAsia" w:ascii="仿宋_GB2312" w:eastAsia="仿宋_GB2312"/>
          <w:sz w:val="32"/>
          <w:szCs w:val="32"/>
          <w:lang w:val="zh-CN"/>
        </w:rPr>
        <w:t>0辆，</w:t>
      </w:r>
      <w:r>
        <w:rPr>
          <w:rFonts w:hint="eastAsia" w:ascii="仿宋_GB2312" w:eastAsia="仿宋_GB2312"/>
          <w:sz w:val="32"/>
          <w:szCs w:val="32"/>
        </w:rPr>
        <w:t>与</w:t>
      </w:r>
      <w:r>
        <w:rPr>
          <w:rFonts w:hint="eastAsia" w:ascii="仿宋_GB2312" w:eastAsia="仿宋_GB2312"/>
          <w:sz w:val="32"/>
          <w:szCs w:val="32"/>
          <w:lang w:val="zh-CN"/>
        </w:rPr>
        <w:t>公务用车</w:t>
      </w:r>
      <w:r>
        <w:rPr>
          <w:rFonts w:hint="eastAsia" w:ascii="仿宋_GB2312" w:eastAsia="仿宋_GB2312"/>
          <w:sz w:val="32"/>
          <w:szCs w:val="32"/>
        </w:rPr>
        <w:t>保有量差异</w:t>
      </w:r>
      <w:r>
        <w:rPr>
          <w:rFonts w:hint="eastAsia" w:ascii="仿宋_GB2312" w:eastAsia="仿宋_GB2312"/>
          <w:sz w:val="32"/>
          <w:szCs w:val="32"/>
          <w:lang w:val="zh-CN"/>
        </w:rPr>
        <w:t>原因是：本单位固定资产车辆与公务用车保有量一致无差异。</w:t>
      </w:r>
    </w:p>
    <w:p w14:paraId="3D13878C">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公务接待费0.00万元，开支内容包括单位本年无此项经费。单位全年安排的国内公务接待0批次，0人次。</w:t>
      </w:r>
    </w:p>
    <w:p w14:paraId="3143E671">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与</w:t>
      </w:r>
      <w:r>
        <w:rPr>
          <w:rFonts w:hint="eastAsia" w:ascii="仿宋_GB2312" w:eastAsia="仿宋_GB2312"/>
          <w:sz w:val="32"/>
          <w:szCs w:val="32"/>
        </w:rPr>
        <w:t>全年</w:t>
      </w:r>
      <w:r>
        <w:rPr>
          <w:rFonts w:hint="eastAsia" w:ascii="仿宋_GB2312" w:eastAsia="仿宋_GB2312"/>
          <w:sz w:val="32"/>
          <w:szCs w:val="32"/>
          <w:lang w:val="zh-CN"/>
        </w:rPr>
        <w:t>预算相比</w:t>
      </w:r>
      <w:r>
        <w:rPr>
          <w:rFonts w:hint="eastAsia" w:ascii="仿宋_GB2312" w:eastAsia="仿宋_GB2312"/>
          <w:sz w:val="32"/>
          <w:szCs w:val="32"/>
        </w:rPr>
        <w:t>,</w:t>
      </w:r>
      <w:r>
        <w:rPr>
          <w:rFonts w:hint="eastAsia" w:ascii="仿宋_GB2312" w:eastAsia="仿宋_GB2312"/>
          <w:sz w:val="32"/>
          <w:szCs w:val="32"/>
          <w:lang w:val="zh-CN"/>
        </w:rPr>
        <w:t>财政拨款“三公”经费支出</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预算数0.00万元，决算数0.00万元，预决算差异率0.00%，主要原因是：单位本年无此项经费。其中：因公出国（境）费</w:t>
      </w:r>
      <w:r>
        <w:rPr>
          <w:rFonts w:hint="eastAsia" w:ascii="仿宋_GB2312" w:eastAsia="仿宋_GB2312"/>
          <w:sz w:val="32"/>
          <w:szCs w:val="32"/>
        </w:rPr>
        <w:t>全年预算数</w:t>
      </w:r>
      <w:r>
        <w:rPr>
          <w:rFonts w:hint="eastAsia" w:ascii="仿宋_GB2312" w:eastAsia="仿宋_GB2312"/>
          <w:sz w:val="32"/>
          <w:szCs w:val="32"/>
          <w:lang w:val="zh-CN"/>
        </w:rPr>
        <w:t>0.00万元，决算数0.00万元，预决算差异率0.00%，主要原因是：单位本年无此项经费；公务用车购置费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预算数0.00万元，决算数0.00万元，预决算差异率0.00%，主要原因是：单位本年无此项经费；公务用车运行费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预算数0.00万元，决算数0.00万元，预决算差异率0.00%，主要原因是：单位本年无此项经费；公务接待费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预算数0.00万元，决算数0.00万元，预决算差异率0.00%，主要原因是：单位本年无此项经费。</w:t>
      </w:r>
    </w:p>
    <w:p w14:paraId="14EC5C10">
      <w:pPr>
        <w:ind w:firstLine="640" w:firstLineChars="200"/>
        <w:jc w:val="left"/>
        <w:outlineLvl w:val="1"/>
        <w:rPr>
          <w:rFonts w:hint="eastAsia" w:ascii="黑体" w:hAnsi="黑体" w:eastAsia="黑体" w:cs="宋体"/>
          <w:bCs/>
          <w:kern w:val="0"/>
          <w:sz w:val="32"/>
          <w:szCs w:val="32"/>
        </w:rPr>
      </w:pPr>
      <w:bookmarkStart w:id="18" w:name="_Toc5810"/>
      <w:bookmarkStart w:id="19" w:name="_Toc7927"/>
      <w:r>
        <w:rPr>
          <w:rFonts w:hint="eastAsia" w:ascii="黑体" w:hAnsi="黑体" w:eastAsia="黑体" w:cs="宋体"/>
          <w:bCs/>
          <w:kern w:val="0"/>
          <w:sz w:val="32"/>
          <w:szCs w:val="32"/>
        </w:rPr>
        <w:t>八、政府性基金预算财政拨款收入支出决算情况说明</w:t>
      </w:r>
      <w:bookmarkEnd w:id="18"/>
      <w:bookmarkEnd w:id="19"/>
    </w:p>
    <w:p w14:paraId="40A1A458">
      <w:pPr>
        <w:ind w:firstLine="640" w:firstLineChars="200"/>
        <w:jc w:val="left"/>
        <w:rPr>
          <w:rFonts w:ascii="仿宋_GB2312" w:eastAsia="仿宋_GB2312"/>
          <w:sz w:val="32"/>
          <w:szCs w:val="32"/>
        </w:rPr>
      </w:pPr>
      <w:r>
        <w:rPr>
          <w:rFonts w:hint="eastAsia" w:ascii="仿宋_GB2312" w:eastAsia="仿宋_GB2312"/>
          <w:sz w:val="32"/>
          <w:szCs w:val="32"/>
        </w:rPr>
        <w:t>我单位本年度无政府性基金预算财政拨款收入、支出及结转和结余，政府性基金预算财政拨款收入支出决算表为空表。</w:t>
      </w:r>
    </w:p>
    <w:p w14:paraId="624BB9DD">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九、国有资本经营预算财政拨款收入支出决算情况说明</w:t>
      </w:r>
    </w:p>
    <w:p w14:paraId="6C4457C6">
      <w:pPr>
        <w:ind w:firstLine="640" w:firstLineChars="200"/>
        <w:jc w:val="left"/>
        <w:rPr>
          <w:rFonts w:ascii="仿宋_GB2312" w:eastAsia="仿宋_GB2312"/>
          <w:sz w:val="32"/>
          <w:szCs w:val="32"/>
        </w:rPr>
      </w:pPr>
      <w:r>
        <w:rPr>
          <w:rFonts w:hint="eastAsia" w:ascii="仿宋_GB2312" w:eastAsia="仿宋_GB2312"/>
          <w:sz w:val="32"/>
          <w:szCs w:val="32"/>
        </w:rPr>
        <w:t>我单位本年度无国有资本经营预算财政拨款收入、支出及结转和结余，国有资本经营预算财政拨款收入支出决算表为空表。</w:t>
      </w:r>
    </w:p>
    <w:p w14:paraId="34130267">
      <w:pPr>
        <w:ind w:firstLine="640" w:firstLineChars="200"/>
        <w:jc w:val="left"/>
        <w:outlineLvl w:val="1"/>
        <w:rPr>
          <w:rFonts w:hint="eastAsia" w:ascii="黑体" w:hAnsi="黑体" w:eastAsia="黑体" w:cs="宋体"/>
          <w:bCs/>
          <w:kern w:val="0"/>
          <w:sz w:val="32"/>
          <w:szCs w:val="32"/>
        </w:rPr>
      </w:pPr>
      <w:bookmarkStart w:id="20" w:name="_Toc7314"/>
      <w:bookmarkStart w:id="21" w:name="_Toc1235"/>
      <w:r>
        <w:rPr>
          <w:rFonts w:hint="eastAsia" w:ascii="黑体" w:hAnsi="黑体" w:eastAsia="黑体" w:cs="宋体"/>
          <w:bCs/>
          <w:kern w:val="0"/>
          <w:sz w:val="32"/>
          <w:szCs w:val="32"/>
        </w:rPr>
        <w:t>十、其他重要事项的情况说明</w:t>
      </w:r>
      <w:bookmarkEnd w:id="20"/>
      <w:bookmarkEnd w:id="21"/>
    </w:p>
    <w:p w14:paraId="5850008F">
      <w:pPr>
        <w:ind w:firstLine="640" w:firstLineChars="200"/>
        <w:jc w:val="left"/>
        <w:outlineLvl w:val="2"/>
        <w:rPr>
          <w:rFonts w:hint="eastAsia" w:ascii="黑体" w:hAnsi="黑体" w:eastAsia="黑体"/>
          <w:sz w:val="32"/>
          <w:szCs w:val="32"/>
        </w:rPr>
      </w:pPr>
      <w:bookmarkStart w:id="22" w:name="_Toc14519"/>
      <w:bookmarkStart w:id="23" w:name="_Toc13105"/>
      <w:r>
        <w:rPr>
          <w:rFonts w:hint="eastAsia" w:ascii="黑体" w:hAnsi="黑体" w:eastAsia="黑体"/>
          <w:sz w:val="32"/>
          <w:szCs w:val="32"/>
        </w:rPr>
        <w:t>（一）机关运行经费支出情况</w:t>
      </w:r>
      <w:bookmarkEnd w:id="22"/>
      <w:bookmarkEnd w:id="23"/>
    </w:p>
    <w:p w14:paraId="7565F1A1">
      <w:pPr>
        <w:ind w:firstLine="640" w:firstLineChars="200"/>
        <w:rPr>
          <w:rFonts w:hint="eastAsia" w:ascii="仿宋_GB2312" w:hAnsi="仿宋_GB2312" w:eastAsia="仿宋_GB2312" w:cs="仿宋_GB2312"/>
          <w:sz w:val="32"/>
          <w:szCs w:val="32"/>
          <w:lang w:val="zh-CN"/>
        </w:rPr>
      </w:pPr>
      <w:bookmarkStart w:id="24" w:name="_Toc26704"/>
      <w:bookmarkStart w:id="25" w:name="_Toc227"/>
      <w:r>
        <w:rPr>
          <w:rFonts w:hint="eastAsia" w:ascii="仿宋_GB2312" w:hAnsi="仿宋_GB2312" w:eastAsia="仿宋_GB2312" w:cs="仿宋_GB2312"/>
          <w:sz w:val="32"/>
          <w:szCs w:val="32"/>
          <w:lang w:val="zh-CN"/>
        </w:rPr>
        <w:t>2023年度</w:t>
      </w:r>
      <w:r>
        <w:rPr>
          <w:rFonts w:hint="eastAsia" w:ascii="仿宋_GB2312" w:hAnsi="仿宋_GB2312" w:eastAsia="仿宋_GB2312" w:cs="仿宋_GB2312"/>
          <w:sz w:val="32"/>
          <w:szCs w:val="32"/>
        </w:rPr>
        <w:t>乌鲁木齐市米东区古牧地镇第一中心幼儿园（事业单位）公用经费支出118.47万元，</w:t>
      </w:r>
      <w:r>
        <w:rPr>
          <w:rFonts w:hint="eastAsia" w:ascii="仿宋_GB2312" w:hAnsi="仿宋_GB2312" w:eastAsia="仿宋_GB2312" w:cs="仿宋_GB2312"/>
          <w:sz w:val="32"/>
          <w:szCs w:val="32"/>
          <w:lang w:val="zh-CN"/>
        </w:rPr>
        <w:t>比上年增加118.47万元，增长100.00%，主要原因是：</w:t>
      </w:r>
      <w:r>
        <w:rPr>
          <w:rFonts w:hint="eastAsia" w:ascii="仿宋_GB2312" w:hAnsi="仿宋_GB2312" w:eastAsia="仿宋_GB2312" w:cs="仿宋_GB2312"/>
          <w:sz w:val="32"/>
          <w:szCs w:val="32"/>
        </w:rPr>
        <w:t>我单位为新增单位，</w:t>
      </w:r>
      <w:r>
        <w:rPr>
          <w:rFonts w:hint="eastAsia" w:ascii="仿宋_GB2312" w:hAnsi="仿宋_GB2312" w:eastAsia="仿宋_GB2312" w:cs="仿宋_GB2312"/>
          <w:sz w:val="32"/>
          <w:szCs w:val="32"/>
          <w:lang w:val="zh-CN"/>
        </w:rPr>
        <w:t>本年</w:t>
      </w:r>
      <w:r>
        <w:rPr>
          <w:rFonts w:hint="eastAsia" w:ascii="仿宋_GB2312" w:eastAsia="仿宋_GB2312"/>
          <w:sz w:val="32"/>
          <w:szCs w:val="32"/>
        </w:rPr>
        <w:t>办公费、印刷费、取暖费、物业管理费、劳务费增加</w:t>
      </w:r>
      <w:r>
        <w:rPr>
          <w:rFonts w:hint="eastAsia" w:ascii="仿宋_GB2312" w:hAnsi="仿宋_GB2312" w:eastAsia="仿宋_GB2312" w:cs="仿宋_GB2312"/>
          <w:sz w:val="32"/>
          <w:szCs w:val="32"/>
          <w:lang w:val="zh-CN"/>
        </w:rPr>
        <w:t>。</w:t>
      </w:r>
    </w:p>
    <w:p w14:paraId="62F39496">
      <w:pPr>
        <w:ind w:firstLine="640" w:firstLineChars="200"/>
        <w:jc w:val="left"/>
        <w:rPr>
          <w:rFonts w:eastAsia="黑体"/>
          <w:sz w:val="32"/>
          <w:szCs w:val="30"/>
          <w:lang w:val="zh-CN"/>
        </w:rPr>
      </w:pPr>
      <w:r>
        <w:rPr>
          <w:rFonts w:hint="eastAsia" w:eastAsia="黑体"/>
          <w:sz w:val="32"/>
          <w:szCs w:val="30"/>
          <w:lang w:val="zh-CN"/>
        </w:rPr>
        <w:t>（二）政府采购情况</w:t>
      </w:r>
      <w:bookmarkEnd w:id="24"/>
      <w:bookmarkEnd w:id="25"/>
    </w:p>
    <w:p w14:paraId="35983C4C">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2023年度政府采购支出总额0.00万元，其中：政府采购货物支出0.00万元、政府采购工程支出0.00万元、政府采购服务支出0.00万元。</w:t>
      </w:r>
    </w:p>
    <w:p w14:paraId="2C4E087A">
      <w:pPr>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zh-CN"/>
        </w:rPr>
        <w:t>授予中小企业合同金额0.00万元，占政府采购支出总额的0.00%，其中：授予小微企业合同金额0.00万元，占政府采购支出总额的0.00%</w:t>
      </w:r>
      <w:r>
        <w:rPr>
          <w:rFonts w:hint="eastAsia" w:ascii="仿宋_GB2312" w:hAnsi="仿宋_GB2312" w:eastAsia="仿宋_GB2312" w:cs="仿宋_GB2312"/>
          <w:sz w:val="32"/>
          <w:szCs w:val="32"/>
        </w:rPr>
        <w:t>。</w:t>
      </w:r>
    </w:p>
    <w:p w14:paraId="48A7F421">
      <w:pPr>
        <w:ind w:firstLine="640" w:firstLineChars="200"/>
        <w:jc w:val="left"/>
        <w:rPr>
          <w:rFonts w:eastAsia="黑体"/>
          <w:sz w:val="32"/>
          <w:szCs w:val="30"/>
          <w:lang w:val="zh-CN"/>
        </w:rPr>
      </w:pPr>
      <w:bookmarkStart w:id="26" w:name="_Toc4591"/>
      <w:bookmarkStart w:id="27" w:name="_Toc8391"/>
      <w:r>
        <w:rPr>
          <w:rFonts w:hint="eastAsia" w:eastAsia="黑体"/>
          <w:sz w:val="32"/>
          <w:szCs w:val="30"/>
          <w:lang w:val="zh-CN"/>
        </w:rPr>
        <w:t>（三）国有资产占用情况说明</w:t>
      </w:r>
      <w:bookmarkEnd w:id="26"/>
      <w:bookmarkEnd w:id="27"/>
    </w:p>
    <w:p w14:paraId="6E4D7E96">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截至2023</w:t>
      </w:r>
      <w:r>
        <w:rPr>
          <w:rFonts w:hint="eastAsia" w:ascii="仿宋_GB2312" w:hAnsi="仿宋_GB2312" w:eastAsia="仿宋_GB2312" w:cs="仿宋_GB2312"/>
          <w:sz w:val="32"/>
          <w:szCs w:val="32"/>
          <w:lang w:val="zh-CN"/>
        </w:rPr>
        <w:t>年</w:t>
      </w:r>
      <w:r>
        <w:rPr>
          <w:rFonts w:hint="eastAsia" w:ascii="仿宋_GB2312" w:hAnsi="仿宋_GB2312" w:eastAsia="仿宋_GB2312" w:cs="仿宋_GB2312"/>
          <w:sz w:val="32"/>
          <w:szCs w:val="32"/>
        </w:rPr>
        <w:t>12月31日</w:t>
      </w:r>
      <w:r>
        <w:rPr>
          <w:rFonts w:hint="eastAsia" w:ascii="仿宋_GB2312" w:hAnsi="仿宋_GB2312" w:eastAsia="仿宋_GB2312" w:cs="仿宋_GB2312"/>
          <w:sz w:val="32"/>
          <w:szCs w:val="32"/>
          <w:lang w:val="zh-CN"/>
        </w:rPr>
        <w:t>，</w:t>
      </w:r>
      <w:r>
        <w:rPr>
          <w:rFonts w:hint="eastAsia" w:ascii="仿宋_GB2312" w:hAnsi="仿宋_GB2312" w:eastAsia="仿宋_GB2312" w:cs="仿宋_GB2312"/>
          <w:sz w:val="32"/>
          <w:szCs w:val="32"/>
        </w:rPr>
        <w:t>固定资产原值</w:t>
      </w:r>
      <w:r>
        <w:rPr>
          <w:rFonts w:hint="eastAsia" w:ascii="仿宋_GB2312" w:hAnsi="仿宋_GB2312" w:eastAsia="仿宋_GB2312" w:cs="仿宋_GB2312"/>
          <w:sz w:val="32"/>
          <w:szCs w:val="32"/>
          <w:lang w:val="zh-CN"/>
        </w:rPr>
        <w:t>3,227.95</w:t>
      </w:r>
      <w:r>
        <w:rPr>
          <w:rFonts w:hint="eastAsia" w:ascii="仿宋_GB2312" w:hAnsi="仿宋_GB2312" w:eastAsia="仿宋_GB2312" w:cs="仿宋_GB2312"/>
          <w:sz w:val="32"/>
          <w:szCs w:val="32"/>
        </w:rPr>
        <w:t>万元，房</w:t>
      </w:r>
      <w:r>
        <w:rPr>
          <w:rFonts w:hint="eastAsia" w:ascii="仿宋_GB2312" w:hAnsi="仿宋_GB2312" w:eastAsia="仿宋_GB2312" w:cs="仿宋_GB2312"/>
          <w:sz w:val="32"/>
          <w:szCs w:val="32"/>
          <w:lang w:val="zh-CN"/>
        </w:rPr>
        <w:t>屋9,225.70平方米，价值2,885.63万元。车辆0辆，价值0.00万元，其中：副部（省）级及以上领导用车0辆、主要</w:t>
      </w:r>
      <w:r>
        <w:rPr>
          <w:rFonts w:hint="eastAsia" w:ascii="仿宋_GB2312" w:hAnsi="仿宋_GB2312" w:eastAsia="仿宋_GB2312" w:cs="仿宋_GB2312"/>
          <w:sz w:val="32"/>
          <w:szCs w:val="32"/>
        </w:rPr>
        <w:t>负责人</w:t>
      </w:r>
      <w:r>
        <w:rPr>
          <w:rFonts w:hint="eastAsia" w:ascii="仿宋_GB2312" w:hAnsi="仿宋_GB2312" w:eastAsia="仿宋_GB2312" w:cs="仿宋_GB2312"/>
          <w:sz w:val="32"/>
          <w:szCs w:val="32"/>
          <w:lang w:val="zh-CN"/>
        </w:rPr>
        <w:t>用车0辆、机要通信用车0辆、应急保障用车0辆、执法执勤用车0辆、特种专业技术用车0辆、离退休干部</w:t>
      </w:r>
      <w:r>
        <w:rPr>
          <w:rFonts w:hint="eastAsia" w:ascii="仿宋_GB2312" w:hAnsi="仿宋_GB2312" w:eastAsia="仿宋_GB2312" w:cs="仿宋_GB2312"/>
          <w:sz w:val="32"/>
          <w:szCs w:val="32"/>
        </w:rPr>
        <w:t>服务</w:t>
      </w:r>
      <w:r>
        <w:rPr>
          <w:rFonts w:hint="eastAsia" w:ascii="仿宋_GB2312" w:hAnsi="仿宋_GB2312" w:eastAsia="仿宋_GB2312" w:cs="仿宋_GB2312"/>
          <w:sz w:val="32"/>
          <w:szCs w:val="32"/>
          <w:lang w:val="zh-CN"/>
        </w:rPr>
        <w:t>用车0辆、其他用车0辆，其他用车主要是：单位无其他车辆；单价100万元（含）以上设备（不含车辆）0</w:t>
      </w:r>
      <w:r>
        <w:rPr>
          <w:rFonts w:hint="eastAsia" w:ascii="仿宋_GB2312" w:hAnsi="仿宋_GB2312" w:eastAsia="仿宋_GB2312" w:cs="仿宋_GB2312"/>
          <w:sz w:val="32"/>
          <w:szCs w:val="32"/>
        </w:rPr>
        <w:t>台（</w:t>
      </w:r>
      <w:r>
        <w:rPr>
          <w:rFonts w:hint="eastAsia" w:ascii="仿宋_GB2312" w:hAnsi="仿宋_GB2312" w:eastAsia="仿宋_GB2312" w:cs="仿宋_GB2312"/>
          <w:sz w:val="32"/>
          <w:szCs w:val="32"/>
          <w:lang w:val="zh-CN"/>
        </w:rPr>
        <w:t>套）。</w:t>
      </w:r>
    </w:p>
    <w:p w14:paraId="2DFE3036">
      <w:pPr>
        <w:ind w:firstLine="640" w:firstLineChars="200"/>
        <w:jc w:val="left"/>
        <w:outlineLvl w:val="1"/>
        <w:rPr>
          <w:rFonts w:hint="eastAsia" w:ascii="黑体" w:hAnsi="黑体" w:eastAsia="黑体" w:cs="宋体"/>
          <w:bCs/>
          <w:kern w:val="0"/>
          <w:sz w:val="32"/>
          <w:szCs w:val="32"/>
        </w:rPr>
      </w:pPr>
      <w:bookmarkStart w:id="28" w:name="_Toc435"/>
      <w:bookmarkStart w:id="29" w:name="_Toc11283"/>
      <w:r>
        <w:rPr>
          <w:rFonts w:hint="eastAsia" w:ascii="黑体" w:hAnsi="黑体" w:eastAsia="黑体" w:cs="宋体"/>
          <w:bCs/>
          <w:kern w:val="0"/>
          <w:sz w:val="32"/>
          <w:szCs w:val="32"/>
        </w:rPr>
        <w:t>十一、预算绩效的情况说明</w:t>
      </w:r>
      <w:bookmarkEnd w:id="28"/>
      <w:bookmarkEnd w:id="29"/>
    </w:p>
    <w:p w14:paraId="68AAFBC9">
      <w:pPr>
        <w:ind w:firstLine="640" w:firstLineChars="200"/>
        <w:rPr>
          <w:rFonts w:ascii="仿宋_GB2312" w:eastAsia="仿宋_GB2312"/>
          <w:sz w:val="32"/>
          <w:szCs w:val="32"/>
        </w:rPr>
      </w:pPr>
      <w:r>
        <w:rPr>
          <w:rFonts w:hint="eastAsia" w:ascii="仿宋_GB2312" w:eastAsia="仿宋_GB2312"/>
          <w:sz w:val="32"/>
          <w:szCs w:val="32"/>
        </w:rPr>
        <w:t>根据预算绩效管理要求，我单位2023年度</w:t>
      </w:r>
      <w:r>
        <w:rPr>
          <w:rFonts w:hint="eastAsia" w:ascii="仿宋_GB2312" w:hAnsi="仿宋_GB2312" w:eastAsia="仿宋_GB2312" w:cs="仿宋_GB2312"/>
          <w:kern w:val="0"/>
          <w:sz w:val="32"/>
          <w:szCs w:val="32"/>
        </w:rPr>
        <w:t>预算绩效管理整体支出绩效自评表</w:t>
      </w:r>
      <w:r>
        <w:rPr>
          <w:rFonts w:hint="eastAsia" w:ascii="仿宋_GB2312" w:eastAsia="仿宋_GB2312"/>
          <w:sz w:val="32"/>
          <w:szCs w:val="32"/>
        </w:rPr>
        <w:t>1</w:t>
      </w:r>
      <w:r>
        <w:rPr>
          <w:rFonts w:hint="eastAsia" w:ascii="仿宋_GB2312" w:hAnsi="仿宋_GB2312" w:eastAsia="仿宋_GB2312" w:cs="仿宋_GB2312"/>
          <w:kern w:val="0"/>
          <w:sz w:val="32"/>
          <w:szCs w:val="32"/>
        </w:rPr>
        <w:t>个，全年</w:t>
      </w:r>
      <w:r>
        <w:rPr>
          <w:rFonts w:hint="eastAsia" w:ascii="仿宋_GB2312" w:eastAsia="仿宋_GB2312"/>
          <w:sz w:val="32"/>
          <w:szCs w:val="32"/>
        </w:rPr>
        <w:t>预算总额</w:t>
      </w:r>
      <w:r>
        <w:rPr>
          <w:rFonts w:ascii="仿宋_GB2312" w:eastAsia="仿宋_GB2312"/>
          <w:sz w:val="32"/>
          <w:szCs w:val="32"/>
        </w:rPr>
        <w:t>435.08</w:t>
      </w:r>
      <w:r>
        <w:rPr>
          <w:rFonts w:hint="eastAsia" w:ascii="仿宋_GB2312" w:eastAsia="仿宋_GB2312"/>
          <w:sz w:val="32"/>
          <w:szCs w:val="32"/>
        </w:rPr>
        <w:t>万元，实际执行总额</w:t>
      </w:r>
      <w:r>
        <w:rPr>
          <w:rFonts w:ascii="仿宋_GB2312" w:eastAsia="仿宋_GB2312"/>
          <w:sz w:val="32"/>
          <w:szCs w:val="32"/>
        </w:rPr>
        <w:t>428.0</w:t>
      </w:r>
      <w:r>
        <w:rPr>
          <w:rFonts w:hint="eastAsia" w:ascii="仿宋_GB2312" w:eastAsia="仿宋_GB2312"/>
          <w:sz w:val="32"/>
          <w:szCs w:val="32"/>
        </w:rPr>
        <w:t>2万元</w:t>
      </w:r>
      <w:r>
        <w:rPr>
          <w:rFonts w:hint="eastAsia" w:ascii="仿宋_GB2312" w:hAnsi="仿宋_GB2312" w:eastAsia="仿宋_GB2312" w:cs="仿宋_GB2312"/>
          <w:kern w:val="0"/>
          <w:sz w:val="32"/>
          <w:szCs w:val="32"/>
        </w:rPr>
        <w:t>；</w:t>
      </w:r>
      <w:r>
        <w:rPr>
          <w:rFonts w:hint="eastAsia" w:ascii="仿宋_GB2312" w:eastAsia="仿宋_GB2312"/>
          <w:sz w:val="32"/>
          <w:szCs w:val="32"/>
        </w:rPr>
        <w:t>预算绩效评价项目2个，全年预算数</w:t>
      </w:r>
      <w:r>
        <w:rPr>
          <w:rFonts w:ascii="仿宋_GB2312" w:eastAsia="仿宋_GB2312"/>
          <w:sz w:val="32"/>
          <w:szCs w:val="32"/>
        </w:rPr>
        <w:t>23.17</w:t>
      </w:r>
      <w:r>
        <w:rPr>
          <w:rFonts w:hint="eastAsia" w:ascii="仿宋_GB2312" w:eastAsia="仿宋_GB2312"/>
          <w:sz w:val="32"/>
          <w:szCs w:val="32"/>
        </w:rPr>
        <w:t>万元，全年执行数</w:t>
      </w:r>
      <w:r>
        <w:rPr>
          <w:rFonts w:ascii="仿宋_GB2312" w:eastAsia="仿宋_GB2312"/>
          <w:sz w:val="32"/>
          <w:szCs w:val="32"/>
        </w:rPr>
        <w:t>19.7</w:t>
      </w:r>
      <w:r>
        <w:rPr>
          <w:rFonts w:hint="eastAsia" w:ascii="仿宋_GB2312" w:eastAsia="仿宋_GB2312"/>
          <w:sz w:val="32"/>
          <w:szCs w:val="32"/>
        </w:rPr>
        <w:t>0万元。预算绩效管理取得的成效：一是我单位及其下属的两个分园分别对支出进行了详细的分类和分析，在日常办公支出方面，严格控制各项费用，合理安排办公用品的采购和使用，避免了浪费；二是我单位加强了对支出的监督和管理。通过建立健全的支出管理制度,明确了各项支出的审批流程和责任人，有效地防止了资金的挪用和浪费。发现的问题及原因：一是部门职能不明确，个别工作分工不清晰，且人员培训和绩效考核制度不够完善，考核方案部分内容和人员名单更新滞后；二是预算编制科学性的问题。首先预算编制之合理性相对不足，主要表现在预算调整数较大，年度目标与长期规划衔接的紧密程度需要增强。下一步改进措施：一是构建专业、客观、独立、多样的绩效评价主体。在可能的条件下，引入社会绩效评价组织，专家，高效研究人员等。还应加强对外公开的效率，促使公众参与到部门整体绩效评价执行的过程中，重视社会公众对绩效评价的监督。最后，要加强部门内部绩效评价人员的培训，提高其指标设计和绩效评价的专业技能；二是提高部门整体支出绩效目标设定的合理性。部门整体绩效目标不是碎片化工作的堆叠，而是反映部门开展预算绩效管理工作的规范性和执行力。要树立全局观，在执行部门整体绩效管理工作时，从部门的法定职能入手，围绕事业发展规划、政府重要战略等，以预算资金为主线，统筹考虑任务目标和大事要事清单，梳理集中反映部门履职效能、社会效应等效果的个性化、效益类绩效指标。具体项目自评情况附绩效自评表及自评报告。</w:t>
      </w:r>
      <w:bookmarkStart w:id="30" w:name="_Hlk174962300"/>
    </w:p>
    <w:p w14:paraId="028A4BE7">
      <w:pPr>
        <w:jc w:val="center"/>
        <w:rPr>
          <w:rFonts w:hint="eastAsia" w:ascii="宋体" w:hAnsi="宋体" w:cs="宋体"/>
          <w:b/>
          <w:bCs/>
          <w:kern w:val="0"/>
          <w:sz w:val="28"/>
          <w:szCs w:val="28"/>
        </w:rPr>
      </w:pPr>
      <w:r>
        <w:rPr>
          <w:rFonts w:hint="eastAsia" w:ascii="宋体" w:hAnsi="宋体" w:cs="宋体"/>
          <w:b/>
          <w:bCs/>
          <w:kern w:val="0"/>
          <w:sz w:val="28"/>
          <w:szCs w:val="28"/>
        </w:rPr>
        <w:t>部门（单位）整体支出绩效目标自评表</w:t>
      </w:r>
    </w:p>
    <w:p w14:paraId="0E8E9664">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935" w:type="dxa"/>
        <w:tblInd w:w="-601" w:type="dxa"/>
        <w:tblLayout w:type="fixed"/>
        <w:tblCellMar>
          <w:top w:w="0" w:type="dxa"/>
          <w:left w:w="108" w:type="dxa"/>
          <w:bottom w:w="0" w:type="dxa"/>
          <w:right w:w="108" w:type="dxa"/>
        </w:tblCellMar>
      </w:tblPr>
      <w:tblGrid>
        <w:gridCol w:w="993"/>
        <w:gridCol w:w="1417"/>
        <w:gridCol w:w="1418"/>
        <w:gridCol w:w="1134"/>
        <w:gridCol w:w="2126"/>
        <w:gridCol w:w="1004"/>
        <w:gridCol w:w="839"/>
        <w:gridCol w:w="720"/>
        <w:gridCol w:w="284"/>
      </w:tblGrid>
      <w:tr w14:paraId="66A51E1B">
        <w:tblPrEx>
          <w:tblCellMar>
            <w:top w:w="0" w:type="dxa"/>
            <w:left w:w="108" w:type="dxa"/>
            <w:bottom w:w="0" w:type="dxa"/>
            <w:right w:w="108" w:type="dxa"/>
          </w:tblCellMar>
        </w:tblPrEx>
        <w:trPr>
          <w:cantSplit/>
          <w:trHeight w:val="660" w:hRule="atLeast"/>
        </w:trPr>
        <w:tc>
          <w:tcPr>
            <w:tcW w:w="99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F2C3A06">
            <w:pPr>
              <w:widowControl/>
              <w:jc w:val="center"/>
              <w:rPr>
                <w:rFonts w:hint="eastAsia" w:ascii="宋体" w:hAnsi="宋体" w:cs="宋体"/>
                <w:b/>
                <w:bCs/>
                <w:kern w:val="0"/>
                <w:sz w:val="18"/>
                <w:szCs w:val="18"/>
              </w:rPr>
            </w:pPr>
            <w:r>
              <w:rPr>
                <w:rFonts w:hint="eastAsia" w:ascii="宋体" w:hAnsi="宋体" w:cs="宋体"/>
                <w:b/>
                <w:bCs/>
                <w:kern w:val="0"/>
                <w:sz w:val="18"/>
                <w:szCs w:val="18"/>
              </w:rPr>
              <w:t>部门（单位）名称</w:t>
            </w:r>
          </w:p>
        </w:tc>
        <w:tc>
          <w:tcPr>
            <w:tcW w:w="8658" w:type="dxa"/>
            <w:gridSpan w:val="7"/>
            <w:tcBorders>
              <w:top w:val="single" w:color="auto" w:sz="4" w:space="0"/>
              <w:left w:val="nil"/>
              <w:bottom w:val="single" w:color="auto" w:sz="4" w:space="0"/>
              <w:right w:val="single" w:color="auto" w:sz="4" w:space="0"/>
            </w:tcBorders>
            <w:shd w:val="clear" w:color="auto" w:fill="auto"/>
            <w:noWrap/>
            <w:vAlign w:val="center"/>
          </w:tcPr>
          <w:p w14:paraId="2EBAAB6F">
            <w:pPr>
              <w:jc w:val="center"/>
            </w:pPr>
            <w:r>
              <w:rPr>
                <w:rFonts w:ascii="宋体" w:hAnsi="宋体"/>
                <w:sz w:val="18"/>
              </w:rPr>
              <w:t>乌鲁木齐市米东区古牧地镇第一中心幼儿园</w:t>
            </w:r>
          </w:p>
        </w:tc>
        <w:tc>
          <w:tcPr>
            <w:tcW w:w="284" w:type="dxa"/>
            <w:tcBorders>
              <w:top w:val="nil"/>
              <w:left w:val="nil"/>
              <w:bottom w:val="nil"/>
              <w:right w:val="nil"/>
            </w:tcBorders>
            <w:shd w:val="clear" w:color="auto" w:fill="auto"/>
            <w:noWrap/>
            <w:vAlign w:val="center"/>
          </w:tcPr>
          <w:p w14:paraId="4A4F7E17">
            <w:pPr>
              <w:widowControl/>
              <w:jc w:val="left"/>
              <w:rPr>
                <w:rFonts w:hint="eastAsia" w:ascii="宋体" w:hAnsi="宋体" w:cs="宋体"/>
                <w:b/>
                <w:bCs/>
                <w:kern w:val="0"/>
                <w:sz w:val="18"/>
                <w:szCs w:val="18"/>
              </w:rPr>
            </w:pPr>
          </w:p>
        </w:tc>
      </w:tr>
      <w:tr w14:paraId="0B373F11">
        <w:tblPrEx>
          <w:tblCellMar>
            <w:top w:w="0" w:type="dxa"/>
            <w:left w:w="108" w:type="dxa"/>
            <w:bottom w:w="0" w:type="dxa"/>
            <w:right w:w="108" w:type="dxa"/>
          </w:tblCellMar>
        </w:tblPrEx>
        <w:trPr>
          <w:cantSplit/>
          <w:trHeight w:val="570"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780E545">
            <w:pPr>
              <w:widowControl/>
              <w:jc w:val="center"/>
              <w:rPr>
                <w:rFonts w:hint="eastAsia" w:ascii="宋体" w:hAnsi="宋体" w:cs="宋体"/>
                <w:b/>
                <w:bCs/>
                <w:kern w:val="0"/>
                <w:sz w:val="18"/>
                <w:szCs w:val="18"/>
              </w:rPr>
            </w:pPr>
            <w:r>
              <w:rPr>
                <w:rFonts w:hint="eastAsia" w:ascii="宋体" w:hAnsi="宋体" w:cs="宋体"/>
                <w:b/>
                <w:bCs/>
                <w:kern w:val="0"/>
                <w:sz w:val="18"/>
                <w:szCs w:val="18"/>
              </w:rPr>
              <w:t>部门资金（万元）</w:t>
            </w:r>
          </w:p>
        </w:tc>
        <w:tc>
          <w:tcPr>
            <w:tcW w:w="1417" w:type="dxa"/>
            <w:tcBorders>
              <w:top w:val="nil"/>
              <w:left w:val="nil"/>
              <w:bottom w:val="single" w:color="auto" w:sz="4" w:space="0"/>
              <w:right w:val="single" w:color="auto" w:sz="4" w:space="0"/>
            </w:tcBorders>
            <w:shd w:val="clear" w:color="auto" w:fill="auto"/>
            <w:vAlign w:val="center"/>
          </w:tcPr>
          <w:p w14:paraId="56E884BF">
            <w:pPr>
              <w:widowControl/>
              <w:jc w:val="center"/>
              <w:rPr>
                <w:rFonts w:hint="eastAsia" w:ascii="宋体" w:hAnsi="宋体" w:cs="宋体"/>
                <w:b/>
                <w:bCs/>
                <w:kern w:val="0"/>
                <w:sz w:val="18"/>
                <w:szCs w:val="18"/>
              </w:rPr>
            </w:pPr>
            <w:r>
              <w:rPr>
                <w:rFonts w:hint="eastAsia" w:ascii="宋体" w:hAnsi="宋体" w:cs="宋体"/>
                <w:b/>
                <w:bCs/>
                <w:kern w:val="0"/>
                <w:sz w:val="18"/>
                <w:szCs w:val="18"/>
              </w:rPr>
              <w:t>资金来源</w:t>
            </w:r>
          </w:p>
        </w:tc>
        <w:tc>
          <w:tcPr>
            <w:tcW w:w="1418" w:type="dxa"/>
            <w:tcBorders>
              <w:top w:val="nil"/>
              <w:left w:val="nil"/>
              <w:bottom w:val="single" w:color="auto" w:sz="4" w:space="0"/>
              <w:right w:val="single" w:color="auto" w:sz="4" w:space="0"/>
            </w:tcBorders>
            <w:shd w:val="clear" w:color="auto" w:fill="auto"/>
            <w:vAlign w:val="center"/>
          </w:tcPr>
          <w:p w14:paraId="313976D1">
            <w:pPr>
              <w:widowControl/>
              <w:jc w:val="center"/>
              <w:rPr>
                <w:rFonts w:hint="eastAsia" w:ascii="宋体" w:hAnsi="宋体" w:cs="宋体"/>
                <w:b/>
                <w:bCs/>
                <w:kern w:val="0"/>
                <w:sz w:val="18"/>
                <w:szCs w:val="18"/>
              </w:rPr>
            </w:pPr>
            <w:r>
              <w:rPr>
                <w:rFonts w:hint="eastAsia" w:ascii="宋体" w:hAnsi="宋体" w:cs="宋体"/>
                <w:b/>
                <w:bCs/>
                <w:kern w:val="0"/>
                <w:sz w:val="18"/>
                <w:szCs w:val="18"/>
              </w:rPr>
              <w:t>年初预算数</w:t>
            </w:r>
          </w:p>
        </w:tc>
        <w:tc>
          <w:tcPr>
            <w:tcW w:w="1134" w:type="dxa"/>
            <w:tcBorders>
              <w:top w:val="nil"/>
              <w:left w:val="nil"/>
              <w:bottom w:val="single" w:color="auto" w:sz="4" w:space="0"/>
              <w:right w:val="single" w:color="auto" w:sz="4" w:space="0"/>
            </w:tcBorders>
            <w:shd w:val="clear" w:color="auto" w:fill="auto"/>
            <w:vAlign w:val="center"/>
          </w:tcPr>
          <w:p w14:paraId="04900B31">
            <w:pPr>
              <w:widowControl/>
              <w:jc w:val="center"/>
              <w:rPr>
                <w:rFonts w:hint="eastAsia" w:ascii="宋体" w:hAnsi="宋体" w:cs="宋体"/>
                <w:b/>
                <w:bCs/>
                <w:kern w:val="0"/>
                <w:sz w:val="18"/>
                <w:szCs w:val="18"/>
              </w:rPr>
            </w:pPr>
            <w:r>
              <w:rPr>
                <w:rFonts w:hint="eastAsia" w:ascii="宋体" w:hAnsi="宋体" w:cs="宋体"/>
                <w:b/>
                <w:bCs/>
                <w:kern w:val="0"/>
                <w:sz w:val="18"/>
                <w:szCs w:val="18"/>
              </w:rPr>
              <w:t>全年预算数</w:t>
            </w:r>
          </w:p>
        </w:tc>
        <w:tc>
          <w:tcPr>
            <w:tcW w:w="2126" w:type="dxa"/>
            <w:tcBorders>
              <w:top w:val="nil"/>
              <w:left w:val="nil"/>
              <w:bottom w:val="single" w:color="auto" w:sz="4" w:space="0"/>
              <w:right w:val="single" w:color="auto" w:sz="4" w:space="0"/>
            </w:tcBorders>
            <w:shd w:val="clear" w:color="auto" w:fill="auto"/>
            <w:vAlign w:val="center"/>
          </w:tcPr>
          <w:p w14:paraId="250A136B">
            <w:pPr>
              <w:widowControl/>
              <w:jc w:val="center"/>
              <w:rPr>
                <w:rFonts w:hint="eastAsia" w:ascii="宋体" w:hAnsi="宋体" w:cs="宋体"/>
                <w:b/>
                <w:bCs/>
                <w:kern w:val="0"/>
                <w:sz w:val="18"/>
                <w:szCs w:val="18"/>
              </w:rPr>
            </w:pPr>
            <w:r>
              <w:rPr>
                <w:rFonts w:hint="eastAsia" w:ascii="宋体" w:hAnsi="宋体" w:cs="宋体"/>
                <w:b/>
                <w:bCs/>
                <w:kern w:val="0"/>
                <w:sz w:val="18"/>
                <w:szCs w:val="18"/>
              </w:rPr>
              <w:t>全年执行数</w:t>
            </w:r>
          </w:p>
        </w:tc>
        <w:tc>
          <w:tcPr>
            <w:tcW w:w="1004" w:type="dxa"/>
            <w:tcBorders>
              <w:top w:val="nil"/>
              <w:left w:val="nil"/>
              <w:bottom w:val="single" w:color="auto" w:sz="4" w:space="0"/>
              <w:right w:val="single" w:color="auto" w:sz="4" w:space="0"/>
            </w:tcBorders>
            <w:shd w:val="clear" w:color="auto" w:fill="auto"/>
            <w:vAlign w:val="center"/>
          </w:tcPr>
          <w:p w14:paraId="0E97C7B1">
            <w:pPr>
              <w:widowControl/>
              <w:jc w:val="center"/>
              <w:rPr>
                <w:rFonts w:hint="eastAsia" w:ascii="宋体" w:hAnsi="宋体" w:cs="宋体"/>
                <w:b/>
                <w:bCs/>
                <w:kern w:val="0"/>
                <w:sz w:val="18"/>
                <w:szCs w:val="18"/>
              </w:rPr>
            </w:pPr>
            <w:r>
              <w:rPr>
                <w:rFonts w:hint="eastAsia" w:ascii="宋体" w:hAnsi="宋体" w:cs="宋体"/>
                <w:b/>
                <w:bCs/>
                <w:kern w:val="0"/>
                <w:sz w:val="18"/>
                <w:szCs w:val="18"/>
              </w:rPr>
              <w:t>分值权重</w:t>
            </w:r>
          </w:p>
        </w:tc>
        <w:tc>
          <w:tcPr>
            <w:tcW w:w="839" w:type="dxa"/>
            <w:tcBorders>
              <w:top w:val="nil"/>
              <w:left w:val="nil"/>
              <w:bottom w:val="single" w:color="auto" w:sz="4" w:space="0"/>
              <w:right w:val="single" w:color="auto" w:sz="4" w:space="0"/>
            </w:tcBorders>
            <w:shd w:val="clear" w:color="auto" w:fill="auto"/>
            <w:vAlign w:val="center"/>
          </w:tcPr>
          <w:p w14:paraId="6FD48047">
            <w:pPr>
              <w:widowControl/>
              <w:jc w:val="center"/>
              <w:rPr>
                <w:rFonts w:hint="eastAsia" w:ascii="宋体" w:hAnsi="宋体" w:cs="宋体"/>
                <w:b/>
                <w:bCs/>
                <w:kern w:val="0"/>
                <w:sz w:val="18"/>
                <w:szCs w:val="18"/>
              </w:rPr>
            </w:pPr>
            <w:r>
              <w:rPr>
                <w:rFonts w:hint="eastAsia" w:ascii="宋体" w:hAnsi="宋体" w:cs="宋体"/>
                <w:b/>
                <w:bCs/>
                <w:kern w:val="0"/>
                <w:sz w:val="18"/>
                <w:szCs w:val="18"/>
              </w:rPr>
              <w:t>执行率</w:t>
            </w:r>
          </w:p>
        </w:tc>
        <w:tc>
          <w:tcPr>
            <w:tcW w:w="720" w:type="dxa"/>
            <w:tcBorders>
              <w:top w:val="nil"/>
              <w:left w:val="nil"/>
              <w:bottom w:val="single" w:color="auto" w:sz="4" w:space="0"/>
              <w:right w:val="single" w:color="auto" w:sz="4" w:space="0"/>
            </w:tcBorders>
            <w:shd w:val="clear" w:color="auto" w:fill="auto"/>
            <w:vAlign w:val="center"/>
          </w:tcPr>
          <w:p w14:paraId="464A1FB9">
            <w:pPr>
              <w:widowControl/>
              <w:jc w:val="center"/>
              <w:rPr>
                <w:rFonts w:hint="eastAsia" w:ascii="宋体" w:hAnsi="宋体" w:cs="宋体"/>
                <w:b/>
                <w:bCs/>
                <w:kern w:val="0"/>
                <w:sz w:val="18"/>
                <w:szCs w:val="18"/>
              </w:rPr>
            </w:pPr>
            <w:r>
              <w:rPr>
                <w:rFonts w:hint="eastAsia" w:ascii="宋体" w:hAnsi="宋体" w:cs="宋体"/>
                <w:b/>
                <w:bCs/>
                <w:kern w:val="0"/>
                <w:sz w:val="18"/>
                <w:szCs w:val="18"/>
              </w:rPr>
              <w:t>得分</w:t>
            </w:r>
          </w:p>
        </w:tc>
        <w:tc>
          <w:tcPr>
            <w:tcW w:w="284" w:type="dxa"/>
            <w:tcBorders>
              <w:top w:val="nil"/>
              <w:left w:val="nil"/>
              <w:bottom w:val="nil"/>
              <w:right w:val="nil"/>
            </w:tcBorders>
            <w:shd w:val="clear" w:color="auto" w:fill="auto"/>
            <w:noWrap/>
            <w:vAlign w:val="center"/>
          </w:tcPr>
          <w:p w14:paraId="24AFE6D5">
            <w:pPr>
              <w:widowControl/>
              <w:jc w:val="center"/>
              <w:rPr>
                <w:rFonts w:hint="eastAsia" w:ascii="宋体" w:hAnsi="宋体" w:cs="宋体"/>
                <w:b/>
                <w:bCs/>
                <w:kern w:val="0"/>
                <w:sz w:val="18"/>
                <w:szCs w:val="18"/>
              </w:rPr>
            </w:pPr>
          </w:p>
        </w:tc>
      </w:tr>
      <w:tr w14:paraId="3A9E0E27">
        <w:tblPrEx>
          <w:tblCellMar>
            <w:top w:w="0" w:type="dxa"/>
            <w:left w:w="108" w:type="dxa"/>
            <w:bottom w:w="0" w:type="dxa"/>
            <w:right w:w="108" w:type="dxa"/>
          </w:tblCellMar>
        </w:tblPrEx>
        <w:trPr>
          <w:cantSplit/>
          <w:trHeight w:val="489"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617B1FCD">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noWrap/>
            <w:vAlign w:val="center"/>
          </w:tcPr>
          <w:p w14:paraId="4B7FF741">
            <w:pPr>
              <w:widowControl/>
              <w:jc w:val="center"/>
              <w:rPr>
                <w:rFonts w:hint="eastAsia" w:ascii="宋体" w:hAnsi="宋体" w:cs="宋体"/>
                <w:b/>
                <w:bCs/>
                <w:kern w:val="0"/>
                <w:sz w:val="18"/>
                <w:szCs w:val="18"/>
              </w:rPr>
            </w:pPr>
            <w:r>
              <w:rPr>
                <w:rFonts w:hint="eastAsia" w:ascii="宋体" w:hAnsi="宋体" w:cs="宋体"/>
                <w:b/>
                <w:bCs/>
                <w:kern w:val="0"/>
                <w:sz w:val="18"/>
                <w:szCs w:val="18"/>
              </w:rPr>
              <w:t>年度总资金</w:t>
            </w:r>
          </w:p>
        </w:tc>
        <w:tc>
          <w:tcPr>
            <w:tcW w:w="1418" w:type="dxa"/>
            <w:tcBorders>
              <w:top w:val="nil"/>
              <w:left w:val="nil"/>
              <w:bottom w:val="single" w:color="auto" w:sz="4" w:space="0"/>
              <w:right w:val="single" w:color="auto" w:sz="4" w:space="0"/>
            </w:tcBorders>
            <w:shd w:val="clear" w:color="auto" w:fill="auto"/>
            <w:vAlign w:val="center"/>
          </w:tcPr>
          <w:p w14:paraId="073D5527">
            <w:pPr>
              <w:jc w:val="center"/>
            </w:pPr>
            <w:r>
              <w:rPr>
                <w:rFonts w:ascii="宋体" w:hAnsi="宋体"/>
                <w:sz w:val="18"/>
              </w:rPr>
              <w:t>420.94</w:t>
            </w:r>
          </w:p>
        </w:tc>
        <w:tc>
          <w:tcPr>
            <w:tcW w:w="1134" w:type="dxa"/>
            <w:tcBorders>
              <w:top w:val="nil"/>
              <w:left w:val="nil"/>
              <w:bottom w:val="single" w:color="auto" w:sz="4" w:space="0"/>
              <w:right w:val="single" w:color="auto" w:sz="4" w:space="0"/>
            </w:tcBorders>
            <w:shd w:val="clear" w:color="auto" w:fill="auto"/>
            <w:vAlign w:val="center"/>
          </w:tcPr>
          <w:p w14:paraId="56F87928">
            <w:pPr>
              <w:jc w:val="center"/>
            </w:pPr>
            <w:r>
              <w:rPr>
                <w:rFonts w:ascii="宋体" w:hAnsi="宋体"/>
                <w:sz w:val="18"/>
              </w:rPr>
              <w:t>435.08</w:t>
            </w:r>
          </w:p>
        </w:tc>
        <w:tc>
          <w:tcPr>
            <w:tcW w:w="2126" w:type="dxa"/>
            <w:tcBorders>
              <w:top w:val="nil"/>
              <w:left w:val="nil"/>
              <w:bottom w:val="single" w:color="auto" w:sz="4" w:space="0"/>
              <w:right w:val="single" w:color="auto" w:sz="4" w:space="0"/>
            </w:tcBorders>
            <w:shd w:val="clear" w:color="auto" w:fill="auto"/>
            <w:vAlign w:val="center"/>
          </w:tcPr>
          <w:p w14:paraId="154CD205">
            <w:pPr>
              <w:jc w:val="center"/>
            </w:pPr>
            <w:r>
              <w:rPr>
                <w:rFonts w:ascii="宋体" w:hAnsi="宋体"/>
                <w:sz w:val="18"/>
              </w:rPr>
              <w:t>428.02</w:t>
            </w:r>
          </w:p>
        </w:tc>
        <w:tc>
          <w:tcPr>
            <w:tcW w:w="1004" w:type="dxa"/>
            <w:tcBorders>
              <w:top w:val="nil"/>
              <w:left w:val="nil"/>
              <w:bottom w:val="single" w:color="auto" w:sz="4" w:space="0"/>
              <w:right w:val="single" w:color="auto" w:sz="4" w:space="0"/>
            </w:tcBorders>
            <w:shd w:val="clear" w:color="auto" w:fill="auto"/>
            <w:vAlign w:val="center"/>
          </w:tcPr>
          <w:p w14:paraId="3F21BF2A">
            <w:pPr>
              <w:jc w:val="center"/>
            </w:pPr>
            <w:r>
              <w:rPr>
                <w:rFonts w:ascii="宋体" w:hAnsi="宋体"/>
                <w:sz w:val="18"/>
              </w:rPr>
              <w:t>10</w:t>
            </w:r>
          </w:p>
        </w:tc>
        <w:tc>
          <w:tcPr>
            <w:tcW w:w="839" w:type="dxa"/>
            <w:tcBorders>
              <w:top w:val="nil"/>
              <w:left w:val="nil"/>
              <w:bottom w:val="single" w:color="auto" w:sz="4" w:space="0"/>
              <w:right w:val="single" w:color="auto" w:sz="4" w:space="0"/>
            </w:tcBorders>
            <w:shd w:val="clear" w:color="auto" w:fill="auto"/>
            <w:vAlign w:val="center"/>
          </w:tcPr>
          <w:p w14:paraId="0CAF94B0">
            <w:pPr>
              <w:jc w:val="center"/>
            </w:pPr>
            <w:r>
              <w:rPr>
                <w:rFonts w:ascii="宋体" w:hAnsi="宋体"/>
                <w:sz w:val="18"/>
              </w:rPr>
              <w:t>98.38%</w:t>
            </w:r>
          </w:p>
        </w:tc>
        <w:tc>
          <w:tcPr>
            <w:tcW w:w="720" w:type="dxa"/>
            <w:tcBorders>
              <w:top w:val="nil"/>
              <w:left w:val="nil"/>
              <w:bottom w:val="single" w:color="auto" w:sz="4" w:space="0"/>
              <w:right w:val="single" w:color="auto" w:sz="4" w:space="0"/>
            </w:tcBorders>
            <w:shd w:val="clear" w:color="auto" w:fill="auto"/>
            <w:vAlign w:val="center"/>
          </w:tcPr>
          <w:p w14:paraId="46E7E307">
            <w:pPr>
              <w:jc w:val="center"/>
            </w:pPr>
            <w:r>
              <w:rPr>
                <w:rFonts w:ascii="宋体" w:hAnsi="宋体"/>
                <w:sz w:val="18"/>
              </w:rPr>
              <w:t>9.84</w:t>
            </w:r>
          </w:p>
        </w:tc>
        <w:tc>
          <w:tcPr>
            <w:tcW w:w="284" w:type="dxa"/>
            <w:tcBorders>
              <w:top w:val="nil"/>
              <w:left w:val="nil"/>
              <w:bottom w:val="nil"/>
              <w:right w:val="nil"/>
            </w:tcBorders>
            <w:shd w:val="clear" w:color="auto" w:fill="auto"/>
            <w:noWrap/>
            <w:vAlign w:val="center"/>
          </w:tcPr>
          <w:p w14:paraId="48FD5B22">
            <w:pPr>
              <w:widowControl/>
              <w:jc w:val="center"/>
              <w:rPr>
                <w:rFonts w:hint="eastAsia" w:ascii="宋体" w:hAnsi="宋体" w:cs="宋体"/>
                <w:b/>
                <w:bCs/>
                <w:kern w:val="0"/>
                <w:sz w:val="18"/>
                <w:szCs w:val="18"/>
              </w:rPr>
            </w:pPr>
          </w:p>
        </w:tc>
      </w:tr>
      <w:tr w14:paraId="1C5E7113">
        <w:tblPrEx>
          <w:tblCellMar>
            <w:top w:w="0" w:type="dxa"/>
            <w:left w:w="108" w:type="dxa"/>
            <w:bottom w:w="0" w:type="dxa"/>
            <w:right w:w="108" w:type="dxa"/>
          </w:tblCellMar>
        </w:tblPrEx>
        <w:trPr>
          <w:cantSplit/>
          <w:trHeight w:val="287"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5C91D019">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60E9386E">
            <w:pPr>
              <w:widowControl/>
              <w:jc w:val="center"/>
              <w:rPr>
                <w:rFonts w:hint="eastAsia" w:ascii="宋体" w:hAnsi="宋体" w:cs="宋体"/>
                <w:b/>
                <w:bCs/>
                <w:kern w:val="0"/>
                <w:sz w:val="18"/>
                <w:szCs w:val="18"/>
              </w:rPr>
            </w:pPr>
            <w:r>
              <w:rPr>
                <w:rFonts w:hint="eastAsia" w:ascii="宋体" w:hAnsi="宋体" w:cs="宋体"/>
                <w:b/>
                <w:bCs/>
                <w:kern w:val="0"/>
                <w:sz w:val="18"/>
                <w:szCs w:val="18"/>
              </w:rPr>
              <w:t>其中:中央安排（万元）</w:t>
            </w:r>
          </w:p>
        </w:tc>
        <w:tc>
          <w:tcPr>
            <w:tcW w:w="1418" w:type="dxa"/>
            <w:tcBorders>
              <w:top w:val="nil"/>
              <w:left w:val="nil"/>
              <w:bottom w:val="single" w:color="auto" w:sz="4" w:space="0"/>
              <w:right w:val="single" w:color="auto" w:sz="4" w:space="0"/>
            </w:tcBorders>
            <w:shd w:val="clear" w:color="auto" w:fill="auto"/>
            <w:vAlign w:val="center"/>
          </w:tcPr>
          <w:p w14:paraId="6E26BCA2">
            <w:pPr>
              <w:jc w:val="center"/>
            </w:pPr>
            <w:r>
              <w:rPr>
                <w:rFonts w:ascii="宋体" w:hAnsi="宋体"/>
                <w:sz w:val="18"/>
              </w:rPr>
              <w:t>0.00</w:t>
            </w:r>
          </w:p>
        </w:tc>
        <w:tc>
          <w:tcPr>
            <w:tcW w:w="1134" w:type="dxa"/>
            <w:tcBorders>
              <w:top w:val="nil"/>
              <w:left w:val="nil"/>
              <w:bottom w:val="single" w:color="auto" w:sz="4" w:space="0"/>
              <w:right w:val="single" w:color="auto" w:sz="4" w:space="0"/>
            </w:tcBorders>
            <w:shd w:val="clear" w:color="auto" w:fill="auto"/>
            <w:vAlign w:val="center"/>
          </w:tcPr>
          <w:p w14:paraId="5F1F8989">
            <w:pPr>
              <w:jc w:val="center"/>
            </w:pPr>
            <w:r>
              <w:rPr>
                <w:rFonts w:ascii="宋体" w:hAnsi="宋体"/>
                <w:sz w:val="18"/>
              </w:rPr>
              <w:t>16.89</w:t>
            </w:r>
          </w:p>
        </w:tc>
        <w:tc>
          <w:tcPr>
            <w:tcW w:w="2126" w:type="dxa"/>
            <w:tcBorders>
              <w:top w:val="nil"/>
              <w:left w:val="nil"/>
              <w:bottom w:val="single" w:color="auto" w:sz="4" w:space="0"/>
              <w:right w:val="single" w:color="auto" w:sz="4" w:space="0"/>
            </w:tcBorders>
            <w:shd w:val="clear" w:color="auto" w:fill="auto"/>
            <w:vAlign w:val="center"/>
          </w:tcPr>
          <w:p w14:paraId="57EC422E">
            <w:pPr>
              <w:jc w:val="center"/>
            </w:pPr>
            <w:r>
              <w:rPr>
                <w:rFonts w:ascii="宋体" w:hAnsi="宋体"/>
                <w:sz w:val="18"/>
              </w:rPr>
              <w:t>16.89</w:t>
            </w:r>
          </w:p>
        </w:tc>
        <w:tc>
          <w:tcPr>
            <w:tcW w:w="1004" w:type="dxa"/>
            <w:tcBorders>
              <w:top w:val="nil"/>
              <w:left w:val="nil"/>
              <w:bottom w:val="single" w:color="auto" w:sz="4" w:space="0"/>
              <w:right w:val="single" w:color="auto" w:sz="4" w:space="0"/>
            </w:tcBorders>
            <w:shd w:val="clear" w:color="auto" w:fill="auto"/>
            <w:vAlign w:val="center"/>
          </w:tcPr>
          <w:p w14:paraId="1DB3D0C1">
            <w:pPr>
              <w:widowControl/>
              <w:jc w:val="center"/>
              <w:rPr>
                <w:rFonts w:hint="eastAsia" w:ascii="宋体" w:hAnsi="宋体" w:cs="宋体"/>
                <w:kern w:val="0"/>
                <w:sz w:val="18"/>
                <w:szCs w:val="18"/>
              </w:rPr>
            </w:pPr>
            <w:r>
              <w:rPr>
                <w:rFonts w:hint="eastAsia" w:ascii="宋体" w:hAnsi="宋体"/>
                <w:sz w:val="18"/>
                <w:szCs w:val="18"/>
              </w:rPr>
              <w:t>-</w:t>
            </w:r>
          </w:p>
        </w:tc>
        <w:tc>
          <w:tcPr>
            <w:tcW w:w="839" w:type="dxa"/>
            <w:tcBorders>
              <w:top w:val="nil"/>
              <w:left w:val="nil"/>
              <w:bottom w:val="single" w:color="auto" w:sz="4" w:space="0"/>
              <w:right w:val="single" w:color="auto" w:sz="4" w:space="0"/>
            </w:tcBorders>
            <w:shd w:val="clear" w:color="auto" w:fill="auto"/>
            <w:vAlign w:val="center"/>
          </w:tcPr>
          <w:p w14:paraId="165C4120">
            <w:pPr>
              <w:widowControl/>
              <w:jc w:val="center"/>
              <w:rPr>
                <w:rFonts w:hint="eastAsia" w:ascii="宋体" w:hAnsi="宋体" w:cs="宋体"/>
                <w:kern w:val="0"/>
                <w:sz w:val="18"/>
                <w:szCs w:val="18"/>
              </w:rPr>
            </w:pPr>
            <w:r>
              <w:rPr>
                <w:rFonts w:hint="eastAsia" w:ascii="宋体" w:hAnsi="宋体"/>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6C3B2743">
            <w:pPr>
              <w:widowControl/>
              <w:jc w:val="center"/>
              <w:rPr>
                <w:rFonts w:hint="eastAsia" w:ascii="宋体" w:hAnsi="宋体" w:cs="宋体"/>
                <w:kern w:val="0"/>
                <w:sz w:val="18"/>
                <w:szCs w:val="18"/>
              </w:rPr>
            </w:pPr>
            <w:r>
              <w:rPr>
                <w:rFonts w:hint="eastAsia" w:ascii="宋体" w:hAnsi="宋体"/>
                <w:sz w:val="18"/>
                <w:szCs w:val="18"/>
              </w:rPr>
              <w:t>-</w:t>
            </w:r>
          </w:p>
        </w:tc>
        <w:tc>
          <w:tcPr>
            <w:tcW w:w="284" w:type="dxa"/>
            <w:tcBorders>
              <w:top w:val="nil"/>
              <w:left w:val="nil"/>
              <w:bottom w:val="nil"/>
              <w:right w:val="nil"/>
            </w:tcBorders>
            <w:shd w:val="clear" w:color="auto" w:fill="auto"/>
            <w:noWrap/>
            <w:vAlign w:val="center"/>
          </w:tcPr>
          <w:p w14:paraId="345E2FD9">
            <w:pPr>
              <w:widowControl/>
              <w:jc w:val="center"/>
              <w:rPr>
                <w:rFonts w:hint="eastAsia" w:ascii="宋体" w:hAnsi="宋体" w:cs="宋体"/>
                <w:kern w:val="0"/>
                <w:sz w:val="18"/>
                <w:szCs w:val="18"/>
              </w:rPr>
            </w:pPr>
          </w:p>
        </w:tc>
      </w:tr>
      <w:tr w14:paraId="17217D27">
        <w:tblPrEx>
          <w:tblCellMar>
            <w:top w:w="0" w:type="dxa"/>
            <w:left w:w="108" w:type="dxa"/>
            <w:bottom w:w="0" w:type="dxa"/>
            <w:right w:w="108" w:type="dxa"/>
          </w:tblCellMar>
        </w:tblPrEx>
        <w:trPr>
          <w:cantSplit/>
          <w:trHeight w:val="281"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6E24A630">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0F0879CC">
            <w:pPr>
              <w:widowControl/>
              <w:jc w:val="center"/>
              <w:rPr>
                <w:rFonts w:hint="eastAsia" w:ascii="宋体" w:hAnsi="宋体" w:cs="宋体"/>
                <w:b/>
                <w:bCs/>
                <w:kern w:val="0"/>
                <w:sz w:val="18"/>
                <w:szCs w:val="18"/>
              </w:rPr>
            </w:pPr>
            <w:r>
              <w:rPr>
                <w:rFonts w:hint="eastAsia" w:ascii="宋体" w:hAnsi="宋体" w:cs="宋体"/>
                <w:b/>
                <w:bCs/>
                <w:kern w:val="0"/>
                <w:sz w:val="18"/>
                <w:szCs w:val="18"/>
              </w:rPr>
              <w:t>自治区安排（万元）</w:t>
            </w:r>
          </w:p>
        </w:tc>
        <w:tc>
          <w:tcPr>
            <w:tcW w:w="1418" w:type="dxa"/>
            <w:tcBorders>
              <w:top w:val="nil"/>
              <w:left w:val="nil"/>
              <w:bottom w:val="single" w:color="auto" w:sz="4" w:space="0"/>
              <w:right w:val="single" w:color="auto" w:sz="4" w:space="0"/>
            </w:tcBorders>
            <w:shd w:val="clear" w:color="auto" w:fill="auto"/>
            <w:vAlign w:val="center"/>
          </w:tcPr>
          <w:p w14:paraId="53355269">
            <w:pPr>
              <w:jc w:val="center"/>
            </w:pPr>
            <w:r>
              <w:rPr>
                <w:rFonts w:ascii="宋体" w:hAnsi="宋体"/>
                <w:sz w:val="18"/>
              </w:rPr>
              <w:t>0.00</w:t>
            </w:r>
          </w:p>
        </w:tc>
        <w:tc>
          <w:tcPr>
            <w:tcW w:w="1134" w:type="dxa"/>
            <w:tcBorders>
              <w:top w:val="nil"/>
              <w:left w:val="nil"/>
              <w:bottom w:val="single" w:color="auto" w:sz="4" w:space="0"/>
              <w:right w:val="single" w:color="auto" w:sz="4" w:space="0"/>
            </w:tcBorders>
            <w:shd w:val="clear" w:color="auto" w:fill="auto"/>
            <w:vAlign w:val="center"/>
          </w:tcPr>
          <w:p w14:paraId="3FA7750A">
            <w:pPr>
              <w:jc w:val="center"/>
            </w:pPr>
            <w:r>
              <w:rPr>
                <w:rFonts w:ascii="宋体" w:hAnsi="宋体"/>
                <w:sz w:val="18"/>
              </w:rPr>
              <w:t>2.81</w:t>
            </w:r>
          </w:p>
        </w:tc>
        <w:tc>
          <w:tcPr>
            <w:tcW w:w="2126" w:type="dxa"/>
            <w:tcBorders>
              <w:top w:val="nil"/>
              <w:left w:val="nil"/>
              <w:bottom w:val="single" w:color="auto" w:sz="4" w:space="0"/>
              <w:right w:val="single" w:color="auto" w:sz="4" w:space="0"/>
            </w:tcBorders>
            <w:shd w:val="clear" w:color="auto" w:fill="auto"/>
            <w:vAlign w:val="center"/>
          </w:tcPr>
          <w:p w14:paraId="1641D3E2">
            <w:pPr>
              <w:jc w:val="center"/>
            </w:pPr>
            <w:r>
              <w:rPr>
                <w:rFonts w:ascii="宋体" w:hAnsi="宋体"/>
                <w:sz w:val="18"/>
              </w:rPr>
              <w:t>2.81</w:t>
            </w:r>
          </w:p>
        </w:tc>
        <w:tc>
          <w:tcPr>
            <w:tcW w:w="1004" w:type="dxa"/>
            <w:tcBorders>
              <w:top w:val="nil"/>
              <w:left w:val="nil"/>
              <w:bottom w:val="single" w:color="auto" w:sz="4" w:space="0"/>
              <w:right w:val="single" w:color="auto" w:sz="4" w:space="0"/>
            </w:tcBorders>
            <w:shd w:val="clear" w:color="auto" w:fill="auto"/>
            <w:vAlign w:val="center"/>
          </w:tcPr>
          <w:p w14:paraId="766A3102">
            <w:pPr>
              <w:widowControl/>
              <w:jc w:val="center"/>
              <w:rPr>
                <w:rFonts w:hint="eastAsia" w:ascii="宋体" w:hAnsi="宋体" w:cs="宋体"/>
                <w:kern w:val="0"/>
                <w:sz w:val="18"/>
                <w:szCs w:val="18"/>
              </w:rPr>
            </w:pPr>
            <w:r>
              <w:rPr>
                <w:rFonts w:hint="eastAsia" w:ascii="宋体" w:hAnsi="宋体"/>
                <w:sz w:val="18"/>
                <w:szCs w:val="18"/>
              </w:rPr>
              <w:t>-</w:t>
            </w:r>
          </w:p>
        </w:tc>
        <w:tc>
          <w:tcPr>
            <w:tcW w:w="839" w:type="dxa"/>
            <w:tcBorders>
              <w:top w:val="nil"/>
              <w:left w:val="nil"/>
              <w:bottom w:val="single" w:color="auto" w:sz="4" w:space="0"/>
              <w:right w:val="single" w:color="auto" w:sz="4" w:space="0"/>
            </w:tcBorders>
            <w:shd w:val="clear" w:color="auto" w:fill="auto"/>
            <w:vAlign w:val="center"/>
          </w:tcPr>
          <w:p w14:paraId="62E7047F">
            <w:pPr>
              <w:widowControl/>
              <w:jc w:val="center"/>
              <w:rPr>
                <w:rFonts w:hint="eastAsia" w:ascii="宋体" w:hAnsi="宋体" w:cs="宋体"/>
                <w:kern w:val="0"/>
                <w:sz w:val="18"/>
                <w:szCs w:val="18"/>
              </w:rPr>
            </w:pPr>
            <w:r>
              <w:rPr>
                <w:rFonts w:hint="eastAsia" w:ascii="宋体" w:hAnsi="宋体"/>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53A47632">
            <w:pPr>
              <w:widowControl/>
              <w:jc w:val="center"/>
              <w:rPr>
                <w:rFonts w:hint="eastAsia" w:ascii="宋体" w:hAnsi="宋体" w:cs="宋体"/>
                <w:kern w:val="0"/>
                <w:sz w:val="18"/>
                <w:szCs w:val="18"/>
              </w:rPr>
            </w:pPr>
            <w:r>
              <w:rPr>
                <w:rFonts w:hint="eastAsia" w:ascii="宋体" w:hAnsi="宋体"/>
                <w:sz w:val="18"/>
                <w:szCs w:val="18"/>
              </w:rPr>
              <w:t>-</w:t>
            </w:r>
          </w:p>
        </w:tc>
        <w:tc>
          <w:tcPr>
            <w:tcW w:w="284" w:type="dxa"/>
            <w:tcBorders>
              <w:top w:val="nil"/>
              <w:left w:val="nil"/>
              <w:bottom w:val="nil"/>
              <w:right w:val="nil"/>
            </w:tcBorders>
            <w:shd w:val="clear" w:color="auto" w:fill="auto"/>
            <w:noWrap/>
            <w:vAlign w:val="center"/>
          </w:tcPr>
          <w:p w14:paraId="675731E1">
            <w:pPr>
              <w:widowControl/>
              <w:jc w:val="center"/>
              <w:rPr>
                <w:rFonts w:hint="eastAsia" w:ascii="宋体" w:hAnsi="宋体" w:cs="宋体"/>
                <w:kern w:val="0"/>
                <w:sz w:val="18"/>
                <w:szCs w:val="18"/>
              </w:rPr>
            </w:pPr>
          </w:p>
        </w:tc>
      </w:tr>
      <w:tr w14:paraId="458DCF5E">
        <w:tblPrEx>
          <w:tblCellMar>
            <w:top w:w="0" w:type="dxa"/>
            <w:left w:w="108" w:type="dxa"/>
            <w:bottom w:w="0" w:type="dxa"/>
            <w:right w:w="108" w:type="dxa"/>
          </w:tblCellMar>
        </w:tblPrEx>
        <w:trPr>
          <w:cantSplit/>
          <w:trHeight w:val="373"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7ACAF0AB">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567FD677">
            <w:pPr>
              <w:widowControl/>
              <w:jc w:val="center"/>
              <w:rPr>
                <w:rFonts w:hint="eastAsia" w:ascii="宋体" w:hAnsi="宋体" w:cs="宋体"/>
                <w:b/>
                <w:bCs/>
                <w:kern w:val="0"/>
                <w:sz w:val="18"/>
                <w:szCs w:val="18"/>
              </w:rPr>
            </w:pPr>
            <w:r>
              <w:rPr>
                <w:rFonts w:hint="eastAsia" w:ascii="宋体" w:hAnsi="宋体" w:cs="宋体"/>
                <w:b/>
                <w:bCs/>
                <w:kern w:val="0"/>
                <w:sz w:val="18"/>
                <w:szCs w:val="18"/>
              </w:rPr>
              <w:t>地（州、市）安排（万元）</w:t>
            </w:r>
          </w:p>
        </w:tc>
        <w:tc>
          <w:tcPr>
            <w:tcW w:w="1418" w:type="dxa"/>
            <w:tcBorders>
              <w:top w:val="nil"/>
              <w:left w:val="nil"/>
              <w:bottom w:val="single" w:color="auto" w:sz="4" w:space="0"/>
              <w:right w:val="single" w:color="auto" w:sz="4" w:space="0"/>
            </w:tcBorders>
            <w:shd w:val="clear" w:color="auto" w:fill="auto"/>
            <w:vAlign w:val="center"/>
          </w:tcPr>
          <w:p w14:paraId="0153874C">
            <w:pPr>
              <w:jc w:val="center"/>
            </w:pPr>
            <w:r>
              <w:rPr>
                <w:rFonts w:ascii="宋体" w:hAnsi="宋体"/>
                <w:sz w:val="18"/>
              </w:rPr>
              <w:t>0.00</w:t>
            </w:r>
          </w:p>
        </w:tc>
        <w:tc>
          <w:tcPr>
            <w:tcW w:w="1134" w:type="dxa"/>
            <w:tcBorders>
              <w:top w:val="nil"/>
              <w:left w:val="nil"/>
              <w:bottom w:val="single" w:color="auto" w:sz="4" w:space="0"/>
              <w:right w:val="single" w:color="auto" w:sz="4" w:space="0"/>
            </w:tcBorders>
            <w:shd w:val="clear" w:color="auto" w:fill="auto"/>
            <w:vAlign w:val="center"/>
          </w:tcPr>
          <w:p w14:paraId="7C7A2FF2">
            <w:pPr>
              <w:jc w:val="center"/>
            </w:pPr>
            <w:r>
              <w:rPr>
                <w:rFonts w:ascii="宋体" w:hAnsi="宋体"/>
                <w:sz w:val="18"/>
              </w:rPr>
              <w:t>0.00</w:t>
            </w:r>
          </w:p>
        </w:tc>
        <w:tc>
          <w:tcPr>
            <w:tcW w:w="2126" w:type="dxa"/>
            <w:tcBorders>
              <w:top w:val="nil"/>
              <w:left w:val="nil"/>
              <w:bottom w:val="single" w:color="auto" w:sz="4" w:space="0"/>
              <w:right w:val="single" w:color="auto" w:sz="4" w:space="0"/>
            </w:tcBorders>
            <w:shd w:val="clear" w:color="auto" w:fill="auto"/>
            <w:vAlign w:val="center"/>
          </w:tcPr>
          <w:p w14:paraId="768E3FBD">
            <w:pPr>
              <w:jc w:val="center"/>
            </w:pPr>
            <w:r>
              <w:rPr>
                <w:rFonts w:ascii="宋体" w:hAnsi="宋体"/>
                <w:sz w:val="18"/>
              </w:rPr>
              <w:t>0.00</w:t>
            </w:r>
          </w:p>
        </w:tc>
        <w:tc>
          <w:tcPr>
            <w:tcW w:w="1004" w:type="dxa"/>
            <w:tcBorders>
              <w:top w:val="nil"/>
              <w:left w:val="nil"/>
              <w:bottom w:val="single" w:color="auto" w:sz="4" w:space="0"/>
              <w:right w:val="single" w:color="auto" w:sz="4" w:space="0"/>
            </w:tcBorders>
            <w:shd w:val="clear" w:color="auto" w:fill="auto"/>
            <w:vAlign w:val="center"/>
          </w:tcPr>
          <w:p w14:paraId="4A301F89">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839" w:type="dxa"/>
            <w:tcBorders>
              <w:top w:val="nil"/>
              <w:left w:val="nil"/>
              <w:bottom w:val="single" w:color="auto" w:sz="4" w:space="0"/>
              <w:right w:val="single" w:color="auto" w:sz="4" w:space="0"/>
            </w:tcBorders>
            <w:shd w:val="clear" w:color="auto" w:fill="auto"/>
            <w:vAlign w:val="center"/>
          </w:tcPr>
          <w:p w14:paraId="33369792">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50619CD9">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284" w:type="dxa"/>
            <w:tcBorders>
              <w:top w:val="nil"/>
              <w:left w:val="nil"/>
              <w:bottom w:val="nil"/>
              <w:right w:val="nil"/>
            </w:tcBorders>
            <w:shd w:val="clear" w:color="auto" w:fill="auto"/>
            <w:noWrap/>
            <w:vAlign w:val="center"/>
          </w:tcPr>
          <w:p w14:paraId="4BCAFE62">
            <w:pPr>
              <w:widowControl/>
              <w:jc w:val="center"/>
              <w:rPr>
                <w:rFonts w:hint="eastAsia" w:ascii="宋体" w:hAnsi="宋体" w:cs="宋体"/>
                <w:kern w:val="0"/>
                <w:sz w:val="18"/>
                <w:szCs w:val="18"/>
              </w:rPr>
            </w:pPr>
          </w:p>
        </w:tc>
      </w:tr>
      <w:tr w14:paraId="4A9A4A2D">
        <w:tblPrEx>
          <w:tblCellMar>
            <w:top w:w="0" w:type="dxa"/>
            <w:left w:w="108" w:type="dxa"/>
            <w:bottom w:w="0" w:type="dxa"/>
            <w:right w:w="108" w:type="dxa"/>
          </w:tblCellMar>
        </w:tblPrEx>
        <w:trPr>
          <w:cantSplit/>
          <w:trHeight w:val="323"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6C5913D9">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305B6FB5">
            <w:pPr>
              <w:widowControl/>
              <w:jc w:val="center"/>
              <w:rPr>
                <w:rFonts w:hint="eastAsia" w:ascii="宋体" w:hAnsi="宋体" w:cs="宋体"/>
                <w:b/>
                <w:bCs/>
                <w:kern w:val="0"/>
                <w:sz w:val="18"/>
                <w:szCs w:val="18"/>
              </w:rPr>
            </w:pPr>
            <w:r>
              <w:rPr>
                <w:rFonts w:hint="eastAsia" w:ascii="宋体" w:hAnsi="宋体" w:cs="宋体"/>
                <w:b/>
                <w:bCs/>
                <w:kern w:val="0"/>
                <w:sz w:val="18"/>
                <w:szCs w:val="18"/>
              </w:rPr>
              <w:t>县（市、区）安排（万元）</w:t>
            </w:r>
          </w:p>
        </w:tc>
        <w:tc>
          <w:tcPr>
            <w:tcW w:w="1418" w:type="dxa"/>
            <w:tcBorders>
              <w:top w:val="nil"/>
              <w:left w:val="nil"/>
              <w:bottom w:val="single" w:color="auto" w:sz="4" w:space="0"/>
              <w:right w:val="single" w:color="auto" w:sz="4" w:space="0"/>
            </w:tcBorders>
            <w:shd w:val="clear" w:color="auto" w:fill="auto"/>
            <w:vAlign w:val="center"/>
          </w:tcPr>
          <w:p w14:paraId="3ED9409B">
            <w:pPr>
              <w:jc w:val="center"/>
            </w:pPr>
            <w:r>
              <w:rPr>
                <w:rFonts w:ascii="宋体" w:hAnsi="宋体"/>
                <w:sz w:val="18"/>
              </w:rPr>
              <w:t>420.94</w:t>
            </w:r>
          </w:p>
        </w:tc>
        <w:tc>
          <w:tcPr>
            <w:tcW w:w="1134" w:type="dxa"/>
            <w:tcBorders>
              <w:top w:val="nil"/>
              <w:left w:val="nil"/>
              <w:bottom w:val="single" w:color="auto" w:sz="4" w:space="0"/>
              <w:right w:val="single" w:color="auto" w:sz="4" w:space="0"/>
            </w:tcBorders>
            <w:shd w:val="clear" w:color="auto" w:fill="auto"/>
            <w:vAlign w:val="center"/>
          </w:tcPr>
          <w:p w14:paraId="2F904996">
            <w:pPr>
              <w:jc w:val="center"/>
            </w:pPr>
            <w:r>
              <w:rPr>
                <w:rFonts w:ascii="宋体" w:hAnsi="宋体"/>
                <w:sz w:val="18"/>
              </w:rPr>
              <w:t>415.38</w:t>
            </w:r>
          </w:p>
        </w:tc>
        <w:tc>
          <w:tcPr>
            <w:tcW w:w="2126" w:type="dxa"/>
            <w:tcBorders>
              <w:top w:val="nil"/>
              <w:left w:val="nil"/>
              <w:bottom w:val="single" w:color="auto" w:sz="4" w:space="0"/>
              <w:right w:val="single" w:color="auto" w:sz="4" w:space="0"/>
            </w:tcBorders>
            <w:shd w:val="clear" w:color="auto" w:fill="auto"/>
            <w:vAlign w:val="center"/>
          </w:tcPr>
          <w:p w14:paraId="4D63B9B6">
            <w:pPr>
              <w:jc w:val="center"/>
            </w:pPr>
            <w:r>
              <w:rPr>
                <w:rFonts w:ascii="宋体" w:hAnsi="宋体"/>
                <w:sz w:val="18"/>
              </w:rPr>
              <w:t>408.32</w:t>
            </w:r>
          </w:p>
        </w:tc>
        <w:tc>
          <w:tcPr>
            <w:tcW w:w="1004" w:type="dxa"/>
            <w:tcBorders>
              <w:top w:val="nil"/>
              <w:left w:val="nil"/>
              <w:bottom w:val="single" w:color="auto" w:sz="4" w:space="0"/>
              <w:right w:val="single" w:color="auto" w:sz="4" w:space="0"/>
            </w:tcBorders>
            <w:shd w:val="clear" w:color="auto" w:fill="auto"/>
            <w:vAlign w:val="center"/>
          </w:tcPr>
          <w:p w14:paraId="05D85A21">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839" w:type="dxa"/>
            <w:tcBorders>
              <w:top w:val="nil"/>
              <w:left w:val="nil"/>
              <w:bottom w:val="single" w:color="auto" w:sz="4" w:space="0"/>
              <w:right w:val="single" w:color="auto" w:sz="4" w:space="0"/>
            </w:tcBorders>
            <w:shd w:val="clear" w:color="auto" w:fill="auto"/>
            <w:vAlign w:val="center"/>
          </w:tcPr>
          <w:p w14:paraId="580663C0">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082DACB2">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284" w:type="dxa"/>
            <w:tcBorders>
              <w:top w:val="nil"/>
              <w:left w:val="nil"/>
              <w:bottom w:val="nil"/>
              <w:right w:val="nil"/>
            </w:tcBorders>
            <w:shd w:val="clear" w:color="auto" w:fill="auto"/>
            <w:noWrap/>
            <w:vAlign w:val="center"/>
          </w:tcPr>
          <w:p w14:paraId="5B46EA60">
            <w:pPr>
              <w:widowControl/>
              <w:jc w:val="center"/>
              <w:rPr>
                <w:rFonts w:hint="eastAsia" w:ascii="宋体" w:hAnsi="宋体" w:cs="宋体"/>
                <w:kern w:val="0"/>
                <w:sz w:val="18"/>
                <w:szCs w:val="18"/>
              </w:rPr>
            </w:pPr>
          </w:p>
        </w:tc>
      </w:tr>
      <w:tr w14:paraId="5AC6EAD5">
        <w:tblPrEx>
          <w:tblCellMar>
            <w:top w:w="0" w:type="dxa"/>
            <w:left w:w="108" w:type="dxa"/>
            <w:bottom w:w="0" w:type="dxa"/>
            <w:right w:w="108" w:type="dxa"/>
          </w:tblCellMar>
        </w:tblPrEx>
        <w:trPr>
          <w:cantSplit/>
          <w:trHeight w:val="41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1C1C905E">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0EDB2ED5">
            <w:pPr>
              <w:widowControl/>
              <w:jc w:val="center"/>
              <w:rPr>
                <w:rFonts w:hint="eastAsia" w:ascii="宋体" w:hAnsi="宋体" w:cs="宋体"/>
                <w:b/>
                <w:bCs/>
                <w:kern w:val="0"/>
                <w:sz w:val="18"/>
                <w:szCs w:val="18"/>
              </w:rPr>
            </w:pPr>
            <w:r>
              <w:rPr>
                <w:rFonts w:hint="eastAsia" w:ascii="宋体" w:hAnsi="宋体" w:cs="宋体"/>
                <w:b/>
                <w:bCs/>
                <w:kern w:val="0"/>
                <w:sz w:val="18"/>
                <w:szCs w:val="18"/>
              </w:rPr>
              <w:t>其他资金（万元）</w:t>
            </w:r>
          </w:p>
        </w:tc>
        <w:tc>
          <w:tcPr>
            <w:tcW w:w="1418" w:type="dxa"/>
            <w:tcBorders>
              <w:top w:val="nil"/>
              <w:left w:val="nil"/>
              <w:bottom w:val="single" w:color="auto" w:sz="4" w:space="0"/>
              <w:right w:val="single" w:color="auto" w:sz="4" w:space="0"/>
            </w:tcBorders>
            <w:shd w:val="clear" w:color="auto" w:fill="auto"/>
            <w:vAlign w:val="center"/>
          </w:tcPr>
          <w:p w14:paraId="09A05C34">
            <w:pPr>
              <w:jc w:val="center"/>
            </w:pPr>
            <w:r>
              <w:rPr>
                <w:rFonts w:ascii="宋体" w:hAnsi="宋体"/>
                <w:sz w:val="18"/>
              </w:rPr>
              <w:t>0.00</w:t>
            </w:r>
          </w:p>
        </w:tc>
        <w:tc>
          <w:tcPr>
            <w:tcW w:w="1134" w:type="dxa"/>
            <w:tcBorders>
              <w:top w:val="nil"/>
              <w:left w:val="nil"/>
              <w:bottom w:val="single" w:color="auto" w:sz="4" w:space="0"/>
              <w:right w:val="single" w:color="auto" w:sz="4" w:space="0"/>
            </w:tcBorders>
            <w:shd w:val="clear" w:color="auto" w:fill="auto"/>
            <w:vAlign w:val="center"/>
          </w:tcPr>
          <w:p w14:paraId="67FDDA8E">
            <w:pPr>
              <w:jc w:val="center"/>
            </w:pPr>
            <w:r>
              <w:rPr>
                <w:rFonts w:ascii="宋体" w:hAnsi="宋体"/>
                <w:sz w:val="18"/>
              </w:rPr>
              <w:t>0.00</w:t>
            </w:r>
          </w:p>
        </w:tc>
        <w:tc>
          <w:tcPr>
            <w:tcW w:w="2126" w:type="dxa"/>
            <w:tcBorders>
              <w:top w:val="nil"/>
              <w:left w:val="nil"/>
              <w:bottom w:val="single" w:color="auto" w:sz="4" w:space="0"/>
              <w:right w:val="single" w:color="auto" w:sz="4" w:space="0"/>
            </w:tcBorders>
            <w:shd w:val="clear" w:color="auto" w:fill="auto"/>
            <w:vAlign w:val="center"/>
          </w:tcPr>
          <w:p w14:paraId="10B6651C">
            <w:pPr>
              <w:jc w:val="center"/>
            </w:pPr>
            <w:r>
              <w:rPr>
                <w:rFonts w:ascii="宋体" w:hAnsi="宋体"/>
                <w:sz w:val="18"/>
              </w:rPr>
              <w:t>0.00</w:t>
            </w:r>
          </w:p>
        </w:tc>
        <w:tc>
          <w:tcPr>
            <w:tcW w:w="1004" w:type="dxa"/>
            <w:tcBorders>
              <w:top w:val="nil"/>
              <w:left w:val="nil"/>
              <w:bottom w:val="single" w:color="auto" w:sz="4" w:space="0"/>
              <w:right w:val="single" w:color="auto" w:sz="4" w:space="0"/>
            </w:tcBorders>
            <w:shd w:val="clear" w:color="auto" w:fill="auto"/>
            <w:vAlign w:val="center"/>
          </w:tcPr>
          <w:p w14:paraId="4051AFC0">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839" w:type="dxa"/>
            <w:tcBorders>
              <w:top w:val="nil"/>
              <w:left w:val="nil"/>
              <w:bottom w:val="single" w:color="auto" w:sz="4" w:space="0"/>
              <w:right w:val="single" w:color="auto" w:sz="4" w:space="0"/>
            </w:tcBorders>
            <w:shd w:val="clear" w:color="auto" w:fill="auto"/>
            <w:vAlign w:val="center"/>
          </w:tcPr>
          <w:p w14:paraId="18D024A8">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041AF496">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284" w:type="dxa"/>
            <w:tcBorders>
              <w:top w:val="nil"/>
              <w:left w:val="nil"/>
              <w:bottom w:val="nil"/>
              <w:right w:val="nil"/>
            </w:tcBorders>
            <w:shd w:val="clear" w:color="auto" w:fill="auto"/>
            <w:noWrap/>
            <w:vAlign w:val="center"/>
          </w:tcPr>
          <w:p w14:paraId="1925D0C6">
            <w:pPr>
              <w:widowControl/>
              <w:jc w:val="center"/>
              <w:rPr>
                <w:rFonts w:hint="eastAsia" w:ascii="宋体" w:hAnsi="宋体" w:cs="宋体"/>
                <w:kern w:val="0"/>
                <w:sz w:val="18"/>
                <w:szCs w:val="18"/>
              </w:rPr>
            </w:pPr>
          </w:p>
        </w:tc>
      </w:tr>
      <w:tr w14:paraId="5FAA0724">
        <w:tblPrEx>
          <w:tblCellMar>
            <w:top w:w="0" w:type="dxa"/>
            <w:left w:w="108" w:type="dxa"/>
            <w:bottom w:w="0" w:type="dxa"/>
            <w:right w:w="108" w:type="dxa"/>
          </w:tblCellMar>
        </w:tblPrEx>
        <w:trPr>
          <w:cantSplit/>
          <w:trHeight w:val="341"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C2BE258">
            <w:pPr>
              <w:widowControl/>
              <w:jc w:val="center"/>
              <w:rPr>
                <w:rFonts w:hint="eastAsia" w:ascii="宋体" w:hAnsi="宋体" w:cs="宋体"/>
                <w:b/>
                <w:bCs/>
                <w:kern w:val="0"/>
                <w:sz w:val="18"/>
                <w:szCs w:val="18"/>
              </w:rPr>
            </w:pPr>
            <w:r>
              <w:rPr>
                <w:rFonts w:hint="eastAsia" w:ascii="宋体" w:hAnsi="宋体" w:cs="宋体"/>
                <w:b/>
                <w:bCs/>
                <w:kern w:val="0"/>
                <w:sz w:val="18"/>
                <w:szCs w:val="18"/>
              </w:rPr>
              <w:t>年度总体目标</w:t>
            </w:r>
          </w:p>
        </w:tc>
        <w:tc>
          <w:tcPr>
            <w:tcW w:w="3969" w:type="dxa"/>
            <w:gridSpan w:val="3"/>
            <w:tcBorders>
              <w:top w:val="single" w:color="auto" w:sz="4" w:space="0"/>
              <w:left w:val="nil"/>
              <w:bottom w:val="single" w:color="auto" w:sz="4" w:space="0"/>
              <w:right w:val="single" w:color="auto" w:sz="4" w:space="0"/>
            </w:tcBorders>
            <w:shd w:val="clear" w:color="auto" w:fill="auto"/>
            <w:noWrap/>
            <w:vAlign w:val="center"/>
          </w:tcPr>
          <w:p w14:paraId="5A971233">
            <w:pPr>
              <w:widowControl/>
              <w:jc w:val="center"/>
              <w:rPr>
                <w:rFonts w:hint="eastAsia" w:ascii="宋体" w:hAnsi="宋体" w:cs="宋体"/>
                <w:b/>
                <w:bCs/>
                <w:kern w:val="0"/>
                <w:sz w:val="18"/>
                <w:szCs w:val="18"/>
              </w:rPr>
            </w:pPr>
            <w:r>
              <w:rPr>
                <w:rFonts w:hint="eastAsia" w:ascii="宋体" w:hAnsi="宋体" w:cs="宋体"/>
                <w:b/>
                <w:bCs/>
                <w:kern w:val="0"/>
                <w:sz w:val="18"/>
                <w:szCs w:val="18"/>
              </w:rPr>
              <w:t>预期目标</w:t>
            </w:r>
          </w:p>
        </w:tc>
        <w:tc>
          <w:tcPr>
            <w:tcW w:w="4689" w:type="dxa"/>
            <w:gridSpan w:val="4"/>
            <w:tcBorders>
              <w:top w:val="single" w:color="auto" w:sz="4" w:space="0"/>
              <w:left w:val="nil"/>
              <w:bottom w:val="single" w:color="auto" w:sz="4" w:space="0"/>
              <w:right w:val="single" w:color="auto" w:sz="4" w:space="0"/>
            </w:tcBorders>
            <w:shd w:val="clear" w:color="auto" w:fill="auto"/>
            <w:noWrap/>
            <w:vAlign w:val="center"/>
          </w:tcPr>
          <w:p w14:paraId="70A20C43">
            <w:pPr>
              <w:widowControl/>
              <w:jc w:val="center"/>
              <w:rPr>
                <w:rFonts w:hint="eastAsia" w:ascii="宋体" w:hAnsi="宋体" w:cs="宋体"/>
                <w:b/>
                <w:bCs/>
                <w:kern w:val="0"/>
                <w:sz w:val="18"/>
                <w:szCs w:val="18"/>
              </w:rPr>
            </w:pPr>
            <w:r>
              <w:rPr>
                <w:rFonts w:hint="eastAsia" w:ascii="宋体" w:hAnsi="宋体" w:cs="宋体"/>
                <w:b/>
                <w:bCs/>
                <w:kern w:val="0"/>
                <w:sz w:val="18"/>
                <w:szCs w:val="18"/>
              </w:rPr>
              <w:t>实际完成情况</w:t>
            </w:r>
          </w:p>
        </w:tc>
        <w:tc>
          <w:tcPr>
            <w:tcW w:w="284" w:type="dxa"/>
            <w:tcBorders>
              <w:top w:val="nil"/>
              <w:left w:val="nil"/>
              <w:bottom w:val="nil"/>
              <w:right w:val="nil"/>
            </w:tcBorders>
            <w:shd w:val="clear" w:color="auto" w:fill="auto"/>
            <w:noWrap/>
            <w:vAlign w:val="center"/>
          </w:tcPr>
          <w:p w14:paraId="13BD4919">
            <w:pPr>
              <w:widowControl/>
              <w:jc w:val="left"/>
              <w:rPr>
                <w:rFonts w:hint="eastAsia" w:ascii="宋体" w:hAnsi="宋体" w:cs="宋体"/>
                <w:b/>
                <w:bCs/>
                <w:kern w:val="0"/>
                <w:sz w:val="18"/>
                <w:szCs w:val="18"/>
              </w:rPr>
            </w:pPr>
          </w:p>
        </w:tc>
      </w:tr>
      <w:tr w14:paraId="24CB8502">
        <w:tblPrEx>
          <w:tblCellMar>
            <w:top w:w="0" w:type="dxa"/>
            <w:left w:w="108" w:type="dxa"/>
            <w:bottom w:w="0" w:type="dxa"/>
            <w:right w:w="108" w:type="dxa"/>
          </w:tblCellMar>
        </w:tblPrEx>
        <w:trPr>
          <w:cantSplit/>
          <w:trHeight w:val="70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18E0DFB9">
            <w:pPr>
              <w:widowControl/>
              <w:jc w:val="left"/>
              <w:rPr>
                <w:rFonts w:hint="eastAsia" w:ascii="宋体" w:hAnsi="宋体" w:cs="宋体"/>
                <w:b/>
                <w:bCs/>
                <w:kern w:val="0"/>
                <w:sz w:val="18"/>
                <w:szCs w:val="18"/>
              </w:rPr>
            </w:pPr>
          </w:p>
        </w:tc>
        <w:tc>
          <w:tcPr>
            <w:tcW w:w="3969" w:type="dxa"/>
            <w:gridSpan w:val="3"/>
            <w:tcBorders>
              <w:top w:val="single" w:color="auto" w:sz="4" w:space="0"/>
              <w:left w:val="nil"/>
              <w:bottom w:val="single" w:color="auto" w:sz="4" w:space="0"/>
              <w:right w:val="single" w:color="auto" w:sz="4" w:space="0"/>
            </w:tcBorders>
            <w:shd w:val="clear" w:color="auto" w:fill="auto"/>
          </w:tcPr>
          <w:p w14:paraId="05F3886A">
            <w:pPr>
              <w:jc w:val="left"/>
            </w:pPr>
            <w:r>
              <w:rPr>
                <w:rFonts w:ascii="宋体" w:hAnsi="宋体"/>
                <w:sz w:val="18"/>
              </w:rPr>
              <w:t>我园在2023年通过制定幼儿园教师培训规划，加大培训力度来保证幼儿教育质量；严格落实幼儿园安全主体责任和有关部门安全监管责任，建立全覆盖的安全风险防控体系；深入贯彻落实《3—6岁儿童学习与发展指南》《幼儿园教育指导纲要》，以先进的实践经验为引领，切实转变教师观念和行为，促进幼儿在快乐的童年生活中获得有益身心的学习和发展经验，提升教师职业成就感。</w:t>
            </w:r>
          </w:p>
        </w:tc>
        <w:tc>
          <w:tcPr>
            <w:tcW w:w="4689" w:type="dxa"/>
            <w:gridSpan w:val="4"/>
            <w:tcBorders>
              <w:top w:val="single" w:color="auto" w:sz="4" w:space="0"/>
              <w:left w:val="nil"/>
              <w:bottom w:val="single" w:color="auto" w:sz="4" w:space="0"/>
              <w:right w:val="single" w:color="auto" w:sz="4" w:space="0"/>
            </w:tcBorders>
            <w:shd w:val="clear" w:color="auto" w:fill="auto"/>
          </w:tcPr>
          <w:p w14:paraId="6AC4F391">
            <w:pPr>
              <w:jc w:val="left"/>
            </w:pPr>
            <w:r>
              <w:rPr>
                <w:rFonts w:ascii="宋体" w:hAnsi="宋体"/>
                <w:sz w:val="18"/>
              </w:rPr>
              <w:t>2023年已支付428.03万元，主要用于1、人员经费：支付19名在职人员工资福利社保公积金；2、公用经费:交通费及园内办公费、保运转水电暖、宽带等费用；3、保障我园各项工作正常运转，达到幼儿基本教育质量要求。</w:t>
            </w:r>
          </w:p>
        </w:tc>
        <w:tc>
          <w:tcPr>
            <w:tcW w:w="284" w:type="dxa"/>
            <w:tcBorders>
              <w:top w:val="nil"/>
              <w:left w:val="nil"/>
              <w:bottom w:val="nil"/>
              <w:right w:val="nil"/>
            </w:tcBorders>
            <w:shd w:val="clear" w:color="auto" w:fill="auto"/>
            <w:noWrap/>
            <w:vAlign w:val="center"/>
          </w:tcPr>
          <w:p w14:paraId="20C0F032">
            <w:pPr>
              <w:widowControl/>
              <w:jc w:val="left"/>
              <w:rPr>
                <w:rFonts w:hint="eastAsia" w:ascii="宋体" w:hAnsi="宋体" w:cs="宋体"/>
                <w:kern w:val="0"/>
                <w:sz w:val="18"/>
                <w:szCs w:val="18"/>
              </w:rPr>
            </w:pPr>
          </w:p>
        </w:tc>
      </w:tr>
      <w:tr w14:paraId="7DC91DFF">
        <w:tblPrEx>
          <w:tblCellMar>
            <w:top w:w="0" w:type="dxa"/>
            <w:left w:w="108" w:type="dxa"/>
            <w:bottom w:w="0" w:type="dxa"/>
            <w:right w:w="108" w:type="dxa"/>
          </w:tblCellMar>
        </w:tblPrEx>
        <w:trPr>
          <w:cantSplit/>
          <w:trHeight w:val="716" w:hRule="atLeast"/>
        </w:trPr>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14:paraId="2EBA6536">
            <w:pPr>
              <w:widowControl/>
              <w:jc w:val="center"/>
              <w:rPr>
                <w:rFonts w:hint="eastAsia" w:ascii="宋体" w:hAnsi="宋体" w:cs="宋体"/>
                <w:b/>
                <w:bCs/>
                <w:kern w:val="0"/>
                <w:sz w:val="18"/>
                <w:szCs w:val="18"/>
              </w:rPr>
            </w:pPr>
            <w:r>
              <w:rPr>
                <w:rFonts w:hint="eastAsia" w:ascii="宋体" w:hAnsi="宋体" w:cs="宋体"/>
                <w:b/>
                <w:bCs/>
                <w:kern w:val="0"/>
                <w:sz w:val="18"/>
                <w:szCs w:val="18"/>
              </w:rPr>
              <w:t>一级指标</w:t>
            </w:r>
          </w:p>
        </w:tc>
        <w:tc>
          <w:tcPr>
            <w:tcW w:w="1417" w:type="dxa"/>
            <w:tcBorders>
              <w:top w:val="nil"/>
              <w:left w:val="nil"/>
              <w:bottom w:val="single" w:color="auto" w:sz="4" w:space="0"/>
              <w:right w:val="single" w:color="auto" w:sz="4" w:space="0"/>
            </w:tcBorders>
            <w:shd w:val="clear" w:color="auto" w:fill="auto"/>
            <w:vAlign w:val="center"/>
          </w:tcPr>
          <w:p w14:paraId="3FC98708">
            <w:pPr>
              <w:widowControl/>
              <w:jc w:val="center"/>
              <w:rPr>
                <w:rFonts w:hint="eastAsia" w:ascii="宋体" w:hAnsi="宋体" w:cs="宋体"/>
                <w:b/>
                <w:bCs/>
                <w:kern w:val="0"/>
                <w:sz w:val="18"/>
                <w:szCs w:val="18"/>
              </w:rPr>
            </w:pPr>
            <w:r>
              <w:rPr>
                <w:rFonts w:hint="eastAsia" w:ascii="宋体" w:hAnsi="宋体" w:cs="宋体"/>
                <w:b/>
                <w:bCs/>
                <w:kern w:val="0"/>
                <w:sz w:val="18"/>
                <w:szCs w:val="18"/>
              </w:rPr>
              <w:t>二级指标</w:t>
            </w:r>
          </w:p>
        </w:tc>
        <w:tc>
          <w:tcPr>
            <w:tcW w:w="1418" w:type="dxa"/>
            <w:tcBorders>
              <w:top w:val="nil"/>
              <w:left w:val="nil"/>
              <w:bottom w:val="single" w:color="auto" w:sz="4" w:space="0"/>
              <w:right w:val="single" w:color="auto" w:sz="4" w:space="0"/>
            </w:tcBorders>
            <w:shd w:val="clear" w:color="auto" w:fill="auto"/>
            <w:vAlign w:val="center"/>
          </w:tcPr>
          <w:p w14:paraId="314E2383">
            <w:pPr>
              <w:widowControl/>
              <w:jc w:val="center"/>
              <w:rPr>
                <w:rFonts w:hint="eastAsia" w:ascii="宋体" w:hAnsi="宋体" w:cs="宋体"/>
                <w:b/>
                <w:bCs/>
                <w:kern w:val="0"/>
                <w:sz w:val="18"/>
                <w:szCs w:val="18"/>
              </w:rPr>
            </w:pPr>
            <w:r>
              <w:rPr>
                <w:rFonts w:hint="eastAsia" w:ascii="宋体" w:hAnsi="宋体" w:cs="宋体"/>
                <w:b/>
                <w:bCs/>
                <w:kern w:val="0"/>
                <w:sz w:val="18"/>
                <w:szCs w:val="18"/>
              </w:rPr>
              <w:t>三级指标</w:t>
            </w:r>
          </w:p>
        </w:tc>
        <w:tc>
          <w:tcPr>
            <w:tcW w:w="1134" w:type="dxa"/>
            <w:tcBorders>
              <w:top w:val="nil"/>
              <w:left w:val="nil"/>
              <w:bottom w:val="single" w:color="auto" w:sz="4" w:space="0"/>
              <w:right w:val="single" w:color="auto" w:sz="4" w:space="0"/>
            </w:tcBorders>
            <w:shd w:val="clear" w:color="auto" w:fill="auto"/>
            <w:vAlign w:val="center"/>
          </w:tcPr>
          <w:p w14:paraId="1DB517C2">
            <w:pPr>
              <w:widowControl/>
              <w:jc w:val="center"/>
              <w:rPr>
                <w:rFonts w:hint="eastAsia" w:ascii="宋体" w:hAnsi="宋体" w:cs="宋体"/>
                <w:b/>
                <w:bCs/>
                <w:kern w:val="0"/>
                <w:sz w:val="18"/>
                <w:szCs w:val="18"/>
              </w:rPr>
            </w:pPr>
            <w:r>
              <w:rPr>
                <w:rFonts w:hint="eastAsia" w:ascii="宋体" w:hAnsi="宋体" w:cs="宋体"/>
                <w:b/>
                <w:bCs/>
                <w:kern w:val="0"/>
                <w:sz w:val="18"/>
                <w:szCs w:val="18"/>
              </w:rPr>
              <w:t>预期指标值</w:t>
            </w:r>
          </w:p>
        </w:tc>
        <w:tc>
          <w:tcPr>
            <w:tcW w:w="2126" w:type="dxa"/>
            <w:tcBorders>
              <w:top w:val="nil"/>
              <w:left w:val="nil"/>
              <w:bottom w:val="single" w:color="auto" w:sz="4" w:space="0"/>
              <w:right w:val="single" w:color="auto" w:sz="4" w:space="0"/>
            </w:tcBorders>
            <w:shd w:val="clear" w:color="auto" w:fill="auto"/>
            <w:vAlign w:val="center"/>
          </w:tcPr>
          <w:p w14:paraId="475D25AC">
            <w:pPr>
              <w:widowControl/>
              <w:jc w:val="center"/>
              <w:rPr>
                <w:rFonts w:hint="eastAsia" w:ascii="宋体" w:hAnsi="宋体" w:cs="宋体"/>
                <w:b/>
                <w:bCs/>
                <w:kern w:val="0"/>
                <w:sz w:val="18"/>
                <w:szCs w:val="18"/>
              </w:rPr>
            </w:pPr>
            <w:r>
              <w:rPr>
                <w:rFonts w:hint="eastAsia" w:ascii="宋体" w:hAnsi="宋体" w:cs="宋体"/>
                <w:b/>
                <w:bCs/>
                <w:kern w:val="0"/>
                <w:sz w:val="18"/>
                <w:szCs w:val="18"/>
              </w:rPr>
              <w:t>指标值设定依据</w:t>
            </w:r>
          </w:p>
        </w:tc>
        <w:tc>
          <w:tcPr>
            <w:tcW w:w="1004" w:type="dxa"/>
            <w:tcBorders>
              <w:top w:val="nil"/>
              <w:left w:val="nil"/>
              <w:bottom w:val="single" w:color="auto" w:sz="4" w:space="0"/>
              <w:right w:val="single" w:color="auto" w:sz="4" w:space="0"/>
            </w:tcBorders>
            <w:shd w:val="clear" w:color="auto" w:fill="auto"/>
            <w:vAlign w:val="center"/>
          </w:tcPr>
          <w:p w14:paraId="5B7B1A2A">
            <w:pPr>
              <w:widowControl/>
              <w:jc w:val="center"/>
              <w:rPr>
                <w:rFonts w:hint="eastAsia" w:ascii="宋体" w:hAnsi="宋体" w:cs="宋体"/>
                <w:b/>
                <w:bCs/>
                <w:kern w:val="0"/>
                <w:sz w:val="18"/>
                <w:szCs w:val="18"/>
              </w:rPr>
            </w:pPr>
            <w:r>
              <w:rPr>
                <w:rFonts w:hint="eastAsia" w:ascii="宋体" w:hAnsi="宋体" w:cs="宋体"/>
                <w:b/>
                <w:bCs/>
                <w:kern w:val="0"/>
                <w:sz w:val="18"/>
                <w:szCs w:val="18"/>
              </w:rPr>
              <w:t>实际完成指标值</w:t>
            </w:r>
          </w:p>
        </w:tc>
        <w:tc>
          <w:tcPr>
            <w:tcW w:w="839" w:type="dxa"/>
            <w:tcBorders>
              <w:top w:val="nil"/>
              <w:left w:val="nil"/>
              <w:bottom w:val="single" w:color="auto" w:sz="4" w:space="0"/>
              <w:right w:val="single" w:color="auto" w:sz="4" w:space="0"/>
            </w:tcBorders>
            <w:shd w:val="clear" w:color="auto" w:fill="auto"/>
            <w:vAlign w:val="center"/>
          </w:tcPr>
          <w:p w14:paraId="1CA79F91">
            <w:pPr>
              <w:widowControl/>
              <w:jc w:val="center"/>
              <w:rPr>
                <w:rFonts w:hint="eastAsia" w:ascii="宋体" w:hAnsi="宋体" w:cs="宋体"/>
                <w:b/>
                <w:bCs/>
                <w:kern w:val="0"/>
                <w:sz w:val="18"/>
                <w:szCs w:val="18"/>
              </w:rPr>
            </w:pPr>
            <w:r>
              <w:rPr>
                <w:rFonts w:hint="eastAsia" w:ascii="宋体" w:hAnsi="宋体" w:cs="宋体"/>
                <w:b/>
                <w:bCs/>
                <w:kern w:val="0"/>
                <w:sz w:val="18"/>
                <w:szCs w:val="18"/>
              </w:rPr>
              <w:t>分值权重</w:t>
            </w:r>
          </w:p>
        </w:tc>
        <w:tc>
          <w:tcPr>
            <w:tcW w:w="720" w:type="dxa"/>
            <w:tcBorders>
              <w:top w:val="nil"/>
              <w:left w:val="nil"/>
              <w:bottom w:val="single" w:color="auto" w:sz="4" w:space="0"/>
              <w:right w:val="single" w:color="auto" w:sz="4" w:space="0"/>
            </w:tcBorders>
            <w:shd w:val="clear" w:color="auto" w:fill="auto"/>
            <w:vAlign w:val="center"/>
          </w:tcPr>
          <w:p w14:paraId="65A13D23">
            <w:pPr>
              <w:widowControl/>
              <w:jc w:val="center"/>
              <w:rPr>
                <w:rFonts w:hint="eastAsia" w:ascii="宋体" w:hAnsi="宋体" w:cs="宋体"/>
                <w:b/>
                <w:bCs/>
                <w:kern w:val="0"/>
                <w:sz w:val="18"/>
                <w:szCs w:val="18"/>
              </w:rPr>
            </w:pPr>
            <w:r>
              <w:rPr>
                <w:rFonts w:hint="eastAsia" w:ascii="宋体" w:hAnsi="宋体" w:cs="宋体"/>
                <w:b/>
                <w:bCs/>
                <w:kern w:val="0"/>
                <w:sz w:val="18"/>
                <w:szCs w:val="18"/>
              </w:rPr>
              <w:t>得分</w:t>
            </w:r>
          </w:p>
        </w:tc>
        <w:tc>
          <w:tcPr>
            <w:tcW w:w="284" w:type="dxa"/>
            <w:tcBorders>
              <w:top w:val="nil"/>
              <w:left w:val="nil"/>
              <w:bottom w:val="nil"/>
              <w:right w:val="nil"/>
            </w:tcBorders>
            <w:shd w:val="clear" w:color="auto" w:fill="auto"/>
            <w:noWrap/>
            <w:vAlign w:val="center"/>
          </w:tcPr>
          <w:p w14:paraId="75B36225">
            <w:pPr>
              <w:widowControl/>
              <w:jc w:val="left"/>
              <w:rPr>
                <w:rFonts w:hint="eastAsia" w:ascii="宋体" w:hAnsi="宋体" w:cs="宋体"/>
                <w:b/>
                <w:bCs/>
                <w:kern w:val="0"/>
                <w:sz w:val="18"/>
                <w:szCs w:val="18"/>
              </w:rPr>
            </w:pPr>
          </w:p>
        </w:tc>
      </w:tr>
      <w:tr w14:paraId="4D9A9629">
        <w:tblPrEx>
          <w:tblCellMar>
            <w:top w:w="0" w:type="dxa"/>
            <w:left w:w="108" w:type="dxa"/>
            <w:bottom w:w="0" w:type="dxa"/>
            <w:right w:w="108" w:type="dxa"/>
          </w:tblCellMar>
        </w:tblPrEx>
        <w:trPr>
          <w:cantSplit/>
          <w:trHeight w:val="740"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14:paraId="2790C9E2">
            <w:pPr>
              <w:jc w:val="center"/>
            </w:pPr>
            <w:r>
              <w:rPr>
                <w:rFonts w:ascii="宋体" w:hAnsi="宋体"/>
                <w:sz w:val="18"/>
              </w:rPr>
              <w:t>履职效能</w:t>
            </w:r>
          </w:p>
        </w:tc>
        <w:tc>
          <w:tcPr>
            <w:tcW w:w="1417" w:type="dxa"/>
            <w:vMerge w:val="restart"/>
            <w:tcBorders>
              <w:top w:val="nil"/>
              <w:left w:val="nil"/>
              <w:bottom w:val="single" w:color="auto" w:sz="4" w:space="0"/>
              <w:right w:val="single" w:color="auto" w:sz="4" w:space="0"/>
            </w:tcBorders>
            <w:shd w:val="clear" w:color="auto" w:fill="auto"/>
            <w:noWrap/>
            <w:vAlign w:val="center"/>
          </w:tcPr>
          <w:p w14:paraId="789D9B85">
            <w:pPr>
              <w:jc w:val="center"/>
            </w:pPr>
            <w:r>
              <w:rPr>
                <w:rFonts w:ascii="宋体" w:hAnsi="宋体"/>
                <w:sz w:val="18"/>
              </w:rPr>
              <w:t>质量指标</w:t>
            </w:r>
          </w:p>
        </w:tc>
        <w:tc>
          <w:tcPr>
            <w:tcW w:w="1418" w:type="dxa"/>
            <w:tcBorders>
              <w:top w:val="nil"/>
              <w:left w:val="nil"/>
              <w:bottom w:val="single" w:color="auto" w:sz="4" w:space="0"/>
              <w:right w:val="single" w:color="auto" w:sz="4" w:space="0"/>
            </w:tcBorders>
            <w:shd w:val="clear" w:color="auto" w:fill="auto"/>
            <w:noWrap/>
            <w:vAlign w:val="center"/>
          </w:tcPr>
          <w:p w14:paraId="516434E7">
            <w:pPr>
              <w:jc w:val="center"/>
            </w:pPr>
            <w:r>
              <w:rPr>
                <w:rFonts w:ascii="宋体" w:hAnsi="宋体"/>
                <w:sz w:val="18"/>
              </w:rPr>
              <w:t>专任教师人数与幼儿人数占比</w:t>
            </w:r>
          </w:p>
        </w:tc>
        <w:tc>
          <w:tcPr>
            <w:tcW w:w="1134" w:type="dxa"/>
            <w:tcBorders>
              <w:top w:val="nil"/>
              <w:left w:val="nil"/>
              <w:bottom w:val="single" w:color="auto" w:sz="4" w:space="0"/>
              <w:right w:val="single" w:color="auto" w:sz="4" w:space="0"/>
            </w:tcBorders>
            <w:shd w:val="clear" w:color="auto" w:fill="auto"/>
            <w:noWrap/>
            <w:vAlign w:val="center"/>
          </w:tcPr>
          <w:p w14:paraId="0C4E57DD">
            <w:pPr>
              <w:jc w:val="center"/>
            </w:pPr>
            <w:r>
              <w:rPr>
                <w:rFonts w:ascii="宋体" w:hAnsi="宋体"/>
                <w:sz w:val="18"/>
              </w:rPr>
              <w:t>&gt;=6.70%</w:t>
            </w:r>
          </w:p>
        </w:tc>
        <w:tc>
          <w:tcPr>
            <w:tcW w:w="2126" w:type="dxa"/>
            <w:tcBorders>
              <w:top w:val="nil"/>
              <w:left w:val="nil"/>
              <w:bottom w:val="single" w:color="auto" w:sz="4" w:space="0"/>
              <w:right w:val="single" w:color="auto" w:sz="4" w:space="0"/>
            </w:tcBorders>
            <w:shd w:val="clear" w:color="auto" w:fill="auto"/>
            <w:noWrap/>
            <w:vAlign w:val="center"/>
          </w:tcPr>
          <w:p w14:paraId="348D79E0">
            <w:pPr>
              <w:jc w:val="center"/>
            </w:pPr>
            <w:r>
              <w:rPr>
                <w:rFonts w:ascii="宋体" w:hAnsi="宋体"/>
                <w:sz w:val="18"/>
              </w:rPr>
              <w:t>教育部关于印发《县域学前教育普及普惠督导评估办法》的通知</w:t>
            </w:r>
          </w:p>
        </w:tc>
        <w:tc>
          <w:tcPr>
            <w:tcW w:w="1004" w:type="dxa"/>
            <w:tcBorders>
              <w:top w:val="nil"/>
              <w:left w:val="nil"/>
              <w:bottom w:val="single" w:color="auto" w:sz="4" w:space="0"/>
              <w:right w:val="single" w:color="auto" w:sz="4" w:space="0"/>
            </w:tcBorders>
            <w:shd w:val="clear" w:color="auto" w:fill="auto"/>
            <w:noWrap/>
            <w:vAlign w:val="center"/>
          </w:tcPr>
          <w:p w14:paraId="32894FE1">
            <w:pPr>
              <w:jc w:val="center"/>
            </w:pPr>
            <w:r>
              <w:rPr>
                <w:rFonts w:ascii="宋体" w:hAnsi="宋体"/>
                <w:sz w:val="18"/>
              </w:rPr>
              <w:t>8.42%</w:t>
            </w:r>
          </w:p>
        </w:tc>
        <w:tc>
          <w:tcPr>
            <w:tcW w:w="839" w:type="dxa"/>
            <w:tcBorders>
              <w:top w:val="nil"/>
              <w:left w:val="nil"/>
              <w:bottom w:val="single" w:color="auto" w:sz="4" w:space="0"/>
              <w:right w:val="single" w:color="auto" w:sz="4" w:space="0"/>
            </w:tcBorders>
            <w:shd w:val="clear" w:color="auto" w:fill="auto"/>
            <w:noWrap/>
            <w:vAlign w:val="center"/>
          </w:tcPr>
          <w:p w14:paraId="58CA4BD8">
            <w:pPr>
              <w:jc w:val="center"/>
            </w:pPr>
            <w:r>
              <w:rPr>
                <w:rFonts w:ascii="宋体" w:hAnsi="宋体"/>
                <w:sz w:val="18"/>
              </w:rPr>
              <w:t>30</w:t>
            </w:r>
          </w:p>
        </w:tc>
        <w:tc>
          <w:tcPr>
            <w:tcW w:w="720" w:type="dxa"/>
            <w:tcBorders>
              <w:top w:val="nil"/>
              <w:left w:val="nil"/>
              <w:bottom w:val="single" w:color="auto" w:sz="4" w:space="0"/>
              <w:right w:val="single" w:color="auto" w:sz="4" w:space="0"/>
            </w:tcBorders>
            <w:shd w:val="clear" w:color="auto" w:fill="auto"/>
            <w:noWrap/>
            <w:vAlign w:val="center"/>
          </w:tcPr>
          <w:p w14:paraId="63CC86E4">
            <w:pPr>
              <w:jc w:val="center"/>
            </w:pPr>
            <w:r>
              <w:rPr>
                <w:rFonts w:ascii="宋体" w:hAnsi="宋体"/>
                <w:sz w:val="18"/>
              </w:rPr>
              <w:t>30</w:t>
            </w:r>
          </w:p>
        </w:tc>
        <w:tc>
          <w:tcPr>
            <w:tcW w:w="284" w:type="dxa"/>
            <w:tcBorders>
              <w:top w:val="nil"/>
              <w:left w:val="nil"/>
              <w:bottom w:val="nil"/>
              <w:right w:val="nil"/>
            </w:tcBorders>
            <w:shd w:val="clear" w:color="auto" w:fill="auto"/>
            <w:noWrap/>
            <w:vAlign w:val="center"/>
          </w:tcPr>
          <w:p w14:paraId="385FC879">
            <w:pPr>
              <w:widowControl/>
              <w:jc w:val="center"/>
              <w:rPr>
                <w:rFonts w:hint="eastAsia" w:ascii="宋体" w:hAnsi="宋体" w:cs="宋体"/>
                <w:kern w:val="0"/>
                <w:sz w:val="18"/>
                <w:szCs w:val="18"/>
              </w:rPr>
            </w:pPr>
          </w:p>
        </w:tc>
      </w:tr>
      <w:tr w14:paraId="34762698">
        <w:tblPrEx>
          <w:tblCellMar>
            <w:top w:w="0" w:type="dxa"/>
            <w:left w:w="108" w:type="dxa"/>
            <w:bottom w:w="0" w:type="dxa"/>
            <w:right w:w="108" w:type="dxa"/>
          </w:tblCellMar>
        </w:tblPrEx>
        <w:trPr>
          <w:cantSplit/>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3E7F7252">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14:paraId="3A517BF2">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14:paraId="630CC9AE">
            <w:pPr>
              <w:jc w:val="center"/>
            </w:pPr>
            <w:r>
              <w:rPr>
                <w:rFonts w:ascii="宋体" w:hAnsi="宋体"/>
                <w:sz w:val="18"/>
              </w:rPr>
              <w:t>班额达标率</w:t>
            </w:r>
          </w:p>
        </w:tc>
        <w:tc>
          <w:tcPr>
            <w:tcW w:w="1134" w:type="dxa"/>
            <w:tcBorders>
              <w:top w:val="nil"/>
              <w:left w:val="nil"/>
              <w:bottom w:val="single" w:color="auto" w:sz="4" w:space="0"/>
              <w:right w:val="single" w:color="auto" w:sz="4" w:space="0"/>
            </w:tcBorders>
            <w:shd w:val="clear" w:color="auto" w:fill="auto"/>
            <w:noWrap/>
            <w:vAlign w:val="center"/>
          </w:tcPr>
          <w:p w14:paraId="7CA1FF16">
            <w:pPr>
              <w:jc w:val="center"/>
            </w:pPr>
            <w:r>
              <w:rPr>
                <w:rFonts w:ascii="宋体" w:hAnsi="宋体"/>
                <w:sz w:val="18"/>
              </w:rPr>
              <w:t>&gt;=85%</w:t>
            </w:r>
          </w:p>
        </w:tc>
        <w:tc>
          <w:tcPr>
            <w:tcW w:w="2126" w:type="dxa"/>
            <w:tcBorders>
              <w:top w:val="nil"/>
              <w:left w:val="nil"/>
              <w:bottom w:val="single" w:color="auto" w:sz="4" w:space="0"/>
              <w:right w:val="single" w:color="auto" w:sz="4" w:space="0"/>
            </w:tcBorders>
            <w:shd w:val="clear" w:color="auto" w:fill="auto"/>
            <w:noWrap/>
            <w:vAlign w:val="center"/>
          </w:tcPr>
          <w:p w14:paraId="6DC3D7E4">
            <w:pPr>
              <w:jc w:val="center"/>
            </w:pPr>
            <w:r>
              <w:rPr>
                <w:rFonts w:ascii="宋体" w:hAnsi="宋体"/>
                <w:sz w:val="18"/>
              </w:rPr>
              <w:t>教育部关于印发《县域学前教育普及普惠督导评估办法》的通知</w:t>
            </w:r>
          </w:p>
        </w:tc>
        <w:tc>
          <w:tcPr>
            <w:tcW w:w="1004" w:type="dxa"/>
            <w:tcBorders>
              <w:top w:val="nil"/>
              <w:left w:val="nil"/>
              <w:bottom w:val="single" w:color="auto" w:sz="4" w:space="0"/>
              <w:right w:val="single" w:color="auto" w:sz="4" w:space="0"/>
            </w:tcBorders>
            <w:shd w:val="clear" w:color="auto" w:fill="auto"/>
            <w:noWrap/>
            <w:vAlign w:val="center"/>
          </w:tcPr>
          <w:p w14:paraId="0D3E2B0F">
            <w:pPr>
              <w:jc w:val="center"/>
            </w:pPr>
            <w:r>
              <w:rPr>
                <w:rFonts w:ascii="宋体" w:hAnsi="宋体"/>
                <w:sz w:val="18"/>
              </w:rPr>
              <w:t>75%</w:t>
            </w:r>
          </w:p>
        </w:tc>
        <w:tc>
          <w:tcPr>
            <w:tcW w:w="839" w:type="dxa"/>
            <w:tcBorders>
              <w:top w:val="nil"/>
              <w:left w:val="nil"/>
              <w:bottom w:val="single" w:color="auto" w:sz="4" w:space="0"/>
              <w:right w:val="single" w:color="auto" w:sz="4" w:space="0"/>
            </w:tcBorders>
            <w:shd w:val="clear" w:color="auto" w:fill="auto"/>
            <w:noWrap/>
            <w:vAlign w:val="center"/>
          </w:tcPr>
          <w:p w14:paraId="2506A136">
            <w:pPr>
              <w:jc w:val="center"/>
            </w:pPr>
            <w:r>
              <w:rPr>
                <w:rFonts w:ascii="宋体" w:hAnsi="宋体"/>
                <w:sz w:val="18"/>
              </w:rPr>
              <w:t>30</w:t>
            </w:r>
          </w:p>
        </w:tc>
        <w:tc>
          <w:tcPr>
            <w:tcW w:w="720" w:type="dxa"/>
            <w:tcBorders>
              <w:top w:val="nil"/>
              <w:left w:val="nil"/>
              <w:bottom w:val="single" w:color="auto" w:sz="4" w:space="0"/>
              <w:right w:val="single" w:color="auto" w:sz="4" w:space="0"/>
            </w:tcBorders>
            <w:shd w:val="clear" w:color="auto" w:fill="auto"/>
            <w:noWrap/>
            <w:vAlign w:val="center"/>
          </w:tcPr>
          <w:p w14:paraId="0A636864">
            <w:pPr>
              <w:jc w:val="center"/>
            </w:pPr>
            <w:r>
              <w:rPr>
                <w:rFonts w:ascii="宋体" w:hAnsi="宋体"/>
                <w:sz w:val="18"/>
              </w:rPr>
              <w:t>26.47</w:t>
            </w:r>
          </w:p>
        </w:tc>
        <w:tc>
          <w:tcPr>
            <w:tcW w:w="284" w:type="dxa"/>
            <w:tcBorders>
              <w:top w:val="nil"/>
              <w:left w:val="nil"/>
              <w:bottom w:val="nil"/>
              <w:right w:val="nil"/>
            </w:tcBorders>
            <w:shd w:val="clear" w:color="auto" w:fill="auto"/>
            <w:noWrap/>
            <w:vAlign w:val="center"/>
          </w:tcPr>
          <w:p w14:paraId="22A87AA7">
            <w:pPr>
              <w:widowControl/>
              <w:jc w:val="center"/>
              <w:rPr>
                <w:rFonts w:hint="eastAsia" w:ascii="宋体" w:hAnsi="宋体" w:cs="宋体"/>
                <w:kern w:val="0"/>
                <w:sz w:val="18"/>
                <w:szCs w:val="18"/>
              </w:rPr>
            </w:pPr>
          </w:p>
        </w:tc>
      </w:tr>
      <w:tr w14:paraId="255B202F">
        <w:tblPrEx>
          <w:tblCellMar>
            <w:top w:w="0" w:type="dxa"/>
            <w:left w:w="108" w:type="dxa"/>
            <w:bottom w:w="0" w:type="dxa"/>
            <w:right w:w="108" w:type="dxa"/>
          </w:tblCellMar>
        </w:tblPrEx>
        <w:trPr>
          <w:cantSplit/>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33B36B76">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14:paraId="052E6A55">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14:paraId="60B1F7E6">
            <w:pPr>
              <w:jc w:val="center"/>
            </w:pPr>
            <w:r>
              <w:rPr>
                <w:rFonts w:ascii="宋体" w:hAnsi="宋体"/>
                <w:sz w:val="18"/>
              </w:rPr>
              <w:t>公办园在园幼儿占比</w:t>
            </w:r>
          </w:p>
        </w:tc>
        <w:tc>
          <w:tcPr>
            <w:tcW w:w="1134" w:type="dxa"/>
            <w:tcBorders>
              <w:top w:val="nil"/>
              <w:left w:val="nil"/>
              <w:bottom w:val="single" w:color="auto" w:sz="4" w:space="0"/>
              <w:right w:val="single" w:color="auto" w:sz="4" w:space="0"/>
            </w:tcBorders>
            <w:shd w:val="clear" w:color="auto" w:fill="auto"/>
            <w:noWrap/>
            <w:vAlign w:val="center"/>
          </w:tcPr>
          <w:p w14:paraId="2680152A">
            <w:pPr>
              <w:jc w:val="center"/>
            </w:pPr>
            <w:r>
              <w:rPr>
                <w:rFonts w:ascii="宋体" w:hAnsi="宋体"/>
                <w:sz w:val="18"/>
              </w:rPr>
              <w:t>&gt;=50%</w:t>
            </w:r>
          </w:p>
        </w:tc>
        <w:tc>
          <w:tcPr>
            <w:tcW w:w="2126" w:type="dxa"/>
            <w:tcBorders>
              <w:top w:val="nil"/>
              <w:left w:val="nil"/>
              <w:bottom w:val="single" w:color="auto" w:sz="4" w:space="0"/>
              <w:right w:val="single" w:color="auto" w:sz="4" w:space="0"/>
            </w:tcBorders>
            <w:shd w:val="clear" w:color="auto" w:fill="auto"/>
            <w:noWrap/>
            <w:vAlign w:val="center"/>
          </w:tcPr>
          <w:p w14:paraId="1AB8A13C">
            <w:pPr>
              <w:jc w:val="center"/>
            </w:pPr>
            <w:r>
              <w:rPr>
                <w:rFonts w:ascii="宋体" w:hAnsi="宋体"/>
                <w:sz w:val="18"/>
              </w:rPr>
              <w:t>教育部关于印发《县域学前教育普及普惠督导评估办法》的通知</w:t>
            </w:r>
          </w:p>
        </w:tc>
        <w:tc>
          <w:tcPr>
            <w:tcW w:w="1004" w:type="dxa"/>
            <w:tcBorders>
              <w:top w:val="nil"/>
              <w:left w:val="nil"/>
              <w:bottom w:val="single" w:color="auto" w:sz="4" w:space="0"/>
              <w:right w:val="single" w:color="auto" w:sz="4" w:space="0"/>
            </w:tcBorders>
            <w:shd w:val="clear" w:color="auto" w:fill="auto"/>
            <w:noWrap/>
            <w:vAlign w:val="center"/>
          </w:tcPr>
          <w:p w14:paraId="380E3E62">
            <w:pPr>
              <w:jc w:val="center"/>
            </w:pPr>
            <w:r>
              <w:rPr>
                <w:rFonts w:ascii="宋体" w:hAnsi="宋体"/>
                <w:sz w:val="18"/>
              </w:rPr>
              <w:t>74.81%</w:t>
            </w:r>
          </w:p>
        </w:tc>
        <w:tc>
          <w:tcPr>
            <w:tcW w:w="839" w:type="dxa"/>
            <w:tcBorders>
              <w:top w:val="nil"/>
              <w:left w:val="nil"/>
              <w:bottom w:val="single" w:color="auto" w:sz="4" w:space="0"/>
              <w:right w:val="single" w:color="auto" w:sz="4" w:space="0"/>
            </w:tcBorders>
            <w:shd w:val="clear" w:color="auto" w:fill="auto"/>
            <w:noWrap/>
            <w:vAlign w:val="center"/>
          </w:tcPr>
          <w:p w14:paraId="157C094D">
            <w:pPr>
              <w:jc w:val="center"/>
            </w:pPr>
            <w:r>
              <w:rPr>
                <w:rFonts w:ascii="宋体" w:hAnsi="宋体"/>
                <w:sz w:val="18"/>
              </w:rPr>
              <w:t>30</w:t>
            </w:r>
          </w:p>
        </w:tc>
        <w:tc>
          <w:tcPr>
            <w:tcW w:w="720" w:type="dxa"/>
            <w:tcBorders>
              <w:top w:val="nil"/>
              <w:left w:val="nil"/>
              <w:bottom w:val="single" w:color="auto" w:sz="4" w:space="0"/>
              <w:right w:val="single" w:color="auto" w:sz="4" w:space="0"/>
            </w:tcBorders>
            <w:shd w:val="clear" w:color="auto" w:fill="auto"/>
            <w:noWrap/>
            <w:vAlign w:val="center"/>
          </w:tcPr>
          <w:p w14:paraId="527D7E54">
            <w:pPr>
              <w:jc w:val="center"/>
            </w:pPr>
            <w:r>
              <w:rPr>
                <w:rFonts w:ascii="宋体" w:hAnsi="宋体"/>
                <w:sz w:val="18"/>
              </w:rPr>
              <w:t>30</w:t>
            </w:r>
          </w:p>
        </w:tc>
        <w:tc>
          <w:tcPr>
            <w:tcW w:w="284" w:type="dxa"/>
            <w:tcBorders>
              <w:top w:val="nil"/>
              <w:left w:val="nil"/>
              <w:bottom w:val="nil"/>
              <w:right w:val="nil"/>
            </w:tcBorders>
            <w:shd w:val="clear" w:color="auto" w:fill="auto"/>
            <w:noWrap/>
            <w:vAlign w:val="center"/>
          </w:tcPr>
          <w:p w14:paraId="33642E90">
            <w:pPr>
              <w:widowControl/>
              <w:jc w:val="center"/>
              <w:rPr>
                <w:rFonts w:hint="eastAsia" w:ascii="宋体" w:hAnsi="宋体" w:cs="宋体"/>
                <w:kern w:val="0"/>
                <w:sz w:val="18"/>
                <w:szCs w:val="18"/>
              </w:rPr>
            </w:pPr>
          </w:p>
        </w:tc>
      </w:tr>
      <w:tr w14:paraId="5D9F3711">
        <w:tblPrEx>
          <w:tblCellMar>
            <w:top w:w="0" w:type="dxa"/>
            <w:left w:w="108" w:type="dxa"/>
            <w:bottom w:w="0" w:type="dxa"/>
            <w:right w:w="108" w:type="dxa"/>
          </w:tblCellMar>
        </w:tblPrEx>
        <w:trPr>
          <w:cantSplit/>
          <w:trHeight w:val="740" w:hRule="atLeast"/>
        </w:trPr>
        <w:tc>
          <w:tcPr>
            <w:tcW w:w="8092" w:type="dxa"/>
            <w:gridSpan w:val="6"/>
            <w:tcBorders>
              <w:top w:val="single" w:color="auto" w:sz="4" w:space="0"/>
              <w:left w:val="single" w:color="auto" w:sz="4" w:space="0"/>
              <w:bottom w:val="single" w:color="auto" w:sz="4" w:space="0"/>
              <w:right w:val="single" w:color="auto" w:sz="4" w:space="0"/>
            </w:tcBorders>
            <w:shd w:val="clear" w:color="auto" w:fill="auto"/>
            <w:noWrap/>
            <w:vAlign w:val="center"/>
          </w:tcPr>
          <w:p w14:paraId="33EE64B2">
            <w:pPr>
              <w:jc w:val="center"/>
            </w:pPr>
            <w:r>
              <w:rPr>
                <w:rFonts w:ascii="宋体" w:hAnsi="宋体"/>
                <w:sz w:val="18"/>
              </w:rPr>
              <w:t>总分</w:t>
            </w:r>
          </w:p>
        </w:tc>
        <w:tc>
          <w:tcPr>
            <w:tcW w:w="839" w:type="dxa"/>
            <w:tcBorders>
              <w:top w:val="nil"/>
              <w:left w:val="nil"/>
              <w:bottom w:val="single" w:color="auto" w:sz="4" w:space="0"/>
              <w:right w:val="single" w:color="auto" w:sz="4" w:space="0"/>
            </w:tcBorders>
            <w:shd w:val="clear" w:color="auto" w:fill="auto"/>
            <w:noWrap/>
            <w:vAlign w:val="center"/>
          </w:tcPr>
          <w:p w14:paraId="5B99CE4A">
            <w:pPr>
              <w:jc w:val="center"/>
            </w:pPr>
            <w:r>
              <w:rPr>
                <w:rFonts w:ascii="宋体" w:hAnsi="宋体"/>
                <w:sz w:val="18"/>
              </w:rPr>
              <w:t>100</w:t>
            </w:r>
          </w:p>
        </w:tc>
        <w:tc>
          <w:tcPr>
            <w:tcW w:w="720" w:type="dxa"/>
            <w:tcBorders>
              <w:top w:val="nil"/>
              <w:left w:val="nil"/>
              <w:bottom w:val="single" w:color="auto" w:sz="4" w:space="0"/>
              <w:right w:val="single" w:color="auto" w:sz="4" w:space="0"/>
            </w:tcBorders>
            <w:shd w:val="clear" w:color="auto" w:fill="auto"/>
            <w:noWrap/>
            <w:vAlign w:val="center"/>
          </w:tcPr>
          <w:p w14:paraId="368BCD9E">
            <w:pPr>
              <w:jc w:val="center"/>
            </w:pPr>
            <w:r>
              <w:rPr>
                <w:rFonts w:ascii="宋体" w:hAnsi="宋体"/>
                <w:sz w:val="18"/>
              </w:rPr>
              <w:t>96.31分</w:t>
            </w:r>
          </w:p>
        </w:tc>
        <w:tc>
          <w:tcPr>
            <w:tcW w:w="284" w:type="dxa"/>
            <w:tcBorders>
              <w:top w:val="nil"/>
              <w:left w:val="nil"/>
              <w:bottom w:val="nil"/>
              <w:right w:val="nil"/>
            </w:tcBorders>
            <w:shd w:val="clear" w:color="auto" w:fill="auto"/>
            <w:noWrap/>
            <w:vAlign w:val="center"/>
          </w:tcPr>
          <w:p w14:paraId="2C5BECFB">
            <w:pPr>
              <w:widowControl/>
              <w:jc w:val="left"/>
              <w:rPr>
                <w:rFonts w:hint="eastAsia" w:ascii="宋体" w:hAnsi="宋体" w:cs="宋体"/>
                <w:kern w:val="0"/>
                <w:sz w:val="18"/>
                <w:szCs w:val="18"/>
              </w:rPr>
            </w:pPr>
          </w:p>
        </w:tc>
      </w:tr>
    </w:tbl>
    <w:p w14:paraId="401077DE">
      <w:pPr>
        <w:jc w:val="center"/>
        <w:rPr>
          <w:rFonts w:hint="eastAsia" w:ascii="宋体" w:hAnsi="宋体" w:cs="宋体"/>
          <w:b/>
          <w:bCs/>
          <w:kern w:val="0"/>
          <w:sz w:val="28"/>
          <w:szCs w:val="28"/>
        </w:rPr>
      </w:pPr>
      <w:r>
        <w:rPr>
          <w:rFonts w:hint="eastAsia" w:ascii="宋体" w:hAnsi="宋体" w:cs="宋体"/>
          <w:b/>
          <w:bCs/>
          <w:kern w:val="0"/>
          <w:sz w:val="28"/>
          <w:szCs w:val="28"/>
        </w:rPr>
        <w:t>项目支出绩效自评表</w:t>
      </w:r>
    </w:p>
    <w:p w14:paraId="52D360AE">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77"/>
        <w:gridCol w:w="1177"/>
        <w:gridCol w:w="358"/>
        <w:gridCol w:w="349"/>
        <w:gridCol w:w="340"/>
        <w:gridCol w:w="350"/>
        <w:gridCol w:w="776"/>
        <w:gridCol w:w="1275"/>
      </w:tblGrid>
      <w:tr w14:paraId="6CDCB681">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230D5A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7681CE85">
            <w:pPr>
              <w:jc w:val="center"/>
            </w:pPr>
            <w:r>
              <w:rPr>
                <w:rFonts w:ascii="宋体" w:hAnsi="宋体"/>
                <w:sz w:val="18"/>
              </w:rPr>
              <w:t>学前免费教育（保障经费）2.17乌财科教【2022】68号-关于提前下达2023年自治区教育项目资金的通知</w:t>
            </w:r>
          </w:p>
        </w:tc>
      </w:tr>
      <w:tr w14:paraId="3E14C093">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A526C2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2575" w:type="dxa"/>
            <w:gridSpan w:val="3"/>
            <w:tcBorders>
              <w:top w:val="single" w:color="auto" w:sz="4" w:space="0"/>
              <w:left w:val="nil"/>
              <w:bottom w:val="single" w:color="auto" w:sz="4" w:space="0"/>
              <w:right w:val="single" w:color="000000" w:sz="4" w:space="0"/>
            </w:tcBorders>
            <w:shd w:val="clear" w:color="auto" w:fill="auto"/>
            <w:vAlign w:val="center"/>
          </w:tcPr>
          <w:p w14:paraId="770CB0D1">
            <w:pPr>
              <w:jc w:val="center"/>
            </w:pPr>
            <w:r>
              <w:rPr>
                <w:rFonts w:ascii="宋体" w:hAnsi="宋体"/>
                <w:sz w:val="18"/>
              </w:rPr>
              <w:t>乌鲁木齐市米东区教育局</w:t>
            </w:r>
          </w:p>
        </w:tc>
        <w:tc>
          <w:tcPr>
            <w:tcW w:w="1177" w:type="dxa"/>
            <w:tcBorders>
              <w:top w:val="nil"/>
              <w:left w:val="nil"/>
              <w:bottom w:val="single" w:color="auto" w:sz="4" w:space="0"/>
              <w:right w:val="single" w:color="auto" w:sz="4" w:space="0"/>
            </w:tcBorders>
            <w:shd w:val="clear" w:color="auto" w:fill="auto"/>
            <w:vAlign w:val="center"/>
          </w:tcPr>
          <w:p w14:paraId="3CE8442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实施单位</w:t>
            </w:r>
          </w:p>
        </w:tc>
        <w:tc>
          <w:tcPr>
            <w:tcW w:w="4625" w:type="dxa"/>
            <w:gridSpan w:val="7"/>
            <w:tcBorders>
              <w:top w:val="single" w:color="auto" w:sz="4" w:space="0"/>
              <w:left w:val="nil"/>
              <w:bottom w:val="single" w:color="auto" w:sz="4" w:space="0"/>
              <w:right w:val="single" w:color="000000" w:sz="4" w:space="0"/>
            </w:tcBorders>
            <w:shd w:val="clear" w:color="auto" w:fill="auto"/>
            <w:vAlign w:val="center"/>
          </w:tcPr>
          <w:p w14:paraId="358B5A52">
            <w:pPr>
              <w:jc w:val="center"/>
            </w:pPr>
            <w:r>
              <w:rPr>
                <w:rFonts w:ascii="宋体" w:hAnsi="宋体"/>
                <w:sz w:val="18"/>
              </w:rPr>
              <w:t>乌鲁木齐市米东区古牧地镇第一中心幼儿园</w:t>
            </w:r>
          </w:p>
        </w:tc>
      </w:tr>
      <w:tr w14:paraId="08F00D9C">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D2C978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72BCEA01">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546A26C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77" w:type="dxa"/>
            <w:tcBorders>
              <w:top w:val="nil"/>
              <w:left w:val="nil"/>
              <w:bottom w:val="single" w:color="auto" w:sz="4" w:space="0"/>
              <w:right w:val="single" w:color="auto" w:sz="4" w:space="0"/>
            </w:tcBorders>
            <w:shd w:val="clear" w:color="auto" w:fill="auto"/>
            <w:vAlign w:val="center"/>
          </w:tcPr>
          <w:p w14:paraId="075E178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535" w:type="dxa"/>
            <w:gridSpan w:val="2"/>
            <w:tcBorders>
              <w:top w:val="single" w:color="auto" w:sz="4" w:space="0"/>
              <w:left w:val="nil"/>
              <w:bottom w:val="single" w:color="auto" w:sz="4" w:space="0"/>
              <w:right w:val="single" w:color="auto" w:sz="4" w:space="0"/>
            </w:tcBorders>
            <w:shd w:val="clear" w:color="auto" w:fill="auto"/>
            <w:vAlign w:val="center"/>
          </w:tcPr>
          <w:p w14:paraId="3FB9663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4693337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1829E36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14:paraId="1A0690D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25620D49">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7C46CA4C">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42CBC16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1DC6F5DE">
            <w:pPr>
              <w:jc w:val="center"/>
            </w:pPr>
            <w:r>
              <w:rPr>
                <w:rFonts w:ascii="宋体" w:hAnsi="宋体"/>
                <w:sz w:val="18"/>
              </w:rPr>
              <w:t>0.18</w:t>
            </w:r>
          </w:p>
        </w:tc>
        <w:tc>
          <w:tcPr>
            <w:tcW w:w="1177" w:type="dxa"/>
            <w:tcBorders>
              <w:top w:val="nil"/>
              <w:left w:val="nil"/>
              <w:bottom w:val="single" w:color="auto" w:sz="4" w:space="0"/>
              <w:right w:val="single" w:color="auto" w:sz="4" w:space="0"/>
            </w:tcBorders>
            <w:shd w:val="clear" w:color="auto" w:fill="auto"/>
            <w:noWrap/>
            <w:vAlign w:val="center"/>
          </w:tcPr>
          <w:p w14:paraId="74D305A2">
            <w:pPr>
              <w:jc w:val="center"/>
            </w:pPr>
            <w:r>
              <w:rPr>
                <w:rFonts w:ascii="宋体" w:hAnsi="宋体"/>
                <w:sz w:val="18"/>
              </w:rPr>
              <w:t>2.81</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5E8C1CB3">
            <w:pPr>
              <w:jc w:val="center"/>
            </w:pPr>
            <w:r>
              <w:rPr>
                <w:rFonts w:ascii="宋体" w:hAnsi="宋体"/>
                <w:sz w:val="18"/>
              </w:rPr>
              <w:t>2.81</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4035DAD1">
            <w:pPr>
              <w:jc w:val="center"/>
            </w:pPr>
            <w:r>
              <w:rPr>
                <w:rFonts w:ascii="宋体" w:hAnsi="宋体"/>
                <w:sz w:val="18"/>
              </w:rPr>
              <w:t>10</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6D184AF5">
            <w:pPr>
              <w:jc w:val="center"/>
            </w:pPr>
            <w:r>
              <w:rPr>
                <w:rFonts w:ascii="宋体" w:hAnsi="宋体"/>
                <w:sz w:val="18"/>
              </w:rPr>
              <w:t>100.00%</w:t>
            </w:r>
          </w:p>
        </w:tc>
        <w:tc>
          <w:tcPr>
            <w:tcW w:w="1275" w:type="dxa"/>
            <w:tcBorders>
              <w:top w:val="nil"/>
              <w:left w:val="nil"/>
              <w:bottom w:val="single" w:color="auto" w:sz="4" w:space="0"/>
              <w:right w:val="single" w:color="auto" w:sz="4" w:space="0"/>
            </w:tcBorders>
            <w:shd w:val="clear" w:color="auto" w:fill="auto"/>
            <w:vAlign w:val="center"/>
          </w:tcPr>
          <w:p w14:paraId="58007A56">
            <w:pPr>
              <w:jc w:val="center"/>
            </w:pPr>
            <w:r>
              <w:rPr>
                <w:rFonts w:ascii="宋体" w:hAnsi="宋体"/>
                <w:sz w:val="18"/>
              </w:rPr>
              <w:t>10.00分</w:t>
            </w:r>
          </w:p>
        </w:tc>
      </w:tr>
      <w:tr w14:paraId="6DFFFE84">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3DA46D68">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6805F7F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48076A25">
            <w:pPr>
              <w:jc w:val="center"/>
            </w:pPr>
            <w:r>
              <w:rPr>
                <w:rFonts w:ascii="宋体" w:hAnsi="宋体"/>
                <w:sz w:val="18"/>
              </w:rPr>
              <w:t>0.18</w:t>
            </w:r>
          </w:p>
        </w:tc>
        <w:tc>
          <w:tcPr>
            <w:tcW w:w="1177" w:type="dxa"/>
            <w:tcBorders>
              <w:top w:val="nil"/>
              <w:left w:val="nil"/>
              <w:bottom w:val="single" w:color="auto" w:sz="4" w:space="0"/>
              <w:right w:val="single" w:color="auto" w:sz="4" w:space="0"/>
            </w:tcBorders>
            <w:shd w:val="clear" w:color="auto" w:fill="auto"/>
            <w:noWrap/>
            <w:vAlign w:val="center"/>
          </w:tcPr>
          <w:p w14:paraId="5F7FE0FC">
            <w:pPr>
              <w:jc w:val="center"/>
            </w:pPr>
            <w:r>
              <w:rPr>
                <w:rFonts w:ascii="宋体" w:hAnsi="宋体"/>
                <w:sz w:val="18"/>
              </w:rPr>
              <w:t>0.18</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47E711B1">
            <w:pPr>
              <w:jc w:val="center"/>
            </w:pPr>
            <w:r>
              <w:rPr>
                <w:rFonts w:ascii="宋体" w:hAnsi="宋体"/>
                <w:sz w:val="18"/>
              </w:rPr>
              <w:t>0.18</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069E8D98">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0BAAAEFA">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2E076D7C">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7D8ECC02">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10D4114E">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32A8A0D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0A2F7190">
            <w:pPr>
              <w:jc w:val="center"/>
            </w:pPr>
            <w:r>
              <w:rPr>
                <w:rFonts w:ascii="宋体" w:hAnsi="宋体"/>
                <w:sz w:val="18"/>
              </w:rPr>
              <w:t>0.00</w:t>
            </w:r>
          </w:p>
        </w:tc>
        <w:tc>
          <w:tcPr>
            <w:tcW w:w="1177" w:type="dxa"/>
            <w:tcBorders>
              <w:top w:val="nil"/>
              <w:left w:val="nil"/>
              <w:bottom w:val="single" w:color="auto" w:sz="4" w:space="0"/>
              <w:right w:val="single" w:color="auto" w:sz="4" w:space="0"/>
            </w:tcBorders>
            <w:shd w:val="clear" w:color="auto" w:fill="auto"/>
            <w:noWrap/>
            <w:vAlign w:val="center"/>
          </w:tcPr>
          <w:p w14:paraId="592454C9">
            <w:pPr>
              <w:jc w:val="center"/>
            </w:pPr>
            <w:r>
              <w:rPr>
                <w:rFonts w:ascii="宋体" w:hAnsi="宋体"/>
                <w:sz w:val="18"/>
              </w:rPr>
              <w:t>2.63</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61D59B0E">
            <w:pPr>
              <w:jc w:val="center"/>
            </w:pPr>
            <w:r>
              <w:rPr>
                <w:rFonts w:ascii="宋体" w:hAnsi="宋体"/>
                <w:sz w:val="18"/>
              </w:rPr>
              <w:t>2.63</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5AAA4179">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509EB38B">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735ACD9C">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7240B59A">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6A35701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59" w:type="dxa"/>
            <w:gridSpan w:val="5"/>
            <w:tcBorders>
              <w:top w:val="single" w:color="auto" w:sz="4" w:space="0"/>
              <w:left w:val="nil"/>
              <w:bottom w:val="single" w:color="auto" w:sz="4" w:space="0"/>
              <w:right w:val="single" w:color="auto" w:sz="4" w:space="0"/>
            </w:tcBorders>
            <w:shd w:val="clear" w:color="auto" w:fill="auto"/>
            <w:vAlign w:val="center"/>
          </w:tcPr>
          <w:p w14:paraId="1F1B37C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25" w:type="dxa"/>
            <w:gridSpan w:val="7"/>
            <w:tcBorders>
              <w:top w:val="single" w:color="auto" w:sz="4" w:space="0"/>
              <w:left w:val="nil"/>
              <w:bottom w:val="single" w:color="auto" w:sz="4" w:space="0"/>
              <w:right w:val="single" w:color="auto" w:sz="4" w:space="0"/>
            </w:tcBorders>
            <w:shd w:val="clear" w:color="auto" w:fill="auto"/>
            <w:vAlign w:val="center"/>
          </w:tcPr>
          <w:p w14:paraId="72383B1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333B8DCC">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3783CEB4">
            <w:pPr>
              <w:widowControl/>
              <w:jc w:val="left"/>
              <w:rPr>
                <w:rFonts w:hint="eastAsia" w:ascii="宋体" w:hAnsi="宋体" w:cs="宋体"/>
                <w:color w:val="000000"/>
                <w:kern w:val="0"/>
                <w:sz w:val="18"/>
                <w:szCs w:val="18"/>
              </w:rPr>
            </w:pPr>
          </w:p>
        </w:tc>
        <w:tc>
          <w:tcPr>
            <w:tcW w:w="4459" w:type="dxa"/>
            <w:gridSpan w:val="5"/>
            <w:tcBorders>
              <w:top w:val="single" w:color="auto" w:sz="4" w:space="0"/>
              <w:left w:val="nil"/>
              <w:bottom w:val="single" w:color="auto" w:sz="4" w:space="0"/>
              <w:right w:val="single" w:color="000000" w:sz="4" w:space="0"/>
            </w:tcBorders>
            <w:shd w:val="clear" w:color="auto" w:fill="auto"/>
          </w:tcPr>
          <w:p w14:paraId="569DAFAC">
            <w:pPr>
              <w:jc w:val="left"/>
            </w:pPr>
            <w:r>
              <w:rPr>
                <w:rFonts w:ascii="宋体" w:hAnsi="宋体"/>
                <w:sz w:val="18"/>
              </w:rPr>
              <w:t>本项目具体内容为保障202名农村在园幼儿免费接受学前三年教育。本项目的实施可巩固学前教育保教覆盖率。</w:t>
            </w:r>
          </w:p>
        </w:tc>
        <w:tc>
          <w:tcPr>
            <w:tcW w:w="4625" w:type="dxa"/>
            <w:gridSpan w:val="7"/>
            <w:tcBorders>
              <w:top w:val="single" w:color="auto" w:sz="4" w:space="0"/>
              <w:left w:val="nil"/>
              <w:bottom w:val="single" w:color="auto" w:sz="4" w:space="0"/>
              <w:right w:val="single" w:color="000000" w:sz="4" w:space="0"/>
            </w:tcBorders>
            <w:shd w:val="clear" w:color="auto" w:fill="auto"/>
          </w:tcPr>
          <w:p w14:paraId="7A6942FB">
            <w:pPr>
              <w:jc w:val="left"/>
            </w:pPr>
            <w:r>
              <w:rPr>
                <w:rFonts w:ascii="宋体" w:hAnsi="宋体"/>
                <w:sz w:val="18"/>
              </w:rPr>
              <w:t>本项目保障了202名农村在园幼儿免费接受学前三年教育。本项目经费2.81万元，2023年已支付2.63万元。主要用于支付日常伙食费和采暖费，保障了幼儿园正常运转。</w:t>
            </w:r>
          </w:p>
        </w:tc>
      </w:tr>
      <w:tr w14:paraId="22BEA722">
        <w:tblPrEx>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0EBB9345">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4D0D6E7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1753D87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6A45C7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14:paraId="6A7D330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14:paraId="601A700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1496F8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948487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511B0F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18D1D592">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071E8E0F">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3A3C8C99">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3FEA976F">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25C04C9A">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14:paraId="5D476A2A">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14:paraId="17C0AC45">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14:paraId="559D92D4">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14:paraId="1916BEF6">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14:paraId="18A8A515">
            <w:pPr>
              <w:widowControl/>
              <w:jc w:val="left"/>
              <w:rPr>
                <w:rFonts w:hint="eastAsia" w:ascii="宋体" w:hAnsi="宋体" w:cs="宋体"/>
                <w:color w:val="000000"/>
                <w:kern w:val="0"/>
                <w:sz w:val="18"/>
                <w:szCs w:val="18"/>
              </w:rPr>
            </w:pPr>
          </w:p>
        </w:tc>
      </w:tr>
      <w:tr w14:paraId="6353C301">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44FB0BB2">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6DFC7458">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14:paraId="09083528">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AEBE346">
            <w:pPr>
              <w:jc w:val="center"/>
            </w:pPr>
            <w:r>
              <w:rPr>
                <w:rFonts w:ascii="宋体" w:hAnsi="宋体"/>
                <w:sz w:val="18"/>
              </w:rPr>
              <w:t>享受学前教育资助的幼儿人数</w:t>
            </w:r>
          </w:p>
        </w:tc>
        <w:tc>
          <w:tcPr>
            <w:tcW w:w="1177" w:type="dxa"/>
            <w:tcBorders>
              <w:top w:val="nil"/>
              <w:left w:val="nil"/>
              <w:bottom w:val="single" w:color="auto" w:sz="4" w:space="0"/>
              <w:right w:val="single" w:color="auto" w:sz="4" w:space="0"/>
            </w:tcBorders>
            <w:shd w:val="clear" w:color="auto" w:fill="auto"/>
            <w:vAlign w:val="center"/>
          </w:tcPr>
          <w:p w14:paraId="667AC08E">
            <w:pPr>
              <w:jc w:val="center"/>
            </w:pPr>
            <w:r>
              <w:rPr>
                <w:rFonts w:ascii="宋体" w:hAnsi="宋体"/>
                <w:sz w:val="18"/>
              </w:rPr>
              <w:t>&gt;=202人</w:t>
            </w:r>
          </w:p>
        </w:tc>
        <w:tc>
          <w:tcPr>
            <w:tcW w:w="1177" w:type="dxa"/>
            <w:tcBorders>
              <w:top w:val="nil"/>
              <w:left w:val="nil"/>
              <w:bottom w:val="single" w:color="auto" w:sz="4" w:space="0"/>
              <w:right w:val="single" w:color="auto" w:sz="4" w:space="0"/>
            </w:tcBorders>
            <w:shd w:val="clear" w:color="auto" w:fill="auto"/>
            <w:vAlign w:val="center"/>
          </w:tcPr>
          <w:p w14:paraId="0E39F669">
            <w:pPr>
              <w:jc w:val="center"/>
            </w:pPr>
            <w:r>
              <w:rPr>
                <w:rFonts w:ascii="宋体" w:hAnsi="宋体"/>
                <w:sz w:val="18"/>
              </w:rPr>
              <w:t>202人</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60AEC00E">
            <w:pPr>
              <w:jc w:val="center"/>
            </w:pPr>
            <w:r>
              <w:rPr>
                <w:rFonts w:ascii="宋体" w:hAnsi="宋体"/>
                <w:sz w:val="18"/>
              </w:rPr>
              <w:t>15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2B0AD5D8">
            <w:pPr>
              <w:jc w:val="center"/>
            </w:pPr>
            <w:r>
              <w:rPr>
                <w:rFonts w:ascii="宋体" w:hAnsi="宋体"/>
                <w:sz w:val="18"/>
              </w:rPr>
              <w:t>15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59BA8381">
            <w:pPr>
              <w:jc w:val="center"/>
            </w:pPr>
          </w:p>
        </w:tc>
      </w:tr>
      <w:tr w14:paraId="3795480E">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F6CE0B8">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2EF5C724">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25E570D1">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E25D95D">
            <w:pPr>
              <w:jc w:val="center"/>
            </w:pPr>
            <w:r>
              <w:rPr>
                <w:rFonts w:ascii="宋体" w:hAnsi="宋体"/>
                <w:sz w:val="18"/>
              </w:rPr>
              <w:t>享受学前教育资助幼儿覆盖率</w:t>
            </w:r>
          </w:p>
        </w:tc>
        <w:tc>
          <w:tcPr>
            <w:tcW w:w="1177" w:type="dxa"/>
            <w:tcBorders>
              <w:top w:val="nil"/>
              <w:left w:val="nil"/>
              <w:bottom w:val="single" w:color="auto" w:sz="4" w:space="0"/>
              <w:right w:val="single" w:color="auto" w:sz="4" w:space="0"/>
            </w:tcBorders>
            <w:shd w:val="clear" w:color="auto" w:fill="auto"/>
            <w:vAlign w:val="center"/>
          </w:tcPr>
          <w:p w14:paraId="3D10C404">
            <w:pPr>
              <w:jc w:val="center"/>
            </w:pPr>
            <w:r>
              <w:rPr>
                <w:rFonts w:ascii="宋体" w:hAnsi="宋体"/>
                <w:sz w:val="18"/>
              </w:rPr>
              <w:t>&gt;=95%</w:t>
            </w:r>
          </w:p>
        </w:tc>
        <w:tc>
          <w:tcPr>
            <w:tcW w:w="1177" w:type="dxa"/>
            <w:tcBorders>
              <w:top w:val="nil"/>
              <w:left w:val="nil"/>
              <w:bottom w:val="single" w:color="auto" w:sz="4" w:space="0"/>
              <w:right w:val="single" w:color="auto" w:sz="4" w:space="0"/>
            </w:tcBorders>
            <w:shd w:val="clear" w:color="auto" w:fill="auto"/>
            <w:vAlign w:val="center"/>
          </w:tcPr>
          <w:p w14:paraId="473C916A">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79A35FAE">
            <w:pPr>
              <w:jc w:val="center"/>
            </w:pPr>
            <w:r>
              <w:rPr>
                <w:rFonts w:ascii="宋体" w:hAnsi="宋体"/>
                <w:sz w:val="18"/>
              </w:rPr>
              <w:t>15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0B9A7DB1">
            <w:pPr>
              <w:jc w:val="center"/>
            </w:pPr>
            <w:r>
              <w:rPr>
                <w:rFonts w:ascii="宋体" w:hAnsi="宋体"/>
                <w:sz w:val="18"/>
              </w:rPr>
              <w:t>15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40D49CEF">
            <w:pPr>
              <w:jc w:val="center"/>
            </w:pPr>
            <w:r>
              <w:rPr>
                <w:rFonts w:ascii="宋体" w:hAnsi="宋体"/>
                <w:sz w:val="18"/>
              </w:rPr>
              <w:t>我园完成了计划幼儿人数。</w:t>
            </w:r>
          </w:p>
        </w:tc>
      </w:tr>
      <w:tr w14:paraId="2FE64807">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4FA02A5">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364471AC">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7AC9A587">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4E02847">
            <w:pPr>
              <w:jc w:val="center"/>
            </w:pPr>
            <w:r>
              <w:rPr>
                <w:rFonts w:ascii="宋体" w:hAnsi="宋体"/>
                <w:sz w:val="18"/>
              </w:rPr>
              <w:t>项目完成时间</w:t>
            </w:r>
          </w:p>
        </w:tc>
        <w:tc>
          <w:tcPr>
            <w:tcW w:w="1177" w:type="dxa"/>
            <w:tcBorders>
              <w:top w:val="nil"/>
              <w:left w:val="nil"/>
              <w:bottom w:val="single" w:color="auto" w:sz="4" w:space="0"/>
              <w:right w:val="single" w:color="auto" w:sz="4" w:space="0"/>
            </w:tcBorders>
            <w:shd w:val="clear" w:color="auto" w:fill="auto"/>
            <w:vAlign w:val="center"/>
          </w:tcPr>
          <w:p w14:paraId="4675E590">
            <w:pPr>
              <w:jc w:val="center"/>
            </w:pPr>
            <w:r>
              <w:rPr>
                <w:rFonts w:ascii="宋体" w:hAnsi="宋体"/>
                <w:sz w:val="18"/>
              </w:rPr>
              <w:t>=12个月</w:t>
            </w:r>
          </w:p>
        </w:tc>
        <w:tc>
          <w:tcPr>
            <w:tcW w:w="1177" w:type="dxa"/>
            <w:tcBorders>
              <w:top w:val="nil"/>
              <w:left w:val="nil"/>
              <w:bottom w:val="single" w:color="auto" w:sz="4" w:space="0"/>
              <w:right w:val="single" w:color="auto" w:sz="4" w:space="0"/>
            </w:tcBorders>
            <w:shd w:val="clear" w:color="auto" w:fill="auto"/>
            <w:vAlign w:val="center"/>
          </w:tcPr>
          <w:p w14:paraId="33F4A0E0">
            <w:pPr>
              <w:jc w:val="center"/>
            </w:pPr>
            <w:r>
              <w:rPr>
                <w:rFonts w:ascii="宋体" w:hAnsi="宋体"/>
                <w:sz w:val="18"/>
              </w:rPr>
              <w:t>12个月</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4ACC89DD">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23D1D0FB">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434B0407">
            <w:pPr>
              <w:jc w:val="center"/>
            </w:pPr>
          </w:p>
        </w:tc>
      </w:tr>
      <w:tr w14:paraId="5DF53487">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065F2F6">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5226869B">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14:paraId="2B06CDD7">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F13694D">
            <w:pPr>
              <w:jc w:val="center"/>
            </w:pPr>
            <w:r>
              <w:rPr>
                <w:rFonts w:ascii="宋体" w:hAnsi="宋体"/>
                <w:sz w:val="18"/>
              </w:rPr>
              <w:t>项目生均成本</w:t>
            </w:r>
          </w:p>
        </w:tc>
        <w:tc>
          <w:tcPr>
            <w:tcW w:w="1177" w:type="dxa"/>
            <w:tcBorders>
              <w:top w:val="nil"/>
              <w:left w:val="nil"/>
              <w:bottom w:val="single" w:color="auto" w:sz="4" w:space="0"/>
              <w:right w:val="single" w:color="auto" w:sz="4" w:space="0"/>
            </w:tcBorders>
            <w:shd w:val="clear" w:color="auto" w:fill="auto"/>
            <w:vAlign w:val="center"/>
          </w:tcPr>
          <w:p w14:paraId="66BB91A7">
            <w:pPr>
              <w:jc w:val="center"/>
            </w:pPr>
            <w:r>
              <w:rPr>
                <w:rFonts w:ascii="宋体" w:hAnsi="宋体"/>
                <w:sz w:val="18"/>
              </w:rPr>
              <w:t>&lt;=9元</w:t>
            </w:r>
          </w:p>
        </w:tc>
        <w:tc>
          <w:tcPr>
            <w:tcW w:w="1177" w:type="dxa"/>
            <w:tcBorders>
              <w:top w:val="nil"/>
              <w:left w:val="nil"/>
              <w:bottom w:val="single" w:color="auto" w:sz="4" w:space="0"/>
              <w:right w:val="single" w:color="auto" w:sz="4" w:space="0"/>
            </w:tcBorders>
            <w:shd w:val="clear" w:color="auto" w:fill="auto"/>
            <w:vAlign w:val="center"/>
          </w:tcPr>
          <w:p w14:paraId="44CF95F9">
            <w:pPr>
              <w:jc w:val="center"/>
            </w:pPr>
            <w:r>
              <w:rPr>
                <w:rFonts w:ascii="宋体" w:hAnsi="宋体"/>
                <w:sz w:val="18"/>
              </w:rPr>
              <w:t>139.04元</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6AB95748">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63565F96">
            <w:pPr>
              <w:jc w:val="center"/>
            </w:pPr>
            <w:r>
              <w:rPr>
                <w:rFonts w:ascii="宋体" w:hAnsi="宋体"/>
                <w:sz w:val="18"/>
              </w:rPr>
              <w:t>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039DF60E">
            <w:pPr>
              <w:jc w:val="center"/>
            </w:pPr>
            <w:r>
              <w:rPr>
                <w:rFonts w:ascii="宋体" w:hAnsi="宋体"/>
                <w:sz w:val="18"/>
              </w:rPr>
              <w:t>此项支出包含68号文和1119号文，所以偏差率较大。</w:t>
            </w:r>
          </w:p>
        </w:tc>
      </w:tr>
      <w:tr w14:paraId="2F26BE13">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2ECF6C9">
            <w:pPr>
              <w:widowControl/>
              <w:jc w:val="left"/>
              <w:rPr>
                <w:rFonts w:hint="eastAsia" w:ascii="宋体" w:hAnsi="宋体" w:cs="宋体"/>
                <w:color w:val="000000"/>
                <w:kern w:val="0"/>
                <w:sz w:val="18"/>
                <w:szCs w:val="18"/>
              </w:rPr>
            </w:pPr>
          </w:p>
        </w:tc>
        <w:tc>
          <w:tcPr>
            <w:tcW w:w="707" w:type="dxa"/>
            <w:vMerge w:val="restart"/>
            <w:tcBorders>
              <w:top w:val="nil"/>
              <w:left w:val="nil"/>
              <w:bottom w:val="single" w:color="auto" w:sz="4" w:space="0"/>
              <w:right w:val="single" w:color="auto" w:sz="4" w:space="0"/>
            </w:tcBorders>
            <w:shd w:val="clear" w:color="auto" w:fill="auto"/>
            <w:vAlign w:val="center"/>
          </w:tcPr>
          <w:p w14:paraId="77C44B64">
            <w:pPr>
              <w:jc w:val="center"/>
            </w:pPr>
            <w:r>
              <w:rPr>
                <w:rFonts w:ascii="宋体" w:hAnsi="宋体"/>
                <w:sz w:val="18"/>
              </w:rPr>
              <w:t>效益指标</w:t>
            </w:r>
          </w:p>
        </w:tc>
        <w:tc>
          <w:tcPr>
            <w:tcW w:w="718" w:type="dxa"/>
            <w:vMerge w:val="restart"/>
            <w:tcBorders>
              <w:top w:val="nil"/>
              <w:left w:val="nil"/>
              <w:bottom w:val="single" w:color="auto" w:sz="4" w:space="0"/>
              <w:right w:val="single" w:color="auto" w:sz="4" w:space="0"/>
            </w:tcBorders>
            <w:shd w:val="clear" w:color="auto" w:fill="auto"/>
            <w:vAlign w:val="center"/>
          </w:tcPr>
          <w:p w14:paraId="408D3B62">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52BE26A">
            <w:pPr>
              <w:jc w:val="center"/>
            </w:pPr>
            <w:r>
              <w:rPr>
                <w:rFonts w:ascii="宋体" w:hAnsi="宋体"/>
                <w:sz w:val="18"/>
              </w:rPr>
              <w:t>保障幼儿接受学前免费教育</w:t>
            </w:r>
          </w:p>
        </w:tc>
        <w:tc>
          <w:tcPr>
            <w:tcW w:w="1177" w:type="dxa"/>
            <w:tcBorders>
              <w:top w:val="nil"/>
              <w:left w:val="nil"/>
              <w:bottom w:val="single" w:color="auto" w:sz="4" w:space="0"/>
              <w:right w:val="single" w:color="auto" w:sz="4" w:space="0"/>
            </w:tcBorders>
            <w:shd w:val="clear" w:color="auto" w:fill="auto"/>
            <w:vAlign w:val="center"/>
          </w:tcPr>
          <w:p w14:paraId="7F99BEBE">
            <w:pPr>
              <w:jc w:val="center"/>
            </w:pPr>
            <w:r>
              <w:rPr>
                <w:rFonts w:ascii="宋体" w:hAnsi="宋体"/>
                <w:sz w:val="18"/>
              </w:rPr>
              <w:t>有效保障</w:t>
            </w:r>
          </w:p>
        </w:tc>
        <w:tc>
          <w:tcPr>
            <w:tcW w:w="1177" w:type="dxa"/>
            <w:tcBorders>
              <w:top w:val="nil"/>
              <w:left w:val="nil"/>
              <w:bottom w:val="single" w:color="auto" w:sz="4" w:space="0"/>
              <w:right w:val="single" w:color="auto" w:sz="4" w:space="0"/>
            </w:tcBorders>
            <w:shd w:val="clear" w:color="auto" w:fill="auto"/>
            <w:vAlign w:val="center"/>
          </w:tcPr>
          <w:p w14:paraId="48376EBE">
            <w:pPr>
              <w:jc w:val="center"/>
            </w:pPr>
            <w:r>
              <w:rPr>
                <w:rFonts w:ascii="宋体" w:hAnsi="宋体"/>
                <w:sz w:val="18"/>
              </w:rPr>
              <w:t>完全达到预期</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11A04246">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4C1B2356">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48278504">
            <w:pPr>
              <w:jc w:val="center"/>
            </w:pPr>
          </w:p>
        </w:tc>
      </w:tr>
      <w:tr w14:paraId="09DE7CF0">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C56ADA6">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2450B5D6">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14:paraId="475CA863">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8B4A90B">
            <w:pPr>
              <w:jc w:val="center"/>
            </w:pPr>
            <w:r>
              <w:rPr>
                <w:rFonts w:ascii="宋体" w:hAnsi="宋体"/>
                <w:sz w:val="18"/>
              </w:rPr>
              <w:t>保障我园教学工作正常进行</w:t>
            </w:r>
          </w:p>
        </w:tc>
        <w:tc>
          <w:tcPr>
            <w:tcW w:w="1177" w:type="dxa"/>
            <w:tcBorders>
              <w:top w:val="nil"/>
              <w:left w:val="nil"/>
              <w:bottom w:val="single" w:color="auto" w:sz="4" w:space="0"/>
              <w:right w:val="single" w:color="auto" w:sz="4" w:space="0"/>
            </w:tcBorders>
            <w:shd w:val="clear" w:color="auto" w:fill="auto"/>
            <w:vAlign w:val="center"/>
          </w:tcPr>
          <w:p w14:paraId="55C5E4FC">
            <w:pPr>
              <w:jc w:val="center"/>
            </w:pPr>
            <w:r>
              <w:rPr>
                <w:rFonts w:ascii="宋体" w:hAnsi="宋体"/>
                <w:sz w:val="18"/>
              </w:rPr>
              <w:t>有效保障</w:t>
            </w:r>
          </w:p>
        </w:tc>
        <w:tc>
          <w:tcPr>
            <w:tcW w:w="1177" w:type="dxa"/>
            <w:tcBorders>
              <w:top w:val="nil"/>
              <w:left w:val="nil"/>
              <w:bottom w:val="single" w:color="auto" w:sz="4" w:space="0"/>
              <w:right w:val="single" w:color="auto" w:sz="4" w:space="0"/>
            </w:tcBorders>
            <w:shd w:val="clear" w:color="auto" w:fill="auto"/>
            <w:vAlign w:val="center"/>
          </w:tcPr>
          <w:p w14:paraId="23EE7728">
            <w:pPr>
              <w:jc w:val="center"/>
            </w:pPr>
            <w:r>
              <w:rPr>
                <w:rFonts w:ascii="宋体" w:hAnsi="宋体"/>
                <w:sz w:val="18"/>
              </w:rPr>
              <w:t>完全达到预期</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0E5E0AAF">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48CC842F">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68F7EA25">
            <w:pPr>
              <w:jc w:val="center"/>
            </w:pPr>
          </w:p>
        </w:tc>
      </w:tr>
      <w:tr w14:paraId="037EC06E">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76BC174">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3BE956CF">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01B40A9C">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307BA1E">
            <w:pPr>
              <w:jc w:val="center"/>
            </w:pPr>
            <w:r>
              <w:rPr>
                <w:rFonts w:ascii="宋体" w:hAnsi="宋体"/>
                <w:sz w:val="18"/>
              </w:rPr>
              <w:t>家长满意度</w:t>
            </w:r>
          </w:p>
        </w:tc>
        <w:tc>
          <w:tcPr>
            <w:tcW w:w="1177" w:type="dxa"/>
            <w:tcBorders>
              <w:top w:val="nil"/>
              <w:left w:val="nil"/>
              <w:bottom w:val="single" w:color="auto" w:sz="4" w:space="0"/>
              <w:right w:val="single" w:color="auto" w:sz="4" w:space="0"/>
            </w:tcBorders>
            <w:shd w:val="clear" w:color="auto" w:fill="auto"/>
            <w:vAlign w:val="center"/>
          </w:tcPr>
          <w:p w14:paraId="0A7BFAA1">
            <w:pPr>
              <w:jc w:val="center"/>
            </w:pPr>
            <w:r>
              <w:rPr>
                <w:rFonts w:ascii="宋体" w:hAnsi="宋体"/>
                <w:sz w:val="18"/>
              </w:rPr>
              <w:t>&gt;=95%</w:t>
            </w:r>
          </w:p>
        </w:tc>
        <w:tc>
          <w:tcPr>
            <w:tcW w:w="1177" w:type="dxa"/>
            <w:tcBorders>
              <w:top w:val="nil"/>
              <w:left w:val="nil"/>
              <w:bottom w:val="single" w:color="auto" w:sz="4" w:space="0"/>
              <w:right w:val="single" w:color="auto" w:sz="4" w:space="0"/>
            </w:tcBorders>
            <w:shd w:val="clear" w:color="auto" w:fill="auto"/>
            <w:vAlign w:val="center"/>
          </w:tcPr>
          <w:p w14:paraId="514AA1EB">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37328D63">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2966E0B7">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6AC78679">
            <w:pPr>
              <w:jc w:val="center"/>
            </w:pPr>
            <w:r>
              <w:rPr>
                <w:rFonts w:ascii="宋体" w:hAnsi="宋体"/>
                <w:sz w:val="18"/>
              </w:rPr>
              <w:t>家长对我园的工作比较满意。</w:t>
            </w:r>
          </w:p>
        </w:tc>
      </w:tr>
      <w:tr w14:paraId="423CBBFA">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30A8E1CD">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14:paraId="59EB44E5">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14:paraId="31BEF3B6">
            <w:pPr>
              <w:jc w:val="center"/>
            </w:pPr>
            <w:r>
              <w:rPr>
                <w:rFonts w:ascii="宋体" w:hAnsi="宋体"/>
                <w:sz w:val="18"/>
              </w:rPr>
              <w:t>80.00分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059863E3">
            <w:pPr>
              <w:jc w:val="center"/>
            </w:pPr>
          </w:p>
        </w:tc>
      </w:tr>
      <w:bookmarkEnd w:id="30"/>
    </w:tbl>
    <w:p w14:paraId="2F044EB9">
      <w:pPr>
        <w:jc w:val="center"/>
        <w:rPr>
          <w:rFonts w:hint="eastAsia" w:ascii="宋体" w:hAnsi="宋体" w:cs="宋体"/>
          <w:b/>
          <w:bCs/>
          <w:kern w:val="0"/>
          <w:sz w:val="18"/>
          <w:szCs w:val="18"/>
        </w:rPr>
      </w:pPr>
      <w:r>
        <w:rPr>
          <w:rFonts w:hint="eastAsia" w:ascii="宋体" w:hAnsi="宋体" w:cs="宋体"/>
          <w:b/>
          <w:bCs/>
          <w:kern w:val="0"/>
          <w:sz w:val="28"/>
          <w:szCs w:val="28"/>
        </w:rPr>
        <w:t>项目支出绩效自评表</w:t>
      </w:r>
    </w:p>
    <w:p w14:paraId="534CCE12">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77"/>
        <w:gridCol w:w="1177"/>
        <w:gridCol w:w="358"/>
        <w:gridCol w:w="349"/>
        <w:gridCol w:w="340"/>
        <w:gridCol w:w="350"/>
        <w:gridCol w:w="492"/>
        <w:gridCol w:w="1559"/>
      </w:tblGrid>
      <w:tr w14:paraId="0E525FD8">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48A719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0E347AA9">
            <w:pPr>
              <w:jc w:val="center"/>
            </w:pPr>
            <w:r>
              <w:rPr>
                <w:rFonts w:ascii="宋体" w:hAnsi="宋体"/>
                <w:sz w:val="18"/>
              </w:rPr>
              <w:t>学前（保障经费）2.17乌财科教【2022】71号--关于提前下达2023年新疆西藏等地区教育特殊补助资金的通知</w:t>
            </w:r>
          </w:p>
        </w:tc>
      </w:tr>
      <w:tr w14:paraId="6C944DC0">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93388A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2575" w:type="dxa"/>
            <w:gridSpan w:val="3"/>
            <w:tcBorders>
              <w:top w:val="single" w:color="auto" w:sz="4" w:space="0"/>
              <w:left w:val="nil"/>
              <w:bottom w:val="single" w:color="auto" w:sz="4" w:space="0"/>
              <w:right w:val="single" w:color="000000" w:sz="4" w:space="0"/>
            </w:tcBorders>
            <w:shd w:val="clear" w:color="auto" w:fill="auto"/>
            <w:vAlign w:val="center"/>
          </w:tcPr>
          <w:p w14:paraId="190E6ECC">
            <w:pPr>
              <w:jc w:val="center"/>
            </w:pPr>
            <w:r>
              <w:rPr>
                <w:rFonts w:ascii="宋体" w:hAnsi="宋体"/>
                <w:sz w:val="18"/>
              </w:rPr>
              <w:t>乌鲁木齐市米东区教育局</w:t>
            </w:r>
          </w:p>
        </w:tc>
        <w:tc>
          <w:tcPr>
            <w:tcW w:w="1177" w:type="dxa"/>
            <w:tcBorders>
              <w:top w:val="nil"/>
              <w:left w:val="nil"/>
              <w:bottom w:val="single" w:color="auto" w:sz="4" w:space="0"/>
              <w:right w:val="single" w:color="auto" w:sz="4" w:space="0"/>
            </w:tcBorders>
            <w:shd w:val="clear" w:color="auto" w:fill="auto"/>
            <w:vAlign w:val="center"/>
          </w:tcPr>
          <w:p w14:paraId="59BD52D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实施单位</w:t>
            </w:r>
          </w:p>
        </w:tc>
        <w:tc>
          <w:tcPr>
            <w:tcW w:w="4625" w:type="dxa"/>
            <w:gridSpan w:val="7"/>
            <w:tcBorders>
              <w:top w:val="single" w:color="auto" w:sz="4" w:space="0"/>
              <w:left w:val="nil"/>
              <w:bottom w:val="single" w:color="auto" w:sz="4" w:space="0"/>
              <w:right w:val="single" w:color="000000" w:sz="4" w:space="0"/>
            </w:tcBorders>
            <w:shd w:val="clear" w:color="auto" w:fill="auto"/>
            <w:vAlign w:val="center"/>
          </w:tcPr>
          <w:p w14:paraId="4F1ED313">
            <w:pPr>
              <w:jc w:val="center"/>
            </w:pPr>
            <w:r>
              <w:rPr>
                <w:rFonts w:ascii="宋体" w:hAnsi="宋体"/>
                <w:sz w:val="18"/>
              </w:rPr>
              <w:t>乌鲁木齐市米东区古牧地镇第一中心幼儿园</w:t>
            </w:r>
          </w:p>
        </w:tc>
      </w:tr>
      <w:tr w14:paraId="6C46440B">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077B46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5B501AB2">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2B1D0B9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77" w:type="dxa"/>
            <w:tcBorders>
              <w:top w:val="nil"/>
              <w:left w:val="nil"/>
              <w:bottom w:val="single" w:color="auto" w:sz="4" w:space="0"/>
              <w:right w:val="single" w:color="auto" w:sz="4" w:space="0"/>
            </w:tcBorders>
            <w:shd w:val="clear" w:color="auto" w:fill="auto"/>
            <w:vAlign w:val="center"/>
          </w:tcPr>
          <w:p w14:paraId="14533D8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535" w:type="dxa"/>
            <w:gridSpan w:val="2"/>
            <w:tcBorders>
              <w:top w:val="single" w:color="auto" w:sz="4" w:space="0"/>
              <w:left w:val="nil"/>
              <w:bottom w:val="single" w:color="auto" w:sz="4" w:space="0"/>
              <w:right w:val="single" w:color="auto" w:sz="4" w:space="0"/>
            </w:tcBorders>
            <w:shd w:val="clear" w:color="auto" w:fill="auto"/>
            <w:vAlign w:val="center"/>
          </w:tcPr>
          <w:p w14:paraId="586D614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7739C1D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842" w:type="dxa"/>
            <w:gridSpan w:val="2"/>
            <w:tcBorders>
              <w:top w:val="single" w:color="auto" w:sz="4" w:space="0"/>
              <w:left w:val="nil"/>
              <w:bottom w:val="single" w:color="auto" w:sz="4" w:space="0"/>
              <w:right w:val="single" w:color="auto" w:sz="4" w:space="0"/>
            </w:tcBorders>
            <w:shd w:val="clear" w:color="auto" w:fill="auto"/>
            <w:vAlign w:val="center"/>
          </w:tcPr>
          <w:p w14:paraId="7DCD9E1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559" w:type="dxa"/>
            <w:tcBorders>
              <w:top w:val="nil"/>
              <w:left w:val="nil"/>
              <w:bottom w:val="single" w:color="auto" w:sz="4" w:space="0"/>
              <w:right w:val="single" w:color="auto" w:sz="4" w:space="0"/>
            </w:tcBorders>
            <w:shd w:val="clear" w:color="auto" w:fill="auto"/>
            <w:vAlign w:val="center"/>
          </w:tcPr>
          <w:p w14:paraId="543765B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0318DFC1">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5EAD5208">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3A30D67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7E9FAF93">
            <w:pPr>
              <w:jc w:val="center"/>
            </w:pPr>
            <w:r>
              <w:rPr>
                <w:rFonts w:ascii="宋体" w:hAnsi="宋体"/>
                <w:sz w:val="18"/>
              </w:rPr>
              <w:t>14.26</w:t>
            </w:r>
          </w:p>
        </w:tc>
        <w:tc>
          <w:tcPr>
            <w:tcW w:w="1177" w:type="dxa"/>
            <w:tcBorders>
              <w:top w:val="nil"/>
              <w:left w:val="nil"/>
              <w:bottom w:val="single" w:color="auto" w:sz="4" w:space="0"/>
              <w:right w:val="single" w:color="auto" w:sz="4" w:space="0"/>
            </w:tcBorders>
            <w:shd w:val="clear" w:color="auto" w:fill="auto"/>
            <w:noWrap/>
            <w:vAlign w:val="center"/>
          </w:tcPr>
          <w:p w14:paraId="4F1F8447">
            <w:pPr>
              <w:jc w:val="center"/>
            </w:pPr>
            <w:r>
              <w:rPr>
                <w:rFonts w:ascii="宋体" w:hAnsi="宋体"/>
                <w:sz w:val="18"/>
              </w:rPr>
              <w:t>20.36</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07226499">
            <w:pPr>
              <w:jc w:val="center"/>
            </w:pPr>
            <w:r>
              <w:rPr>
                <w:rFonts w:ascii="宋体" w:hAnsi="宋体"/>
                <w:sz w:val="18"/>
              </w:rPr>
              <w:t>16.89</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4D79FC07">
            <w:pPr>
              <w:jc w:val="center"/>
            </w:pPr>
            <w:r>
              <w:rPr>
                <w:rFonts w:ascii="宋体" w:hAnsi="宋体"/>
                <w:sz w:val="18"/>
              </w:rPr>
              <w:t>10</w:t>
            </w:r>
          </w:p>
        </w:tc>
        <w:tc>
          <w:tcPr>
            <w:tcW w:w="842" w:type="dxa"/>
            <w:gridSpan w:val="2"/>
            <w:tcBorders>
              <w:top w:val="single" w:color="auto" w:sz="4" w:space="0"/>
              <w:left w:val="nil"/>
              <w:bottom w:val="single" w:color="auto" w:sz="4" w:space="0"/>
              <w:right w:val="single" w:color="auto" w:sz="4" w:space="0"/>
            </w:tcBorders>
            <w:shd w:val="clear" w:color="auto" w:fill="auto"/>
            <w:vAlign w:val="center"/>
          </w:tcPr>
          <w:p w14:paraId="5BC66618">
            <w:pPr>
              <w:jc w:val="center"/>
            </w:pPr>
            <w:r>
              <w:rPr>
                <w:rFonts w:ascii="宋体" w:hAnsi="宋体"/>
                <w:sz w:val="18"/>
              </w:rPr>
              <w:t>82.96%</w:t>
            </w:r>
          </w:p>
        </w:tc>
        <w:tc>
          <w:tcPr>
            <w:tcW w:w="1559" w:type="dxa"/>
            <w:tcBorders>
              <w:top w:val="nil"/>
              <w:left w:val="nil"/>
              <w:bottom w:val="single" w:color="auto" w:sz="4" w:space="0"/>
              <w:right w:val="single" w:color="auto" w:sz="4" w:space="0"/>
            </w:tcBorders>
            <w:shd w:val="clear" w:color="auto" w:fill="auto"/>
            <w:vAlign w:val="center"/>
          </w:tcPr>
          <w:p w14:paraId="6547807B">
            <w:pPr>
              <w:jc w:val="center"/>
            </w:pPr>
            <w:r>
              <w:rPr>
                <w:rFonts w:ascii="宋体" w:hAnsi="宋体"/>
                <w:sz w:val="18"/>
              </w:rPr>
              <w:t>8.30分</w:t>
            </w:r>
          </w:p>
        </w:tc>
      </w:tr>
      <w:tr w14:paraId="4695D8E7">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6C4CA642">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5393263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4F2D0C14">
            <w:pPr>
              <w:jc w:val="center"/>
            </w:pPr>
            <w:r>
              <w:rPr>
                <w:rFonts w:ascii="宋体" w:hAnsi="宋体"/>
                <w:sz w:val="18"/>
              </w:rPr>
              <w:t>14.26</w:t>
            </w:r>
          </w:p>
        </w:tc>
        <w:tc>
          <w:tcPr>
            <w:tcW w:w="1177" w:type="dxa"/>
            <w:tcBorders>
              <w:top w:val="nil"/>
              <w:left w:val="nil"/>
              <w:bottom w:val="single" w:color="auto" w:sz="4" w:space="0"/>
              <w:right w:val="single" w:color="auto" w:sz="4" w:space="0"/>
            </w:tcBorders>
            <w:shd w:val="clear" w:color="auto" w:fill="auto"/>
            <w:noWrap/>
            <w:vAlign w:val="center"/>
          </w:tcPr>
          <w:p w14:paraId="0E3532C9">
            <w:pPr>
              <w:jc w:val="center"/>
            </w:pPr>
            <w:r>
              <w:rPr>
                <w:rFonts w:ascii="宋体" w:hAnsi="宋体"/>
                <w:sz w:val="18"/>
              </w:rPr>
              <w:t>14.26</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29EA027E">
            <w:pPr>
              <w:jc w:val="center"/>
            </w:pPr>
            <w:r>
              <w:rPr>
                <w:rFonts w:ascii="宋体" w:hAnsi="宋体"/>
                <w:sz w:val="18"/>
              </w:rPr>
              <w:t>10.79</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116E5B77">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842" w:type="dxa"/>
            <w:gridSpan w:val="2"/>
            <w:tcBorders>
              <w:top w:val="single" w:color="auto" w:sz="4" w:space="0"/>
              <w:left w:val="nil"/>
              <w:bottom w:val="single" w:color="auto" w:sz="4" w:space="0"/>
              <w:right w:val="single" w:color="auto" w:sz="4" w:space="0"/>
            </w:tcBorders>
            <w:shd w:val="clear" w:color="auto" w:fill="auto"/>
            <w:vAlign w:val="center"/>
          </w:tcPr>
          <w:p w14:paraId="51B7A6D7">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559" w:type="dxa"/>
            <w:tcBorders>
              <w:top w:val="nil"/>
              <w:left w:val="nil"/>
              <w:bottom w:val="single" w:color="auto" w:sz="4" w:space="0"/>
              <w:right w:val="single" w:color="auto" w:sz="4" w:space="0"/>
            </w:tcBorders>
            <w:shd w:val="clear" w:color="auto" w:fill="auto"/>
            <w:vAlign w:val="center"/>
          </w:tcPr>
          <w:p w14:paraId="0D88724E">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54DA99F5">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7DAEE317">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394AED0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0A731EC0">
            <w:pPr>
              <w:jc w:val="center"/>
            </w:pPr>
            <w:r>
              <w:rPr>
                <w:rFonts w:ascii="宋体" w:hAnsi="宋体"/>
                <w:sz w:val="18"/>
              </w:rPr>
              <w:t>0.00</w:t>
            </w:r>
          </w:p>
        </w:tc>
        <w:tc>
          <w:tcPr>
            <w:tcW w:w="1177" w:type="dxa"/>
            <w:tcBorders>
              <w:top w:val="nil"/>
              <w:left w:val="nil"/>
              <w:bottom w:val="single" w:color="auto" w:sz="4" w:space="0"/>
              <w:right w:val="single" w:color="auto" w:sz="4" w:space="0"/>
            </w:tcBorders>
            <w:shd w:val="clear" w:color="auto" w:fill="auto"/>
            <w:noWrap/>
            <w:vAlign w:val="center"/>
          </w:tcPr>
          <w:p w14:paraId="7D6F67FD">
            <w:pPr>
              <w:jc w:val="center"/>
            </w:pPr>
            <w:r>
              <w:rPr>
                <w:rFonts w:ascii="宋体" w:hAnsi="宋体"/>
                <w:sz w:val="18"/>
              </w:rPr>
              <w:t>6.10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35F5569D">
            <w:pPr>
              <w:jc w:val="center"/>
            </w:pPr>
            <w:r>
              <w:rPr>
                <w:rFonts w:ascii="宋体" w:hAnsi="宋体"/>
                <w:sz w:val="18"/>
              </w:rPr>
              <w:t>6.10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200888B3">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842" w:type="dxa"/>
            <w:gridSpan w:val="2"/>
            <w:tcBorders>
              <w:top w:val="single" w:color="auto" w:sz="4" w:space="0"/>
              <w:left w:val="nil"/>
              <w:bottom w:val="single" w:color="auto" w:sz="4" w:space="0"/>
              <w:right w:val="single" w:color="auto" w:sz="4" w:space="0"/>
            </w:tcBorders>
            <w:shd w:val="clear" w:color="auto" w:fill="auto"/>
            <w:vAlign w:val="center"/>
          </w:tcPr>
          <w:p w14:paraId="0270EF55">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559" w:type="dxa"/>
            <w:tcBorders>
              <w:top w:val="nil"/>
              <w:left w:val="nil"/>
              <w:bottom w:val="single" w:color="auto" w:sz="4" w:space="0"/>
              <w:right w:val="single" w:color="auto" w:sz="4" w:space="0"/>
            </w:tcBorders>
            <w:shd w:val="clear" w:color="auto" w:fill="auto"/>
            <w:vAlign w:val="center"/>
          </w:tcPr>
          <w:p w14:paraId="419A3B1D">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1E1092CB">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6151355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59" w:type="dxa"/>
            <w:gridSpan w:val="5"/>
            <w:tcBorders>
              <w:top w:val="single" w:color="auto" w:sz="4" w:space="0"/>
              <w:left w:val="nil"/>
              <w:bottom w:val="single" w:color="auto" w:sz="4" w:space="0"/>
              <w:right w:val="single" w:color="auto" w:sz="4" w:space="0"/>
            </w:tcBorders>
            <w:shd w:val="clear" w:color="auto" w:fill="auto"/>
            <w:vAlign w:val="center"/>
          </w:tcPr>
          <w:p w14:paraId="0378A66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25" w:type="dxa"/>
            <w:gridSpan w:val="7"/>
            <w:tcBorders>
              <w:top w:val="single" w:color="auto" w:sz="4" w:space="0"/>
              <w:left w:val="nil"/>
              <w:bottom w:val="single" w:color="auto" w:sz="4" w:space="0"/>
              <w:right w:val="single" w:color="auto" w:sz="4" w:space="0"/>
            </w:tcBorders>
            <w:shd w:val="clear" w:color="auto" w:fill="auto"/>
            <w:vAlign w:val="center"/>
          </w:tcPr>
          <w:p w14:paraId="46935AD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15F5A315">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7CDC416C">
            <w:pPr>
              <w:widowControl/>
              <w:jc w:val="left"/>
              <w:rPr>
                <w:rFonts w:hint="eastAsia" w:ascii="宋体" w:hAnsi="宋体" w:cs="宋体"/>
                <w:color w:val="000000"/>
                <w:kern w:val="0"/>
                <w:sz w:val="18"/>
                <w:szCs w:val="18"/>
              </w:rPr>
            </w:pPr>
          </w:p>
        </w:tc>
        <w:tc>
          <w:tcPr>
            <w:tcW w:w="4459" w:type="dxa"/>
            <w:gridSpan w:val="5"/>
            <w:tcBorders>
              <w:top w:val="single" w:color="auto" w:sz="4" w:space="0"/>
              <w:left w:val="nil"/>
              <w:bottom w:val="single" w:color="auto" w:sz="4" w:space="0"/>
              <w:right w:val="single" w:color="000000" w:sz="4" w:space="0"/>
            </w:tcBorders>
            <w:shd w:val="clear" w:color="auto" w:fill="auto"/>
          </w:tcPr>
          <w:p w14:paraId="28C6B79C">
            <w:pPr>
              <w:jc w:val="left"/>
            </w:pPr>
            <w:r>
              <w:rPr>
                <w:rFonts w:ascii="宋体" w:hAnsi="宋体"/>
                <w:sz w:val="18"/>
              </w:rPr>
              <w:t>本项目具体内容为保障202名农村在园幼儿免费接受学前三年教育，保障4个月安保服务费正常发放；保障4个月的宽带费正常发放。本项目的实施可巩固学前教育保教覆盖率，保障全区适龄幼儿接受学前免费教育，保障校园安全，保障全园日常工作正常运转。</w:t>
            </w:r>
          </w:p>
        </w:tc>
        <w:tc>
          <w:tcPr>
            <w:tcW w:w="4625" w:type="dxa"/>
            <w:gridSpan w:val="7"/>
            <w:tcBorders>
              <w:top w:val="single" w:color="auto" w:sz="4" w:space="0"/>
              <w:left w:val="nil"/>
              <w:bottom w:val="single" w:color="auto" w:sz="4" w:space="0"/>
              <w:right w:val="single" w:color="000000" w:sz="4" w:space="0"/>
            </w:tcBorders>
            <w:shd w:val="clear" w:color="auto" w:fill="auto"/>
          </w:tcPr>
          <w:p w14:paraId="6A7E9A62">
            <w:pPr>
              <w:jc w:val="left"/>
            </w:pPr>
            <w:r>
              <w:rPr>
                <w:rFonts w:ascii="宋体" w:hAnsi="宋体"/>
                <w:sz w:val="18"/>
              </w:rPr>
              <w:t>本项目保障了202名农村在园幼儿免费接受学前三年教育，项目经费为20.36万元，2023年已支付16.89万元。主要用于支付安保服务费，网费和采暖费，保障了校园安全和全园日常工作正常运转。</w:t>
            </w:r>
          </w:p>
        </w:tc>
      </w:tr>
      <w:tr w14:paraId="70C6DB96">
        <w:tblPrEx>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0B7E0B50">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7D84B5C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673DA81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365973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14:paraId="2B6759F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14:paraId="36F461E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85BD13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57570E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5797D4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4D2B1634">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17E2F372">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78A209E4">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7B6279D8">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0BE943CA">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14:paraId="0EDA5AA7">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14:paraId="69D469F8">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14:paraId="14F23CDE">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14:paraId="2C15C819">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14:paraId="5AAA2A71">
            <w:pPr>
              <w:widowControl/>
              <w:jc w:val="left"/>
              <w:rPr>
                <w:rFonts w:hint="eastAsia" w:ascii="宋体" w:hAnsi="宋体" w:cs="宋体"/>
                <w:color w:val="000000"/>
                <w:kern w:val="0"/>
                <w:sz w:val="18"/>
                <w:szCs w:val="18"/>
              </w:rPr>
            </w:pPr>
          </w:p>
        </w:tc>
      </w:tr>
      <w:tr w14:paraId="714AAE47">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08FFAAFA">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534EE361">
            <w:pPr>
              <w:jc w:val="center"/>
            </w:pPr>
            <w:r>
              <w:rPr>
                <w:rFonts w:ascii="宋体" w:hAnsi="宋体"/>
                <w:sz w:val="18"/>
              </w:rPr>
              <w:t>产出指标</w:t>
            </w:r>
          </w:p>
        </w:tc>
        <w:tc>
          <w:tcPr>
            <w:tcW w:w="718" w:type="dxa"/>
            <w:vMerge w:val="restart"/>
            <w:tcBorders>
              <w:top w:val="nil"/>
              <w:left w:val="nil"/>
              <w:bottom w:val="single" w:color="auto" w:sz="4" w:space="0"/>
              <w:right w:val="single" w:color="auto" w:sz="4" w:space="0"/>
            </w:tcBorders>
            <w:shd w:val="clear" w:color="auto" w:fill="auto"/>
            <w:vAlign w:val="center"/>
          </w:tcPr>
          <w:p w14:paraId="1475E0AD">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938F78F">
            <w:pPr>
              <w:jc w:val="center"/>
            </w:pPr>
            <w:r>
              <w:rPr>
                <w:rFonts w:ascii="宋体" w:hAnsi="宋体"/>
                <w:sz w:val="18"/>
              </w:rPr>
              <w:t>享受学前教育资助的幼儿人数</w:t>
            </w:r>
          </w:p>
        </w:tc>
        <w:tc>
          <w:tcPr>
            <w:tcW w:w="1177" w:type="dxa"/>
            <w:tcBorders>
              <w:top w:val="nil"/>
              <w:left w:val="nil"/>
              <w:bottom w:val="single" w:color="auto" w:sz="4" w:space="0"/>
              <w:right w:val="single" w:color="auto" w:sz="4" w:space="0"/>
            </w:tcBorders>
            <w:shd w:val="clear" w:color="auto" w:fill="auto"/>
            <w:vAlign w:val="center"/>
          </w:tcPr>
          <w:p w14:paraId="697DF0F4">
            <w:pPr>
              <w:jc w:val="center"/>
            </w:pPr>
            <w:r>
              <w:rPr>
                <w:rFonts w:ascii="宋体" w:hAnsi="宋体"/>
                <w:sz w:val="18"/>
              </w:rPr>
              <w:t>&gt;=202人</w:t>
            </w:r>
          </w:p>
        </w:tc>
        <w:tc>
          <w:tcPr>
            <w:tcW w:w="1177" w:type="dxa"/>
            <w:tcBorders>
              <w:top w:val="nil"/>
              <w:left w:val="nil"/>
              <w:bottom w:val="single" w:color="auto" w:sz="4" w:space="0"/>
              <w:right w:val="single" w:color="auto" w:sz="4" w:space="0"/>
            </w:tcBorders>
            <w:shd w:val="clear" w:color="auto" w:fill="auto"/>
            <w:vAlign w:val="center"/>
          </w:tcPr>
          <w:p w14:paraId="1F91AFD6">
            <w:pPr>
              <w:jc w:val="center"/>
            </w:pPr>
            <w:r>
              <w:rPr>
                <w:rFonts w:ascii="宋体" w:hAnsi="宋体"/>
                <w:sz w:val="18"/>
              </w:rPr>
              <w:t>202人</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33136D80">
            <w:pPr>
              <w:jc w:val="center"/>
            </w:pPr>
            <w:r>
              <w:rPr>
                <w:rFonts w:ascii="宋体" w:hAnsi="宋体"/>
                <w:sz w:val="18"/>
              </w:rPr>
              <w:t>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0B5C894A">
            <w:pPr>
              <w:jc w:val="center"/>
            </w:pPr>
            <w:r>
              <w:rPr>
                <w:rFonts w:ascii="宋体" w:hAnsi="宋体"/>
                <w:sz w:val="18"/>
              </w:rPr>
              <w:t>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780BA1CA">
            <w:pPr>
              <w:jc w:val="center"/>
            </w:pPr>
          </w:p>
        </w:tc>
      </w:tr>
      <w:tr w14:paraId="2713297F">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90CC936">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5A8FFA5A">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14:paraId="60843173">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A69F20D">
            <w:pPr>
              <w:jc w:val="center"/>
            </w:pPr>
            <w:r>
              <w:rPr>
                <w:rFonts w:ascii="宋体" w:hAnsi="宋体"/>
                <w:sz w:val="18"/>
              </w:rPr>
              <w:t>宽带服务时间</w:t>
            </w:r>
          </w:p>
        </w:tc>
        <w:tc>
          <w:tcPr>
            <w:tcW w:w="1177" w:type="dxa"/>
            <w:tcBorders>
              <w:top w:val="nil"/>
              <w:left w:val="nil"/>
              <w:bottom w:val="single" w:color="auto" w:sz="4" w:space="0"/>
              <w:right w:val="single" w:color="auto" w:sz="4" w:space="0"/>
            </w:tcBorders>
            <w:shd w:val="clear" w:color="auto" w:fill="auto"/>
            <w:vAlign w:val="center"/>
          </w:tcPr>
          <w:p w14:paraId="5D77BE6D">
            <w:pPr>
              <w:jc w:val="center"/>
            </w:pPr>
            <w:r>
              <w:rPr>
                <w:rFonts w:ascii="宋体" w:hAnsi="宋体"/>
                <w:sz w:val="18"/>
              </w:rPr>
              <w:t>&gt;=4个月</w:t>
            </w:r>
          </w:p>
        </w:tc>
        <w:tc>
          <w:tcPr>
            <w:tcW w:w="1177" w:type="dxa"/>
            <w:tcBorders>
              <w:top w:val="nil"/>
              <w:left w:val="nil"/>
              <w:bottom w:val="single" w:color="auto" w:sz="4" w:space="0"/>
              <w:right w:val="single" w:color="auto" w:sz="4" w:space="0"/>
            </w:tcBorders>
            <w:shd w:val="clear" w:color="auto" w:fill="auto"/>
            <w:vAlign w:val="center"/>
          </w:tcPr>
          <w:p w14:paraId="55D15667">
            <w:pPr>
              <w:jc w:val="center"/>
            </w:pPr>
            <w:r>
              <w:rPr>
                <w:rFonts w:ascii="宋体" w:hAnsi="宋体"/>
                <w:sz w:val="18"/>
              </w:rPr>
              <w:t>12个月</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5AECA274">
            <w:pPr>
              <w:jc w:val="center"/>
            </w:pPr>
            <w:r>
              <w:rPr>
                <w:rFonts w:ascii="宋体" w:hAnsi="宋体"/>
                <w:sz w:val="18"/>
              </w:rPr>
              <w:t>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432131B4">
            <w:pPr>
              <w:jc w:val="center"/>
            </w:pPr>
            <w:r>
              <w:rPr>
                <w:rFonts w:ascii="宋体" w:hAnsi="宋体"/>
                <w:sz w:val="18"/>
              </w:rPr>
              <w:t>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6B7CA001">
            <w:pPr>
              <w:jc w:val="center"/>
            </w:pPr>
            <w:r>
              <w:rPr>
                <w:rFonts w:ascii="宋体" w:hAnsi="宋体"/>
                <w:sz w:val="18"/>
              </w:rPr>
              <w:t>计划次项目资金付4个月的宽带费，实际付了12个月的。</w:t>
            </w:r>
          </w:p>
        </w:tc>
      </w:tr>
      <w:tr w14:paraId="7D489CC4">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52BAC9A">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17896405">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14:paraId="0CCEBFA7">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29B271B">
            <w:pPr>
              <w:jc w:val="center"/>
            </w:pPr>
            <w:r>
              <w:rPr>
                <w:rFonts w:ascii="宋体" w:hAnsi="宋体"/>
                <w:sz w:val="18"/>
              </w:rPr>
              <w:t>安保服务时间</w:t>
            </w:r>
          </w:p>
        </w:tc>
        <w:tc>
          <w:tcPr>
            <w:tcW w:w="1177" w:type="dxa"/>
            <w:tcBorders>
              <w:top w:val="nil"/>
              <w:left w:val="nil"/>
              <w:bottom w:val="single" w:color="auto" w:sz="4" w:space="0"/>
              <w:right w:val="single" w:color="auto" w:sz="4" w:space="0"/>
            </w:tcBorders>
            <w:shd w:val="clear" w:color="auto" w:fill="auto"/>
            <w:vAlign w:val="center"/>
          </w:tcPr>
          <w:p w14:paraId="453834EA">
            <w:pPr>
              <w:jc w:val="center"/>
            </w:pPr>
            <w:r>
              <w:rPr>
                <w:rFonts w:ascii="宋体" w:hAnsi="宋体"/>
                <w:sz w:val="18"/>
              </w:rPr>
              <w:t>&gt;=2个月</w:t>
            </w:r>
          </w:p>
        </w:tc>
        <w:tc>
          <w:tcPr>
            <w:tcW w:w="1177" w:type="dxa"/>
            <w:tcBorders>
              <w:top w:val="nil"/>
              <w:left w:val="nil"/>
              <w:bottom w:val="single" w:color="auto" w:sz="4" w:space="0"/>
              <w:right w:val="single" w:color="auto" w:sz="4" w:space="0"/>
            </w:tcBorders>
            <w:shd w:val="clear" w:color="auto" w:fill="auto"/>
            <w:vAlign w:val="center"/>
          </w:tcPr>
          <w:p w14:paraId="1852C376">
            <w:pPr>
              <w:jc w:val="center"/>
            </w:pPr>
            <w:r>
              <w:rPr>
                <w:rFonts w:ascii="宋体" w:hAnsi="宋体"/>
                <w:sz w:val="18"/>
              </w:rPr>
              <w:t>4个月</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3A214029">
            <w:pPr>
              <w:jc w:val="center"/>
            </w:pPr>
            <w:r>
              <w:rPr>
                <w:rFonts w:ascii="宋体" w:hAnsi="宋体"/>
                <w:sz w:val="18"/>
              </w:rPr>
              <w:t>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28A74AE0">
            <w:pPr>
              <w:jc w:val="center"/>
            </w:pPr>
            <w:r>
              <w:rPr>
                <w:rFonts w:ascii="宋体" w:hAnsi="宋体"/>
                <w:sz w:val="18"/>
              </w:rPr>
              <w:t>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34F02F05">
            <w:pPr>
              <w:jc w:val="center"/>
            </w:pPr>
            <w:r>
              <w:rPr>
                <w:rFonts w:ascii="宋体" w:hAnsi="宋体"/>
                <w:sz w:val="18"/>
              </w:rPr>
              <w:t>比原计划多支付2个月。</w:t>
            </w:r>
          </w:p>
        </w:tc>
      </w:tr>
      <w:tr w14:paraId="042BF066">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5B3161E">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2264741D">
            <w:pPr>
              <w:widowControl/>
              <w:jc w:val="center"/>
              <w:rPr>
                <w:rFonts w:hint="eastAsia" w:ascii="宋体" w:hAnsi="宋体" w:cs="宋体"/>
                <w:color w:val="000000"/>
                <w:kern w:val="0"/>
                <w:sz w:val="18"/>
                <w:szCs w:val="18"/>
              </w:rPr>
            </w:pPr>
          </w:p>
        </w:tc>
        <w:tc>
          <w:tcPr>
            <w:tcW w:w="718" w:type="dxa"/>
            <w:vMerge w:val="restart"/>
            <w:tcBorders>
              <w:top w:val="nil"/>
              <w:left w:val="nil"/>
              <w:bottom w:val="single" w:color="auto" w:sz="4" w:space="0"/>
              <w:right w:val="single" w:color="auto" w:sz="4" w:space="0"/>
            </w:tcBorders>
            <w:shd w:val="clear" w:color="auto" w:fill="auto"/>
            <w:vAlign w:val="center"/>
          </w:tcPr>
          <w:p w14:paraId="02C72FA4">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E7B5569">
            <w:pPr>
              <w:jc w:val="center"/>
            </w:pPr>
            <w:r>
              <w:rPr>
                <w:rFonts w:ascii="宋体" w:hAnsi="宋体"/>
                <w:sz w:val="18"/>
              </w:rPr>
              <w:t>享受学前教育资助幼儿覆盖率</w:t>
            </w:r>
          </w:p>
        </w:tc>
        <w:tc>
          <w:tcPr>
            <w:tcW w:w="1177" w:type="dxa"/>
            <w:tcBorders>
              <w:top w:val="nil"/>
              <w:left w:val="nil"/>
              <w:bottom w:val="single" w:color="auto" w:sz="4" w:space="0"/>
              <w:right w:val="single" w:color="auto" w:sz="4" w:space="0"/>
            </w:tcBorders>
            <w:shd w:val="clear" w:color="auto" w:fill="auto"/>
            <w:vAlign w:val="center"/>
          </w:tcPr>
          <w:p w14:paraId="4C8864C7">
            <w:pPr>
              <w:jc w:val="center"/>
            </w:pPr>
            <w:r>
              <w:rPr>
                <w:rFonts w:ascii="宋体" w:hAnsi="宋体"/>
                <w:sz w:val="18"/>
              </w:rPr>
              <w:t>&gt;=95%</w:t>
            </w:r>
          </w:p>
        </w:tc>
        <w:tc>
          <w:tcPr>
            <w:tcW w:w="1177" w:type="dxa"/>
            <w:tcBorders>
              <w:top w:val="nil"/>
              <w:left w:val="nil"/>
              <w:bottom w:val="single" w:color="auto" w:sz="4" w:space="0"/>
              <w:right w:val="single" w:color="auto" w:sz="4" w:space="0"/>
            </w:tcBorders>
            <w:shd w:val="clear" w:color="auto" w:fill="auto"/>
            <w:vAlign w:val="center"/>
          </w:tcPr>
          <w:p w14:paraId="278F09A6">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3571F99A">
            <w:pPr>
              <w:jc w:val="center"/>
            </w:pPr>
            <w:r>
              <w:rPr>
                <w:rFonts w:ascii="宋体" w:hAnsi="宋体"/>
                <w:sz w:val="18"/>
              </w:rPr>
              <w:t>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708149AE">
            <w:pPr>
              <w:jc w:val="center"/>
            </w:pPr>
            <w:r>
              <w:rPr>
                <w:rFonts w:ascii="宋体" w:hAnsi="宋体"/>
                <w:sz w:val="18"/>
              </w:rPr>
              <w:t>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2AF49604">
            <w:pPr>
              <w:jc w:val="center"/>
            </w:pPr>
            <w:r>
              <w:rPr>
                <w:rFonts w:ascii="宋体" w:hAnsi="宋体"/>
                <w:sz w:val="18"/>
              </w:rPr>
              <w:t>我园完成率计划人数。</w:t>
            </w:r>
          </w:p>
        </w:tc>
      </w:tr>
      <w:tr w14:paraId="1C398A82">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4B21D79">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60216912">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14:paraId="7CC8C7A1">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D9F6180">
            <w:pPr>
              <w:jc w:val="center"/>
            </w:pPr>
            <w:r>
              <w:rPr>
                <w:rFonts w:ascii="宋体" w:hAnsi="宋体"/>
                <w:sz w:val="18"/>
              </w:rPr>
              <w:t>安保上岗率</w:t>
            </w:r>
          </w:p>
        </w:tc>
        <w:tc>
          <w:tcPr>
            <w:tcW w:w="1177" w:type="dxa"/>
            <w:tcBorders>
              <w:top w:val="nil"/>
              <w:left w:val="nil"/>
              <w:bottom w:val="single" w:color="auto" w:sz="4" w:space="0"/>
              <w:right w:val="single" w:color="auto" w:sz="4" w:space="0"/>
            </w:tcBorders>
            <w:shd w:val="clear" w:color="auto" w:fill="auto"/>
            <w:vAlign w:val="center"/>
          </w:tcPr>
          <w:p w14:paraId="266C48A3">
            <w:pPr>
              <w:jc w:val="center"/>
            </w:pPr>
            <w:r>
              <w:rPr>
                <w:rFonts w:ascii="宋体" w:hAnsi="宋体"/>
                <w:sz w:val="18"/>
              </w:rPr>
              <w:t>&gt;=95%</w:t>
            </w:r>
          </w:p>
        </w:tc>
        <w:tc>
          <w:tcPr>
            <w:tcW w:w="1177" w:type="dxa"/>
            <w:tcBorders>
              <w:top w:val="nil"/>
              <w:left w:val="nil"/>
              <w:bottom w:val="single" w:color="auto" w:sz="4" w:space="0"/>
              <w:right w:val="single" w:color="auto" w:sz="4" w:space="0"/>
            </w:tcBorders>
            <w:shd w:val="clear" w:color="auto" w:fill="auto"/>
            <w:vAlign w:val="center"/>
          </w:tcPr>
          <w:p w14:paraId="232B6697">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530B6C5F">
            <w:pPr>
              <w:jc w:val="center"/>
            </w:pPr>
            <w:r>
              <w:rPr>
                <w:rFonts w:ascii="宋体" w:hAnsi="宋体"/>
                <w:sz w:val="18"/>
              </w:rPr>
              <w:t>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78495738">
            <w:pPr>
              <w:jc w:val="center"/>
            </w:pPr>
            <w:r>
              <w:rPr>
                <w:rFonts w:ascii="宋体" w:hAnsi="宋体"/>
                <w:sz w:val="18"/>
              </w:rPr>
              <w:t>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30A3EFF6">
            <w:pPr>
              <w:jc w:val="center"/>
            </w:pPr>
            <w:r>
              <w:rPr>
                <w:rFonts w:ascii="宋体" w:hAnsi="宋体"/>
                <w:sz w:val="18"/>
              </w:rPr>
              <w:t>比原计划多支付2个月。</w:t>
            </w:r>
          </w:p>
        </w:tc>
      </w:tr>
      <w:tr w14:paraId="1DB2AD9A">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6836468">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59AFD90C">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14:paraId="4A269772">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58CD471">
            <w:pPr>
              <w:jc w:val="center"/>
            </w:pPr>
            <w:r>
              <w:rPr>
                <w:rFonts w:ascii="宋体" w:hAnsi="宋体"/>
                <w:sz w:val="18"/>
              </w:rPr>
              <w:t>宽带服务故障率</w:t>
            </w:r>
          </w:p>
        </w:tc>
        <w:tc>
          <w:tcPr>
            <w:tcW w:w="1177" w:type="dxa"/>
            <w:tcBorders>
              <w:top w:val="nil"/>
              <w:left w:val="nil"/>
              <w:bottom w:val="single" w:color="auto" w:sz="4" w:space="0"/>
              <w:right w:val="single" w:color="auto" w:sz="4" w:space="0"/>
            </w:tcBorders>
            <w:shd w:val="clear" w:color="auto" w:fill="auto"/>
            <w:vAlign w:val="center"/>
          </w:tcPr>
          <w:p w14:paraId="46BEDFB2">
            <w:pPr>
              <w:jc w:val="center"/>
            </w:pPr>
            <w:r>
              <w:rPr>
                <w:rFonts w:ascii="宋体" w:hAnsi="宋体"/>
                <w:sz w:val="18"/>
              </w:rPr>
              <w:t>&lt;=10%</w:t>
            </w:r>
          </w:p>
        </w:tc>
        <w:tc>
          <w:tcPr>
            <w:tcW w:w="1177" w:type="dxa"/>
            <w:tcBorders>
              <w:top w:val="nil"/>
              <w:left w:val="nil"/>
              <w:bottom w:val="single" w:color="auto" w:sz="4" w:space="0"/>
              <w:right w:val="single" w:color="auto" w:sz="4" w:space="0"/>
            </w:tcBorders>
            <w:shd w:val="clear" w:color="auto" w:fill="auto"/>
            <w:vAlign w:val="center"/>
          </w:tcPr>
          <w:p w14:paraId="2398980B">
            <w:pPr>
              <w:jc w:val="center"/>
            </w:pPr>
            <w:r>
              <w:rPr>
                <w:rFonts w:ascii="宋体" w:hAnsi="宋体"/>
                <w:sz w:val="18"/>
              </w:rPr>
              <w:t>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300D9272">
            <w:pPr>
              <w:jc w:val="center"/>
            </w:pPr>
            <w:r>
              <w:rPr>
                <w:rFonts w:ascii="宋体" w:hAnsi="宋体"/>
                <w:sz w:val="18"/>
              </w:rPr>
              <w:t>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13B7FEF3">
            <w:pPr>
              <w:jc w:val="center"/>
            </w:pPr>
            <w:r>
              <w:rPr>
                <w:rFonts w:ascii="宋体" w:hAnsi="宋体"/>
                <w:sz w:val="18"/>
              </w:rPr>
              <w:t>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14BC7A76">
            <w:pPr>
              <w:jc w:val="center"/>
            </w:pPr>
          </w:p>
        </w:tc>
      </w:tr>
      <w:tr w14:paraId="60518060">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ABAB147">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172FE3D0">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23434F12">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83D3B54">
            <w:pPr>
              <w:jc w:val="center"/>
            </w:pPr>
            <w:r>
              <w:rPr>
                <w:rFonts w:ascii="宋体" w:hAnsi="宋体"/>
                <w:sz w:val="18"/>
              </w:rPr>
              <w:t>项目完成时间</w:t>
            </w:r>
          </w:p>
        </w:tc>
        <w:tc>
          <w:tcPr>
            <w:tcW w:w="1177" w:type="dxa"/>
            <w:tcBorders>
              <w:top w:val="nil"/>
              <w:left w:val="nil"/>
              <w:bottom w:val="single" w:color="auto" w:sz="4" w:space="0"/>
              <w:right w:val="single" w:color="auto" w:sz="4" w:space="0"/>
            </w:tcBorders>
            <w:shd w:val="clear" w:color="auto" w:fill="auto"/>
            <w:vAlign w:val="center"/>
          </w:tcPr>
          <w:p w14:paraId="101A04E6">
            <w:pPr>
              <w:jc w:val="center"/>
            </w:pPr>
            <w:r>
              <w:rPr>
                <w:rFonts w:ascii="宋体" w:hAnsi="宋体"/>
                <w:sz w:val="18"/>
              </w:rPr>
              <w:t>=12个月</w:t>
            </w:r>
          </w:p>
        </w:tc>
        <w:tc>
          <w:tcPr>
            <w:tcW w:w="1177" w:type="dxa"/>
            <w:tcBorders>
              <w:top w:val="nil"/>
              <w:left w:val="nil"/>
              <w:bottom w:val="single" w:color="auto" w:sz="4" w:space="0"/>
              <w:right w:val="single" w:color="auto" w:sz="4" w:space="0"/>
            </w:tcBorders>
            <w:shd w:val="clear" w:color="auto" w:fill="auto"/>
            <w:vAlign w:val="center"/>
          </w:tcPr>
          <w:p w14:paraId="513A96F0">
            <w:pPr>
              <w:jc w:val="center"/>
            </w:pPr>
            <w:r>
              <w:rPr>
                <w:rFonts w:ascii="宋体" w:hAnsi="宋体"/>
                <w:sz w:val="18"/>
              </w:rPr>
              <w:t>12个月</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4FBD558B">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2D87A5F7">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47F6C0DC">
            <w:pPr>
              <w:jc w:val="center"/>
            </w:pPr>
          </w:p>
        </w:tc>
      </w:tr>
      <w:tr w14:paraId="1F821CEB">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1B6D584">
            <w:pPr>
              <w:widowControl/>
              <w:jc w:val="left"/>
              <w:rPr>
                <w:rFonts w:hint="eastAsia" w:ascii="宋体" w:hAnsi="宋体" w:cs="宋体"/>
                <w:color w:val="000000"/>
                <w:kern w:val="0"/>
                <w:sz w:val="18"/>
                <w:szCs w:val="18"/>
              </w:rPr>
            </w:pPr>
          </w:p>
        </w:tc>
        <w:tc>
          <w:tcPr>
            <w:tcW w:w="707" w:type="dxa"/>
            <w:vMerge w:val="restart"/>
            <w:tcBorders>
              <w:top w:val="nil"/>
              <w:left w:val="nil"/>
              <w:bottom w:val="single" w:color="auto" w:sz="4" w:space="0"/>
              <w:right w:val="single" w:color="auto" w:sz="4" w:space="0"/>
            </w:tcBorders>
            <w:shd w:val="clear" w:color="auto" w:fill="auto"/>
            <w:vAlign w:val="center"/>
          </w:tcPr>
          <w:p w14:paraId="4E29FF58">
            <w:pPr>
              <w:jc w:val="center"/>
            </w:pPr>
            <w:r>
              <w:rPr>
                <w:rFonts w:ascii="宋体" w:hAnsi="宋体"/>
                <w:sz w:val="18"/>
              </w:rPr>
              <w:t>成本指标</w:t>
            </w:r>
          </w:p>
        </w:tc>
        <w:tc>
          <w:tcPr>
            <w:tcW w:w="718" w:type="dxa"/>
            <w:vMerge w:val="restart"/>
            <w:tcBorders>
              <w:top w:val="nil"/>
              <w:left w:val="nil"/>
              <w:bottom w:val="single" w:color="auto" w:sz="4" w:space="0"/>
              <w:right w:val="single" w:color="auto" w:sz="4" w:space="0"/>
            </w:tcBorders>
            <w:shd w:val="clear" w:color="auto" w:fill="auto"/>
            <w:vAlign w:val="center"/>
          </w:tcPr>
          <w:p w14:paraId="3C35BD5E">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4AE964A">
            <w:pPr>
              <w:jc w:val="center"/>
            </w:pPr>
            <w:r>
              <w:rPr>
                <w:rFonts w:ascii="宋体" w:hAnsi="宋体"/>
                <w:sz w:val="18"/>
              </w:rPr>
              <w:t>安保服务费用</w:t>
            </w:r>
          </w:p>
        </w:tc>
        <w:tc>
          <w:tcPr>
            <w:tcW w:w="1177" w:type="dxa"/>
            <w:tcBorders>
              <w:top w:val="nil"/>
              <w:left w:val="nil"/>
              <w:bottom w:val="single" w:color="auto" w:sz="4" w:space="0"/>
              <w:right w:val="single" w:color="auto" w:sz="4" w:space="0"/>
            </w:tcBorders>
            <w:shd w:val="clear" w:color="auto" w:fill="auto"/>
            <w:vAlign w:val="center"/>
          </w:tcPr>
          <w:p w14:paraId="68C8783C">
            <w:pPr>
              <w:jc w:val="center"/>
            </w:pPr>
            <w:r>
              <w:rPr>
                <w:rFonts w:ascii="宋体" w:hAnsi="宋体"/>
                <w:sz w:val="18"/>
              </w:rPr>
              <w:t>&lt;=3万元/月</w:t>
            </w:r>
          </w:p>
        </w:tc>
        <w:tc>
          <w:tcPr>
            <w:tcW w:w="1177" w:type="dxa"/>
            <w:tcBorders>
              <w:top w:val="nil"/>
              <w:left w:val="nil"/>
              <w:bottom w:val="single" w:color="auto" w:sz="4" w:space="0"/>
              <w:right w:val="single" w:color="auto" w:sz="4" w:space="0"/>
            </w:tcBorders>
            <w:shd w:val="clear" w:color="auto" w:fill="auto"/>
            <w:vAlign w:val="center"/>
          </w:tcPr>
          <w:p w14:paraId="6DB9909A">
            <w:pPr>
              <w:jc w:val="center"/>
            </w:pPr>
            <w:r>
              <w:rPr>
                <w:rFonts w:ascii="宋体" w:hAnsi="宋体"/>
                <w:sz w:val="18"/>
              </w:rPr>
              <w:t>3万元/月</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02ED58FD">
            <w:pPr>
              <w:jc w:val="center"/>
            </w:pPr>
            <w:r>
              <w:rPr>
                <w:rFonts w:ascii="宋体" w:hAnsi="宋体"/>
                <w:sz w:val="18"/>
              </w:rPr>
              <w:t>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667B8AE5">
            <w:pPr>
              <w:jc w:val="center"/>
            </w:pPr>
            <w:r>
              <w:rPr>
                <w:rFonts w:ascii="宋体" w:hAnsi="宋体"/>
                <w:sz w:val="18"/>
              </w:rPr>
              <w:t>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2C8C5ABF">
            <w:pPr>
              <w:jc w:val="center"/>
            </w:pPr>
          </w:p>
        </w:tc>
      </w:tr>
      <w:tr w14:paraId="392FB711">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D9C1A71">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48AF4E4C">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14:paraId="085B8D02">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B3D3F92">
            <w:pPr>
              <w:jc w:val="center"/>
            </w:pPr>
            <w:r>
              <w:rPr>
                <w:rFonts w:ascii="宋体" w:hAnsi="宋体"/>
                <w:sz w:val="18"/>
              </w:rPr>
              <w:t>宽带服务成本</w:t>
            </w:r>
          </w:p>
        </w:tc>
        <w:tc>
          <w:tcPr>
            <w:tcW w:w="1177" w:type="dxa"/>
            <w:tcBorders>
              <w:top w:val="nil"/>
              <w:left w:val="nil"/>
              <w:bottom w:val="single" w:color="auto" w:sz="4" w:space="0"/>
              <w:right w:val="single" w:color="auto" w:sz="4" w:space="0"/>
            </w:tcBorders>
            <w:shd w:val="clear" w:color="auto" w:fill="auto"/>
            <w:vAlign w:val="center"/>
          </w:tcPr>
          <w:p w14:paraId="37BCA692">
            <w:pPr>
              <w:jc w:val="center"/>
            </w:pPr>
            <w:r>
              <w:rPr>
                <w:rFonts w:ascii="宋体" w:hAnsi="宋体"/>
                <w:sz w:val="18"/>
              </w:rPr>
              <w:t>&lt;=999元/月</w:t>
            </w:r>
          </w:p>
        </w:tc>
        <w:tc>
          <w:tcPr>
            <w:tcW w:w="1177" w:type="dxa"/>
            <w:tcBorders>
              <w:top w:val="nil"/>
              <w:left w:val="nil"/>
              <w:bottom w:val="single" w:color="auto" w:sz="4" w:space="0"/>
              <w:right w:val="single" w:color="auto" w:sz="4" w:space="0"/>
            </w:tcBorders>
            <w:shd w:val="clear" w:color="auto" w:fill="auto"/>
            <w:vAlign w:val="center"/>
          </w:tcPr>
          <w:p w14:paraId="5B4F0368">
            <w:pPr>
              <w:jc w:val="center"/>
            </w:pPr>
            <w:r>
              <w:rPr>
                <w:rFonts w:ascii="宋体" w:hAnsi="宋体"/>
                <w:sz w:val="18"/>
              </w:rPr>
              <w:t>350元/月</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01429ADB">
            <w:pPr>
              <w:jc w:val="center"/>
            </w:pPr>
            <w:r>
              <w:rPr>
                <w:rFonts w:ascii="宋体" w:hAnsi="宋体"/>
                <w:sz w:val="18"/>
              </w:rPr>
              <w:t>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733B7083">
            <w:pPr>
              <w:jc w:val="center"/>
            </w:pPr>
            <w:r>
              <w:rPr>
                <w:rFonts w:ascii="宋体" w:hAnsi="宋体"/>
                <w:sz w:val="18"/>
              </w:rPr>
              <w:t>1.75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4A585132">
            <w:pPr>
              <w:jc w:val="center"/>
            </w:pPr>
            <w:r>
              <w:rPr>
                <w:rFonts w:ascii="宋体" w:hAnsi="宋体"/>
                <w:sz w:val="18"/>
              </w:rPr>
              <w:t>计划支付电信网费，实际支付了移动A++网费，所以有偏差。</w:t>
            </w:r>
          </w:p>
        </w:tc>
      </w:tr>
      <w:tr w14:paraId="2F37C445">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68EE116">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625E07FE">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14:paraId="4C6596FB">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05DF0C0">
            <w:pPr>
              <w:jc w:val="center"/>
            </w:pPr>
            <w:r>
              <w:rPr>
                <w:rFonts w:ascii="宋体" w:hAnsi="宋体"/>
                <w:sz w:val="18"/>
              </w:rPr>
              <w:t>项目生均成本</w:t>
            </w:r>
          </w:p>
        </w:tc>
        <w:tc>
          <w:tcPr>
            <w:tcW w:w="1177" w:type="dxa"/>
            <w:tcBorders>
              <w:top w:val="nil"/>
              <w:left w:val="nil"/>
              <w:bottom w:val="single" w:color="auto" w:sz="4" w:space="0"/>
              <w:right w:val="single" w:color="auto" w:sz="4" w:space="0"/>
            </w:tcBorders>
            <w:shd w:val="clear" w:color="auto" w:fill="auto"/>
            <w:vAlign w:val="center"/>
          </w:tcPr>
          <w:p w14:paraId="5EE9E039">
            <w:pPr>
              <w:jc w:val="center"/>
            </w:pPr>
            <w:r>
              <w:rPr>
                <w:rFonts w:ascii="宋体" w:hAnsi="宋体"/>
                <w:sz w:val="18"/>
              </w:rPr>
              <w:t>&lt;=350元/人</w:t>
            </w:r>
          </w:p>
        </w:tc>
        <w:tc>
          <w:tcPr>
            <w:tcW w:w="1177" w:type="dxa"/>
            <w:tcBorders>
              <w:top w:val="nil"/>
              <w:left w:val="nil"/>
              <w:bottom w:val="single" w:color="auto" w:sz="4" w:space="0"/>
              <w:right w:val="single" w:color="auto" w:sz="4" w:space="0"/>
            </w:tcBorders>
            <w:shd w:val="clear" w:color="auto" w:fill="auto"/>
            <w:vAlign w:val="center"/>
          </w:tcPr>
          <w:p w14:paraId="4D4BC8E4">
            <w:pPr>
              <w:jc w:val="center"/>
            </w:pPr>
            <w:r>
              <w:rPr>
                <w:rFonts w:ascii="宋体" w:hAnsi="宋体"/>
                <w:sz w:val="18"/>
              </w:rPr>
              <w:t>836.29元/人</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6F66B907">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52D53874">
            <w:pPr>
              <w:jc w:val="center"/>
            </w:pPr>
            <w:r>
              <w:rPr>
                <w:rFonts w:ascii="宋体" w:hAnsi="宋体"/>
                <w:sz w:val="18"/>
              </w:rPr>
              <w:t>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58E39E2B">
            <w:pPr>
              <w:jc w:val="center"/>
            </w:pPr>
            <w:r>
              <w:rPr>
                <w:rFonts w:ascii="宋体" w:hAnsi="宋体"/>
                <w:sz w:val="18"/>
              </w:rPr>
              <w:t>此项目包含71号文和102号文的上级资金，所以实际完成指标偏差率大</w:t>
            </w:r>
          </w:p>
        </w:tc>
      </w:tr>
      <w:tr w14:paraId="2D9CC4D2">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9714D15">
            <w:pPr>
              <w:widowControl/>
              <w:jc w:val="left"/>
              <w:rPr>
                <w:rFonts w:hint="eastAsia" w:ascii="宋体" w:hAnsi="宋体" w:cs="宋体"/>
                <w:color w:val="000000"/>
                <w:kern w:val="0"/>
                <w:sz w:val="18"/>
                <w:szCs w:val="18"/>
              </w:rPr>
            </w:pPr>
          </w:p>
        </w:tc>
        <w:tc>
          <w:tcPr>
            <w:tcW w:w="707" w:type="dxa"/>
            <w:vMerge w:val="restart"/>
            <w:tcBorders>
              <w:top w:val="nil"/>
              <w:left w:val="nil"/>
              <w:bottom w:val="single" w:color="auto" w:sz="4" w:space="0"/>
              <w:right w:val="single" w:color="auto" w:sz="4" w:space="0"/>
            </w:tcBorders>
            <w:shd w:val="clear" w:color="auto" w:fill="auto"/>
            <w:vAlign w:val="center"/>
          </w:tcPr>
          <w:p w14:paraId="5AA6D314">
            <w:pPr>
              <w:jc w:val="center"/>
            </w:pPr>
            <w:r>
              <w:rPr>
                <w:rFonts w:ascii="宋体" w:hAnsi="宋体"/>
                <w:sz w:val="18"/>
              </w:rPr>
              <w:t>效益指标</w:t>
            </w:r>
          </w:p>
        </w:tc>
        <w:tc>
          <w:tcPr>
            <w:tcW w:w="718" w:type="dxa"/>
            <w:vMerge w:val="restart"/>
            <w:tcBorders>
              <w:top w:val="nil"/>
              <w:left w:val="nil"/>
              <w:bottom w:val="single" w:color="auto" w:sz="4" w:space="0"/>
              <w:right w:val="single" w:color="auto" w:sz="4" w:space="0"/>
            </w:tcBorders>
            <w:shd w:val="clear" w:color="auto" w:fill="auto"/>
            <w:vAlign w:val="center"/>
          </w:tcPr>
          <w:p w14:paraId="4CFC85CC">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EA5D3A8">
            <w:pPr>
              <w:jc w:val="center"/>
            </w:pPr>
            <w:r>
              <w:rPr>
                <w:rFonts w:ascii="宋体" w:hAnsi="宋体"/>
                <w:sz w:val="18"/>
              </w:rPr>
              <w:t>提高乡村教师队伍素质</w:t>
            </w:r>
          </w:p>
        </w:tc>
        <w:tc>
          <w:tcPr>
            <w:tcW w:w="1177" w:type="dxa"/>
            <w:tcBorders>
              <w:top w:val="nil"/>
              <w:left w:val="nil"/>
              <w:bottom w:val="single" w:color="auto" w:sz="4" w:space="0"/>
              <w:right w:val="single" w:color="auto" w:sz="4" w:space="0"/>
            </w:tcBorders>
            <w:shd w:val="clear" w:color="auto" w:fill="auto"/>
            <w:vAlign w:val="center"/>
          </w:tcPr>
          <w:p w14:paraId="0AB580C4">
            <w:pPr>
              <w:jc w:val="center"/>
            </w:pPr>
            <w:r>
              <w:rPr>
                <w:rFonts w:ascii="宋体" w:hAnsi="宋体"/>
                <w:sz w:val="18"/>
              </w:rPr>
              <w:t>有效提高</w:t>
            </w:r>
          </w:p>
        </w:tc>
        <w:tc>
          <w:tcPr>
            <w:tcW w:w="1177" w:type="dxa"/>
            <w:tcBorders>
              <w:top w:val="nil"/>
              <w:left w:val="nil"/>
              <w:bottom w:val="single" w:color="auto" w:sz="4" w:space="0"/>
              <w:right w:val="single" w:color="auto" w:sz="4" w:space="0"/>
            </w:tcBorders>
            <w:shd w:val="clear" w:color="auto" w:fill="auto"/>
            <w:vAlign w:val="center"/>
          </w:tcPr>
          <w:p w14:paraId="7019A389">
            <w:pPr>
              <w:jc w:val="center"/>
            </w:pPr>
            <w:r>
              <w:rPr>
                <w:rFonts w:ascii="宋体" w:hAnsi="宋体"/>
                <w:sz w:val="18"/>
              </w:rPr>
              <w:t>完全达到预期</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22A3B1C9">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7CE83EF6">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74C4667D">
            <w:pPr>
              <w:jc w:val="center"/>
            </w:pPr>
          </w:p>
        </w:tc>
      </w:tr>
      <w:tr w14:paraId="42AEE929">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237660E">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52532903">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14:paraId="5B5930BB">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7AF4B35">
            <w:pPr>
              <w:jc w:val="center"/>
            </w:pPr>
            <w:r>
              <w:rPr>
                <w:rFonts w:ascii="宋体" w:hAnsi="宋体"/>
                <w:sz w:val="18"/>
              </w:rPr>
              <w:t>保障幼儿接受学前免费教育</w:t>
            </w:r>
          </w:p>
        </w:tc>
        <w:tc>
          <w:tcPr>
            <w:tcW w:w="1177" w:type="dxa"/>
            <w:tcBorders>
              <w:top w:val="nil"/>
              <w:left w:val="nil"/>
              <w:bottom w:val="single" w:color="auto" w:sz="4" w:space="0"/>
              <w:right w:val="single" w:color="auto" w:sz="4" w:space="0"/>
            </w:tcBorders>
            <w:shd w:val="clear" w:color="auto" w:fill="auto"/>
            <w:vAlign w:val="center"/>
          </w:tcPr>
          <w:p w14:paraId="6AE4D87D">
            <w:pPr>
              <w:jc w:val="center"/>
            </w:pPr>
            <w:r>
              <w:rPr>
                <w:rFonts w:ascii="宋体" w:hAnsi="宋体"/>
                <w:sz w:val="18"/>
              </w:rPr>
              <w:t>有效保障</w:t>
            </w:r>
          </w:p>
        </w:tc>
        <w:tc>
          <w:tcPr>
            <w:tcW w:w="1177" w:type="dxa"/>
            <w:tcBorders>
              <w:top w:val="nil"/>
              <w:left w:val="nil"/>
              <w:bottom w:val="single" w:color="auto" w:sz="4" w:space="0"/>
              <w:right w:val="single" w:color="auto" w:sz="4" w:space="0"/>
            </w:tcBorders>
            <w:shd w:val="clear" w:color="auto" w:fill="auto"/>
            <w:vAlign w:val="center"/>
          </w:tcPr>
          <w:p w14:paraId="68522201">
            <w:pPr>
              <w:jc w:val="center"/>
            </w:pPr>
            <w:r>
              <w:rPr>
                <w:rFonts w:ascii="宋体" w:hAnsi="宋体"/>
                <w:sz w:val="18"/>
              </w:rPr>
              <w:t>完全达到预期</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31EF5E1A">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46F9C7D6">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77744603">
            <w:pPr>
              <w:jc w:val="center"/>
            </w:pPr>
          </w:p>
        </w:tc>
      </w:tr>
      <w:tr w14:paraId="32703C9D">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B339E57">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164E3E48">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52B81F5B">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C97BFAB">
            <w:pPr>
              <w:jc w:val="center"/>
            </w:pPr>
            <w:r>
              <w:rPr>
                <w:rFonts w:ascii="宋体" w:hAnsi="宋体"/>
                <w:sz w:val="18"/>
              </w:rPr>
              <w:t>家长满意度</w:t>
            </w:r>
          </w:p>
        </w:tc>
        <w:tc>
          <w:tcPr>
            <w:tcW w:w="1177" w:type="dxa"/>
            <w:tcBorders>
              <w:top w:val="nil"/>
              <w:left w:val="nil"/>
              <w:bottom w:val="single" w:color="auto" w:sz="4" w:space="0"/>
              <w:right w:val="single" w:color="auto" w:sz="4" w:space="0"/>
            </w:tcBorders>
            <w:shd w:val="clear" w:color="auto" w:fill="auto"/>
            <w:vAlign w:val="center"/>
          </w:tcPr>
          <w:p w14:paraId="64A10C9D">
            <w:pPr>
              <w:jc w:val="center"/>
            </w:pPr>
            <w:r>
              <w:rPr>
                <w:rFonts w:ascii="宋体" w:hAnsi="宋体"/>
                <w:sz w:val="18"/>
              </w:rPr>
              <w:t>&gt;=95%</w:t>
            </w:r>
          </w:p>
        </w:tc>
        <w:tc>
          <w:tcPr>
            <w:tcW w:w="1177" w:type="dxa"/>
            <w:tcBorders>
              <w:top w:val="nil"/>
              <w:left w:val="nil"/>
              <w:bottom w:val="single" w:color="auto" w:sz="4" w:space="0"/>
              <w:right w:val="single" w:color="auto" w:sz="4" w:space="0"/>
            </w:tcBorders>
            <w:shd w:val="clear" w:color="auto" w:fill="auto"/>
            <w:vAlign w:val="center"/>
          </w:tcPr>
          <w:p w14:paraId="116DC8DE">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3BBF9A5B">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40916741">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25330C6B">
            <w:pPr>
              <w:jc w:val="center"/>
            </w:pPr>
            <w:r>
              <w:rPr>
                <w:rFonts w:ascii="宋体" w:hAnsi="宋体"/>
                <w:sz w:val="18"/>
              </w:rPr>
              <w:t>家长对我园工作都比较满意。</w:t>
            </w:r>
          </w:p>
        </w:tc>
      </w:tr>
      <w:tr w14:paraId="67D85A1D">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16D2216A">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14:paraId="165892D6">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14:paraId="5F05DF7A">
            <w:pPr>
              <w:jc w:val="center"/>
            </w:pPr>
            <w:r>
              <w:rPr>
                <w:rFonts w:ascii="宋体" w:hAnsi="宋体"/>
                <w:sz w:val="18"/>
              </w:rPr>
              <w:t>85.05分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7F5B2CF3">
            <w:pPr>
              <w:jc w:val="center"/>
            </w:pPr>
          </w:p>
        </w:tc>
      </w:tr>
    </w:tbl>
    <w:p w14:paraId="21FFAD60">
      <w:pPr>
        <w:jc w:val="left"/>
        <w:rPr>
          <w:rFonts w:ascii="仿宋_GB2312" w:eastAsia="仿宋_GB2312"/>
          <w:sz w:val="32"/>
          <w:szCs w:val="32"/>
        </w:rPr>
      </w:pPr>
    </w:p>
    <w:p w14:paraId="22170C5C">
      <w:pPr>
        <w:ind w:firstLine="640" w:firstLineChars="200"/>
        <w:jc w:val="left"/>
        <w:rPr>
          <w:rFonts w:hint="eastAsia" w:ascii="黑体" w:hAnsi="黑体" w:eastAsia="黑体" w:cs="宋体"/>
          <w:bCs/>
          <w:kern w:val="0"/>
          <w:sz w:val="32"/>
          <w:szCs w:val="32"/>
        </w:rPr>
      </w:pPr>
      <w:r>
        <w:rPr>
          <w:rFonts w:hint="eastAsia" w:ascii="黑体" w:hAnsi="黑体" w:eastAsia="黑体" w:cs="宋体"/>
          <w:bCs/>
          <w:kern w:val="0"/>
          <w:sz w:val="32"/>
          <w:szCs w:val="32"/>
        </w:rPr>
        <w:t>十二、其他需说明的事项</w:t>
      </w:r>
    </w:p>
    <w:p w14:paraId="6941F90A">
      <w:pPr>
        <w:ind w:firstLine="640" w:firstLineChars="200"/>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我单位本年资金紧张未购买办公用品及设备。因此政府采购金额支出为0.00万元。其中授予中小企业合同金额、授予小微企业合同金额为0.00万元。</w:t>
      </w:r>
    </w:p>
    <w:p w14:paraId="35431A8E">
      <w:pPr>
        <w:jc w:val="center"/>
        <w:outlineLvl w:val="0"/>
        <w:rPr>
          <w:rFonts w:hint="eastAsia" w:ascii="黑体" w:hAnsi="黑体" w:eastAsia="黑体"/>
          <w:sz w:val="32"/>
          <w:szCs w:val="32"/>
        </w:rPr>
      </w:pPr>
      <w:bookmarkStart w:id="31" w:name="_Toc3250"/>
      <w:bookmarkStart w:id="32" w:name="_Toc24143"/>
      <w:r>
        <w:rPr>
          <w:rFonts w:hint="eastAsia" w:ascii="黑体" w:hAnsi="黑体" w:eastAsia="黑体"/>
          <w:sz w:val="32"/>
          <w:szCs w:val="32"/>
        </w:rPr>
        <w:br w:type="page"/>
      </w:r>
      <w:r>
        <w:rPr>
          <w:rFonts w:hint="eastAsia" w:ascii="黑体" w:hAnsi="黑体" w:eastAsia="黑体"/>
          <w:sz w:val="32"/>
          <w:szCs w:val="32"/>
        </w:rPr>
        <w:t>第三部分 专业名词解释</w:t>
      </w:r>
      <w:bookmarkEnd w:id="31"/>
      <w:bookmarkEnd w:id="32"/>
    </w:p>
    <w:p w14:paraId="6A5E8F14">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一、财政拨款收入：</w:t>
      </w:r>
      <w:r>
        <w:rPr>
          <w:rFonts w:hint="eastAsia" w:ascii="仿宋_GB2312" w:eastAsia="仿宋_GB2312"/>
          <w:sz w:val="32"/>
          <w:szCs w:val="32"/>
        </w:rPr>
        <w:t>指同级财政当年拨付的资金。</w:t>
      </w:r>
    </w:p>
    <w:p w14:paraId="48A3D5C5">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二、上级补助收入：</w:t>
      </w:r>
      <w:r>
        <w:rPr>
          <w:rFonts w:hint="eastAsia" w:ascii="仿宋_GB2312" w:eastAsia="仿宋_GB2312"/>
          <w:sz w:val="32"/>
          <w:szCs w:val="32"/>
        </w:rPr>
        <w:t>指事业单位从主管部门和上级单位取得的非财政补助收入。</w:t>
      </w:r>
    </w:p>
    <w:p w14:paraId="504CC8CC">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三、事业收入：</w:t>
      </w:r>
      <w:r>
        <w:rPr>
          <w:rFonts w:hint="eastAsia" w:ascii="仿宋_GB2312" w:eastAsia="仿宋_GB2312"/>
          <w:sz w:val="32"/>
          <w:szCs w:val="32"/>
        </w:rPr>
        <w:t>指事业单位开展专业业务活动及其辅助活动所取得的收入。</w:t>
      </w:r>
    </w:p>
    <w:p w14:paraId="2CC018F8">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四、经营收入：</w:t>
      </w:r>
      <w:r>
        <w:rPr>
          <w:rFonts w:hint="eastAsia" w:ascii="仿宋_GB2312" w:eastAsia="仿宋_GB2312"/>
          <w:sz w:val="32"/>
          <w:szCs w:val="32"/>
        </w:rPr>
        <w:t>指事业单位在专业业务活动及其辅助活动之外开展非独立核算经营活动取得的收入。</w:t>
      </w:r>
    </w:p>
    <w:p w14:paraId="608ABA48">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五、附属单位上缴收入：</w:t>
      </w:r>
      <w:r>
        <w:rPr>
          <w:rFonts w:hint="eastAsia" w:ascii="仿宋_GB2312" w:eastAsia="仿宋_GB2312"/>
          <w:sz w:val="32"/>
          <w:szCs w:val="32"/>
        </w:rPr>
        <w:t>指事业单位附属的独立核算单位按有关规定上缴的收入。</w:t>
      </w:r>
    </w:p>
    <w:p w14:paraId="45195457">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六、其他收入：</w:t>
      </w:r>
      <w:r>
        <w:rPr>
          <w:rFonts w:hint="eastAsia" w:ascii="仿宋_GB2312" w:eastAsia="仿宋_GB2312"/>
          <w:sz w:val="32"/>
          <w:szCs w:val="32"/>
        </w:rPr>
        <w:t>指除上述“财政拨款收入”、“事业收入”、“经营收入”、“附属单位上缴收入”等之外取得的收入。</w:t>
      </w:r>
    </w:p>
    <w:p w14:paraId="77C574EE">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七、年初结转和结余：</w:t>
      </w:r>
      <w:r>
        <w:rPr>
          <w:rFonts w:hint="eastAsia" w:ascii="仿宋_GB2312" w:eastAsia="仿宋_GB2312"/>
          <w:sz w:val="32"/>
          <w:szCs w:val="32"/>
        </w:rPr>
        <w:t>指以前年度支出预算因客观条件变化未执行完毕、结转到本年度按有关规定继续使用的资金，既包括财政拨款结转和结余，也包括事业收入、经营收入、其他收入的结转和结余。</w:t>
      </w:r>
    </w:p>
    <w:p w14:paraId="6D23BACE">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八、年末结转和结余：</w:t>
      </w:r>
      <w:r>
        <w:rPr>
          <w:rFonts w:hint="eastAsia" w:ascii="仿宋_GB2312" w:eastAsia="仿宋_GB2312"/>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0EC263DB">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九、基本支出：</w:t>
      </w:r>
      <w:r>
        <w:rPr>
          <w:rFonts w:hint="eastAsia" w:ascii="仿宋_GB2312" w:eastAsia="仿宋_GB2312"/>
          <w:sz w:val="32"/>
          <w:szCs w:val="32"/>
        </w:rPr>
        <w:t>指为保障机构正常运转、完成日常工作任务而发生的人员支出和公用支出。</w:t>
      </w:r>
    </w:p>
    <w:p w14:paraId="527D7524">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十、项目支出：</w:t>
      </w:r>
      <w:r>
        <w:rPr>
          <w:rFonts w:hint="eastAsia" w:ascii="仿宋_GB2312" w:eastAsia="仿宋_GB2312"/>
          <w:sz w:val="32"/>
          <w:szCs w:val="32"/>
        </w:rPr>
        <w:t>指在基本支出之外为完成特定行政任务和事业发展目标所发生的支出。</w:t>
      </w:r>
    </w:p>
    <w:p w14:paraId="3203C2D7">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十一、经营支出：</w:t>
      </w:r>
      <w:r>
        <w:rPr>
          <w:rFonts w:hint="eastAsia" w:ascii="仿宋_GB2312" w:eastAsia="仿宋_GB2312"/>
          <w:sz w:val="32"/>
          <w:szCs w:val="32"/>
        </w:rPr>
        <w:t>指事业单位在专业业务活动及其辅助活动之外开展非独立核算经营活动发生的支出。</w:t>
      </w:r>
    </w:p>
    <w:p w14:paraId="55568700">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十二、对附属单位补助支出：</w:t>
      </w:r>
      <w:r>
        <w:rPr>
          <w:rFonts w:hint="eastAsia" w:ascii="仿宋_GB2312" w:eastAsia="仿宋_GB2312"/>
          <w:sz w:val="32"/>
          <w:szCs w:val="32"/>
        </w:rPr>
        <w:t>指事业单位发生的用非财政预算资金对附属单位的补助支出。</w:t>
      </w:r>
    </w:p>
    <w:p w14:paraId="7385DD1E">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十三、“三公”经费：</w:t>
      </w:r>
      <w:r>
        <w:rPr>
          <w:rFonts w:hint="eastAsia" w:ascii="仿宋_GB2312" w:eastAsia="仿宋_GB2312"/>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7180CB18">
      <w:pPr>
        <w:ind w:firstLine="643" w:firstLineChars="200"/>
        <w:rPr>
          <w:rFonts w:ascii="仿宋_GB2312" w:eastAsia="仿宋_GB2312"/>
          <w:sz w:val="32"/>
          <w:szCs w:val="32"/>
        </w:rPr>
      </w:pPr>
      <w:r>
        <w:rPr>
          <w:rFonts w:hint="eastAsia" w:ascii="仿宋_GB2312" w:eastAsia="仿宋_GB2312"/>
          <w:b/>
          <w:bCs/>
          <w:sz w:val="32"/>
          <w:szCs w:val="32"/>
        </w:rPr>
        <w:t>十四、机关运行经费：</w:t>
      </w:r>
      <w:r>
        <w:rPr>
          <w:rFonts w:hint="eastAsia" w:ascii="仿宋_GB2312" w:eastAsia="仿宋_GB2312"/>
          <w:sz w:val="32"/>
          <w:szCs w:val="32"/>
        </w:rPr>
        <w:t>行政单位和参照公务员法管理的事业单位财政拨款基本支出中的公用经费支出。</w:t>
      </w:r>
    </w:p>
    <w:p w14:paraId="74FC5A04">
      <w:pPr>
        <w:ind w:firstLine="640" w:firstLineChars="200"/>
        <w:jc w:val="center"/>
        <w:outlineLvl w:val="0"/>
        <w:rPr>
          <w:rFonts w:hint="eastAsia" w:ascii="黑体" w:hAnsi="黑体" w:eastAsia="黑体"/>
          <w:sz w:val="32"/>
          <w:szCs w:val="32"/>
        </w:rPr>
      </w:pPr>
      <w:r>
        <w:rPr>
          <w:rFonts w:hint="eastAsia" w:ascii="仿宋_GB2312" w:eastAsia="仿宋_GB2312"/>
          <w:sz w:val="32"/>
          <w:szCs w:val="32"/>
        </w:rPr>
        <w:br w:type="page"/>
      </w:r>
      <w:r>
        <w:rPr>
          <w:rFonts w:hint="eastAsia" w:ascii="黑体" w:hAnsi="黑体" w:eastAsia="黑体"/>
          <w:sz w:val="32"/>
          <w:szCs w:val="32"/>
        </w:rPr>
        <w:t>第四部分 部门决算报表（见附表）</w:t>
      </w:r>
    </w:p>
    <w:p w14:paraId="101646DD">
      <w:pPr>
        <w:ind w:firstLine="640" w:firstLineChars="200"/>
        <w:outlineLvl w:val="1"/>
        <w:rPr>
          <w:rFonts w:hint="eastAsia" w:ascii="黑体" w:hAnsi="黑体" w:eastAsia="仿宋_GB2312" w:cs="宋体"/>
          <w:bCs/>
          <w:kern w:val="0"/>
          <w:sz w:val="32"/>
          <w:szCs w:val="32"/>
        </w:rPr>
      </w:pPr>
      <w:bookmarkStart w:id="33" w:name="_Toc2183"/>
      <w:bookmarkStart w:id="34" w:name="_Toc6062"/>
      <w:r>
        <w:rPr>
          <w:rFonts w:hint="eastAsia" w:ascii="黑体" w:hAnsi="黑体" w:eastAsia="仿宋_GB2312" w:cs="宋体"/>
          <w:bCs/>
          <w:kern w:val="0"/>
          <w:sz w:val="32"/>
          <w:szCs w:val="32"/>
        </w:rPr>
        <w:t>一、《收入支出决算总表》</w:t>
      </w:r>
      <w:bookmarkEnd w:id="33"/>
      <w:bookmarkEnd w:id="34"/>
    </w:p>
    <w:p w14:paraId="41A9460E">
      <w:pPr>
        <w:ind w:firstLine="640" w:firstLineChars="200"/>
        <w:outlineLvl w:val="1"/>
        <w:rPr>
          <w:rFonts w:hint="eastAsia" w:ascii="黑体" w:hAnsi="黑体" w:eastAsia="仿宋_GB2312" w:cs="宋体"/>
          <w:bCs/>
          <w:kern w:val="0"/>
          <w:sz w:val="32"/>
          <w:szCs w:val="32"/>
        </w:rPr>
      </w:pPr>
      <w:bookmarkStart w:id="35" w:name="_Toc30364"/>
      <w:bookmarkStart w:id="36" w:name="_Toc24532"/>
      <w:r>
        <w:rPr>
          <w:rFonts w:hint="eastAsia" w:ascii="黑体" w:hAnsi="黑体" w:eastAsia="仿宋_GB2312" w:cs="宋体"/>
          <w:bCs/>
          <w:kern w:val="0"/>
          <w:sz w:val="32"/>
          <w:szCs w:val="32"/>
        </w:rPr>
        <w:t>二、《收入决算表》</w:t>
      </w:r>
      <w:bookmarkEnd w:id="35"/>
      <w:bookmarkEnd w:id="36"/>
    </w:p>
    <w:p w14:paraId="15F162A7">
      <w:pPr>
        <w:ind w:firstLine="640" w:firstLineChars="200"/>
        <w:outlineLvl w:val="1"/>
        <w:rPr>
          <w:rFonts w:hint="eastAsia" w:ascii="黑体" w:hAnsi="黑体" w:eastAsia="仿宋_GB2312" w:cs="宋体"/>
          <w:bCs/>
          <w:kern w:val="0"/>
          <w:sz w:val="32"/>
          <w:szCs w:val="32"/>
        </w:rPr>
      </w:pPr>
      <w:bookmarkStart w:id="37" w:name="_Toc32434"/>
      <w:bookmarkStart w:id="38" w:name="_Toc21304"/>
      <w:r>
        <w:rPr>
          <w:rFonts w:hint="eastAsia" w:ascii="黑体" w:hAnsi="黑体" w:eastAsia="仿宋_GB2312" w:cs="宋体"/>
          <w:bCs/>
          <w:kern w:val="0"/>
          <w:sz w:val="32"/>
          <w:szCs w:val="32"/>
        </w:rPr>
        <w:t>三、《支出决算表》</w:t>
      </w:r>
      <w:bookmarkEnd w:id="37"/>
      <w:bookmarkEnd w:id="38"/>
    </w:p>
    <w:p w14:paraId="686252CB">
      <w:pPr>
        <w:ind w:firstLine="640" w:firstLineChars="200"/>
        <w:outlineLvl w:val="1"/>
        <w:rPr>
          <w:rFonts w:hint="eastAsia" w:ascii="黑体" w:hAnsi="黑体" w:eastAsia="仿宋_GB2312" w:cs="宋体"/>
          <w:bCs/>
          <w:kern w:val="0"/>
          <w:sz w:val="32"/>
          <w:szCs w:val="32"/>
        </w:rPr>
      </w:pPr>
      <w:bookmarkStart w:id="39" w:name="_Toc14238"/>
      <w:bookmarkStart w:id="40" w:name="_Toc28786"/>
      <w:r>
        <w:rPr>
          <w:rFonts w:hint="eastAsia" w:ascii="黑体" w:hAnsi="黑体" w:eastAsia="仿宋_GB2312" w:cs="宋体"/>
          <w:bCs/>
          <w:kern w:val="0"/>
          <w:sz w:val="32"/>
          <w:szCs w:val="32"/>
        </w:rPr>
        <w:t>四、《财政拨款收入支出决算总表》</w:t>
      </w:r>
      <w:bookmarkEnd w:id="39"/>
      <w:bookmarkEnd w:id="40"/>
    </w:p>
    <w:p w14:paraId="1F0F2372">
      <w:pPr>
        <w:ind w:firstLine="640" w:firstLineChars="200"/>
        <w:outlineLvl w:val="1"/>
        <w:rPr>
          <w:rFonts w:hint="eastAsia" w:ascii="黑体" w:hAnsi="黑体" w:eastAsia="仿宋_GB2312" w:cs="宋体"/>
          <w:bCs/>
          <w:kern w:val="0"/>
          <w:sz w:val="32"/>
          <w:szCs w:val="32"/>
        </w:rPr>
      </w:pPr>
      <w:bookmarkStart w:id="41" w:name="_Toc10347"/>
      <w:bookmarkStart w:id="42" w:name="_Toc14869"/>
      <w:r>
        <w:rPr>
          <w:rFonts w:hint="eastAsia" w:ascii="黑体" w:hAnsi="黑体" w:eastAsia="仿宋_GB2312" w:cs="宋体"/>
          <w:bCs/>
          <w:kern w:val="0"/>
          <w:sz w:val="32"/>
          <w:szCs w:val="32"/>
        </w:rPr>
        <w:t>五、《一般公共预算财政拨款支出决算表》</w:t>
      </w:r>
      <w:bookmarkEnd w:id="41"/>
      <w:bookmarkEnd w:id="42"/>
    </w:p>
    <w:p w14:paraId="22CF7CE5">
      <w:pPr>
        <w:ind w:firstLine="640" w:firstLineChars="200"/>
        <w:outlineLvl w:val="1"/>
        <w:rPr>
          <w:rFonts w:hint="eastAsia" w:ascii="黑体" w:hAnsi="黑体" w:eastAsia="仿宋_GB2312" w:cs="宋体"/>
          <w:bCs/>
          <w:kern w:val="0"/>
          <w:sz w:val="32"/>
          <w:szCs w:val="32"/>
        </w:rPr>
      </w:pPr>
      <w:bookmarkStart w:id="43" w:name="_Toc5626"/>
      <w:bookmarkStart w:id="44" w:name="_Toc8884"/>
      <w:r>
        <w:rPr>
          <w:rFonts w:hint="eastAsia" w:ascii="黑体" w:hAnsi="黑体" w:eastAsia="仿宋_GB2312" w:cs="宋体"/>
          <w:bCs/>
          <w:kern w:val="0"/>
          <w:sz w:val="32"/>
          <w:szCs w:val="32"/>
        </w:rPr>
        <w:t>六、《一般公共预算财政拨款基本支出决算表》</w:t>
      </w:r>
      <w:bookmarkEnd w:id="43"/>
      <w:bookmarkEnd w:id="44"/>
    </w:p>
    <w:p w14:paraId="0CF724AD">
      <w:pPr>
        <w:ind w:firstLine="640" w:firstLineChars="200"/>
        <w:outlineLvl w:val="1"/>
        <w:rPr>
          <w:rFonts w:hint="eastAsia" w:ascii="黑体" w:hAnsi="黑体" w:eastAsia="仿宋_GB2312" w:cs="宋体"/>
          <w:bCs/>
          <w:kern w:val="0"/>
          <w:sz w:val="32"/>
          <w:szCs w:val="32"/>
        </w:rPr>
      </w:pPr>
      <w:r>
        <w:rPr>
          <w:rFonts w:hint="eastAsia" w:ascii="黑体" w:hAnsi="黑体" w:eastAsia="仿宋_GB2312" w:cs="宋体"/>
          <w:bCs/>
          <w:kern w:val="0"/>
          <w:sz w:val="32"/>
          <w:szCs w:val="32"/>
        </w:rPr>
        <w:t>七、</w:t>
      </w:r>
      <w:bookmarkStart w:id="45" w:name="_Toc32663"/>
      <w:bookmarkStart w:id="46" w:name="_Toc29106"/>
      <w:r>
        <w:rPr>
          <w:rFonts w:hint="eastAsia" w:ascii="黑体" w:hAnsi="黑体" w:eastAsia="仿宋_GB2312" w:cs="宋体"/>
          <w:bCs/>
          <w:kern w:val="0"/>
          <w:sz w:val="32"/>
          <w:szCs w:val="32"/>
        </w:rPr>
        <w:t>《财政拨款“三公”经费支出决算表》</w:t>
      </w:r>
      <w:bookmarkEnd w:id="45"/>
      <w:bookmarkEnd w:id="46"/>
    </w:p>
    <w:p w14:paraId="0046BF44">
      <w:pPr>
        <w:ind w:firstLine="640" w:firstLineChars="200"/>
        <w:outlineLvl w:val="1"/>
        <w:rPr>
          <w:rFonts w:hint="eastAsia" w:ascii="黑体" w:hAnsi="黑体" w:eastAsia="仿宋_GB2312" w:cs="宋体"/>
          <w:bCs/>
          <w:kern w:val="0"/>
          <w:sz w:val="32"/>
          <w:szCs w:val="32"/>
        </w:rPr>
      </w:pPr>
      <w:bookmarkStart w:id="47" w:name="_Toc5453"/>
      <w:bookmarkStart w:id="48" w:name="_Toc7643"/>
      <w:r>
        <w:rPr>
          <w:rFonts w:hint="eastAsia" w:ascii="黑体" w:hAnsi="黑体" w:eastAsia="仿宋_GB2312" w:cs="宋体"/>
          <w:bCs/>
          <w:kern w:val="0"/>
          <w:sz w:val="32"/>
          <w:szCs w:val="32"/>
        </w:rPr>
        <w:t>八、《政府性基金预算财政拨款收入支出决算表》</w:t>
      </w:r>
      <w:bookmarkEnd w:id="47"/>
      <w:bookmarkEnd w:id="48"/>
    </w:p>
    <w:p w14:paraId="352452F2">
      <w:pPr>
        <w:ind w:firstLine="640" w:firstLineChars="200"/>
        <w:outlineLvl w:val="1"/>
        <w:rPr>
          <w:rFonts w:hint="eastAsia" w:ascii="黑体" w:hAnsi="黑体" w:eastAsia="仿宋_GB2312" w:cs="宋体"/>
          <w:bCs/>
          <w:kern w:val="0"/>
          <w:sz w:val="32"/>
          <w:szCs w:val="32"/>
        </w:rPr>
      </w:pPr>
      <w:r>
        <w:rPr>
          <w:rFonts w:hint="eastAsia" w:ascii="黑体" w:hAnsi="黑体" w:eastAsia="仿宋_GB2312" w:cs="宋体"/>
          <w:bCs/>
          <w:kern w:val="0"/>
          <w:sz w:val="32"/>
          <w:szCs w:val="32"/>
        </w:rPr>
        <w:t>九、《国有资本经营预算财政拨款收入支出决算表》</w:t>
      </w:r>
    </w:p>
    <w:p w14:paraId="4D8ECD14">
      <w:pPr>
        <w:ind w:firstLine="640" w:firstLineChars="200"/>
        <w:rPr>
          <w:rFonts w:ascii="仿宋_GB2312" w:eastAsia="仿宋_GB2312"/>
          <w:sz w:val="32"/>
          <w:szCs w:val="32"/>
        </w:rPr>
      </w:pPr>
    </w:p>
    <w:p w14:paraId="7A5E6535">
      <w:pPr>
        <w:ind w:firstLine="640" w:firstLineChars="200"/>
        <w:outlineLvl w:val="1"/>
        <w:rPr>
          <w:rFonts w:hint="eastAsia" w:ascii="黑体" w:hAnsi="黑体" w:eastAsia="黑体" w:cs="宋体"/>
          <w:bCs/>
          <w:kern w:val="0"/>
          <w:sz w:val="32"/>
          <w:szCs w:val="32"/>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6D00725">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1CEFFC12">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DOqXm5zwAAAAUBAAAPAAAAAAAAAAEAIAAAACIAAABk&#10;cnMvZG93bnJldi54bWxQSwECFAAUAAAACACHTuJA6rY5ptYBAACyAwAADgAAAAAAAAABACAAAAAe&#10;AQAAZHJzL2Uyb0RvYy54bWxQSwUGAAAAAAYABgBZAQAAZgUAAAAA&#10;">
              <v:fill on="f" focussize="0,0"/>
              <v:stroke on="f"/>
              <v:imagedata o:title=""/>
              <o:lock v:ext="edit" aspectratio="f"/>
              <v:textbox inset="0mm,0mm,0mm,0mm" style="mso-fit-shape-to-text:t;">
                <w:txbxContent>
                  <w:p w14:paraId="1CEFFC12">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03F031D"/>
    <w:multiLevelType w:val="singleLevel"/>
    <w:tmpl w:val="103F031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AyOGZmZWJiZjkzMTc5MjUxM2FlYjUzNmFjOTJhZmYifQ=="/>
    <w:docVar w:name="KSO_WPS_MARK_KEY" w:val="41ee2a61-2d54-4f93-83be-afdb9a40d732"/>
  </w:docVars>
  <w:rsids>
    <w:rsidRoot w:val="003B39AF"/>
    <w:rsid w:val="001C749D"/>
    <w:rsid w:val="00213C59"/>
    <w:rsid w:val="003210CE"/>
    <w:rsid w:val="003B39AF"/>
    <w:rsid w:val="004955B4"/>
    <w:rsid w:val="0069386F"/>
    <w:rsid w:val="008038C2"/>
    <w:rsid w:val="00A07D93"/>
    <w:rsid w:val="00B70D59"/>
    <w:rsid w:val="00BF6D8C"/>
    <w:rsid w:val="00C23A50"/>
    <w:rsid w:val="00DD3272"/>
    <w:rsid w:val="00F125FC"/>
    <w:rsid w:val="00F52A8D"/>
    <w:rsid w:val="019404F8"/>
    <w:rsid w:val="01C30B6B"/>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183A24"/>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C93BF5"/>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3F3D64"/>
    <w:rsid w:val="5D833043"/>
    <w:rsid w:val="5DD92690"/>
    <w:rsid w:val="5DDB1CFD"/>
    <w:rsid w:val="5E7E6D93"/>
    <w:rsid w:val="5E82459B"/>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77358F"/>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unhideWhenUsed/>
    <w:uiPriority w:val="1"/>
  </w:style>
  <w:style w:type="table" w:default="1" w:styleId="9">
    <w:name w:val="Normal Table"/>
    <w:semiHidden/>
    <w:unhideWhenUsed/>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Normal (Web)"/>
    <w:basedOn w:val="1"/>
    <w:qFormat/>
    <w:uiPriority w:val="0"/>
    <w:pPr>
      <w:spacing w:before="100" w:beforeAutospacing="1" w:after="100" w:afterAutospacing="1"/>
      <w:jc w:val="left"/>
    </w:pPr>
    <w:rPr>
      <w:kern w:val="0"/>
      <w:sz w:val="24"/>
    </w:rPr>
  </w:style>
  <w:style w:type="character" w:styleId="11">
    <w:name w:val="Strong"/>
    <w:basedOn w:val="10"/>
    <w:qFormat/>
    <w:uiPriority w:val="0"/>
    <w:rPr>
      <w:b/>
    </w:rPr>
  </w:style>
  <w:style w:type="paragraph" w:customStyle="1" w:styleId="12">
    <w:name w:val="WPSOffice手动目录 3"/>
    <w:qFormat/>
    <w:uiPriority w:val="0"/>
    <w:pPr>
      <w:ind w:left="400" w:leftChars="400"/>
    </w:pPr>
    <w:rPr>
      <w:rFonts w:ascii="Times New Roman" w:hAnsi="Times New Roman" w:eastAsia="宋体" w:cs="Times New Roman"/>
      <w:lang w:val="en-US" w:eastAsia="zh-CN" w:bidi="ar-SA"/>
    </w:rPr>
  </w:style>
  <w:style w:type="paragraph" w:customStyle="1" w:styleId="13">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14">
    <w:name w:val="WPSOffice手动目录 1"/>
    <w:qFormat/>
    <w:uiPriority w:val="0"/>
    <w:rPr>
      <w:rFonts w:ascii="Times New Roman" w:hAnsi="Times New Roman" w:eastAsia="宋体" w:cs="Times New Roman"/>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19</Pages>
  <Words>7352</Words>
  <Characters>8285</Characters>
  <Lines>68</Lines>
  <Paragraphs>19</Paragraphs>
  <TotalTime>75</TotalTime>
  <ScaleCrop>false</ScaleCrop>
  <LinksUpToDate>false</LinksUpToDate>
  <CharactersWithSpaces>8295</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谢凤</cp:lastModifiedBy>
  <dcterms:modified xsi:type="dcterms:W3CDTF">2025-07-25T10:54:50Z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D624B15633CD43C8BF9435464A96BF70</vt:lpwstr>
  </property>
  <property fmtid="{D5CDD505-2E9C-101B-9397-08002B2CF9AE}" pid="4" name="KSOTemplateDocerSaveRecord">
    <vt:lpwstr>eyJoZGlkIjoiMzEwNTM5NzYwMDRjMzkwZTVkZjY2ODkwMGIxNGU0OTUiLCJ1c2VySWQiOiIxMTk3MDAxNzMxIn0=</vt:lpwstr>
  </property>
</Properties>
</file>